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8056" w14:textId="60FBBCDB" w:rsidR="00900F29" w:rsidRDefault="006242CD" w:rsidP="00B257D2">
      <w:pPr>
        <w:pStyle w:val="BodyText"/>
        <w:spacing w:after="0" w:line="240" w:lineRule="auto"/>
        <w:jc w:val="center"/>
        <w:rPr>
          <w:rFonts w:ascii="GT America Lt" w:hAnsi="GT America Lt"/>
          <w:sz w:val="24"/>
          <w:szCs w:val="24"/>
        </w:rPr>
      </w:pPr>
      <w:r w:rsidRPr="00B257D2">
        <w:rPr>
          <w:rFonts w:ascii="GT America Lt" w:hAnsi="GT America Lt"/>
          <w:sz w:val="24"/>
          <w:szCs w:val="24"/>
        </w:rPr>
        <w:t xml:space="preserve">March </w:t>
      </w:r>
      <w:r w:rsidR="000F6A41">
        <w:rPr>
          <w:rFonts w:ascii="GT America Lt" w:hAnsi="GT America Lt"/>
          <w:sz w:val="24"/>
          <w:szCs w:val="24"/>
        </w:rPr>
        <w:t>5</w:t>
      </w:r>
      <w:r w:rsidRPr="00B257D2">
        <w:rPr>
          <w:rFonts w:ascii="GT America Lt" w:hAnsi="GT America Lt"/>
          <w:sz w:val="24"/>
          <w:szCs w:val="24"/>
        </w:rPr>
        <w:t>, 2025</w:t>
      </w:r>
    </w:p>
    <w:p w14:paraId="6C765988" w14:textId="77777777" w:rsidR="00B257D2" w:rsidRPr="00B257D2" w:rsidRDefault="00B257D2" w:rsidP="00B257D2">
      <w:pPr>
        <w:pStyle w:val="BodyText"/>
        <w:spacing w:after="0" w:line="240" w:lineRule="auto"/>
        <w:jc w:val="center"/>
        <w:rPr>
          <w:rFonts w:ascii="GT America Lt" w:hAnsi="GT America Lt"/>
          <w:sz w:val="24"/>
          <w:szCs w:val="24"/>
        </w:rPr>
      </w:pPr>
    </w:p>
    <w:p w14:paraId="471039EF" w14:textId="1F1A8746" w:rsidR="00900F29" w:rsidRPr="00B257D2" w:rsidRDefault="006242CD" w:rsidP="00B257D2">
      <w:pPr>
        <w:pStyle w:val="BodyText"/>
        <w:spacing w:after="0" w:line="240" w:lineRule="auto"/>
        <w:rPr>
          <w:rFonts w:ascii="GT America Lt" w:hAnsi="GT America Lt"/>
          <w:sz w:val="24"/>
          <w:szCs w:val="24"/>
        </w:rPr>
      </w:pPr>
      <w:r w:rsidRPr="00B257D2">
        <w:rPr>
          <w:rFonts w:ascii="GT America Lt" w:hAnsi="GT America Lt"/>
          <w:sz w:val="24"/>
          <w:szCs w:val="24"/>
        </w:rPr>
        <w:t>Comment Intake—Protecting Americans from Harmful Data Broker Practices (Regulation V)</w:t>
      </w:r>
    </w:p>
    <w:p w14:paraId="548B65BB" w14:textId="689515AD" w:rsidR="00900F29" w:rsidRPr="00B257D2" w:rsidRDefault="00900F29" w:rsidP="00B257D2">
      <w:pPr>
        <w:pStyle w:val="BodyText"/>
        <w:spacing w:after="0" w:line="240" w:lineRule="auto"/>
        <w:rPr>
          <w:rFonts w:ascii="GT America Lt" w:hAnsi="GT America Lt"/>
          <w:sz w:val="24"/>
          <w:szCs w:val="24"/>
        </w:rPr>
      </w:pPr>
      <w:r w:rsidRPr="00B257D2">
        <w:rPr>
          <w:rFonts w:ascii="GT America Lt" w:hAnsi="GT America Lt"/>
          <w:sz w:val="24"/>
          <w:szCs w:val="24"/>
        </w:rPr>
        <w:t xml:space="preserve">Docket No. </w:t>
      </w:r>
      <w:r w:rsidR="006242CD" w:rsidRPr="00B257D2">
        <w:rPr>
          <w:rFonts w:ascii="GT America Lt" w:hAnsi="GT America Lt"/>
          <w:sz w:val="24"/>
          <w:szCs w:val="24"/>
        </w:rPr>
        <w:t>CFPB-2024-0044</w:t>
      </w:r>
    </w:p>
    <w:p w14:paraId="02CAA3F5" w14:textId="4BF0EB01" w:rsidR="00900F29" w:rsidRPr="00B257D2" w:rsidRDefault="00900F29" w:rsidP="00B257D2">
      <w:pPr>
        <w:pStyle w:val="BodyText"/>
        <w:spacing w:after="0" w:line="240" w:lineRule="auto"/>
        <w:rPr>
          <w:rFonts w:ascii="GT America Lt" w:hAnsi="GT America Lt"/>
          <w:sz w:val="24"/>
          <w:szCs w:val="24"/>
        </w:rPr>
      </w:pPr>
      <w:r w:rsidRPr="00B257D2">
        <w:rPr>
          <w:rFonts w:ascii="GT America Lt" w:hAnsi="GT America Lt"/>
          <w:sz w:val="24"/>
          <w:szCs w:val="24"/>
        </w:rPr>
        <w:t>c/o Legal Division Docket Manager</w:t>
      </w:r>
    </w:p>
    <w:p w14:paraId="3300AC7F" w14:textId="77777777" w:rsidR="00900F29" w:rsidRPr="00B257D2" w:rsidRDefault="00900F29" w:rsidP="00B257D2">
      <w:pPr>
        <w:pStyle w:val="BodyText"/>
        <w:spacing w:after="0" w:line="240" w:lineRule="auto"/>
        <w:rPr>
          <w:rFonts w:ascii="GT America Lt" w:hAnsi="GT America Lt"/>
          <w:sz w:val="24"/>
          <w:szCs w:val="24"/>
        </w:rPr>
      </w:pPr>
      <w:r w:rsidRPr="00B257D2">
        <w:rPr>
          <w:rFonts w:ascii="GT America Lt" w:hAnsi="GT America Lt"/>
          <w:sz w:val="24"/>
          <w:szCs w:val="24"/>
        </w:rPr>
        <w:t>Consumer Financial Protection Bureau</w:t>
      </w:r>
    </w:p>
    <w:p w14:paraId="3BE64A59" w14:textId="77777777" w:rsidR="00900F29" w:rsidRPr="00B257D2" w:rsidRDefault="00900F29" w:rsidP="00B257D2">
      <w:pPr>
        <w:pStyle w:val="BodyText"/>
        <w:spacing w:after="0" w:line="240" w:lineRule="auto"/>
        <w:rPr>
          <w:rFonts w:ascii="GT America Lt" w:hAnsi="GT America Lt"/>
          <w:sz w:val="24"/>
          <w:szCs w:val="24"/>
        </w:rPr>
      </w:pPr>
      <w:r w:rsidRPr="00B257D2">
        <w:rPr>
          <w:rFonts w:ascii="GT America Lt" w:hAnsi="GT America Lt"/>
          <w:sz w:val="24"/>
          <w:szCs w:val="24"/>
        </w:rPr>
        <w:t>1700 G Street NW</w:t>
      </w:r>
    </w:p>
    <w:p w14:paraId="0CBF0A62" w14:textId="1DBD1114" w:rsidR="00900F29" w:rsidRPr="00B257D2" w:rsidRDefault="00900F29" w:rsidP="00B257D2">
      <w:pPr>
        <w:pStyle w:val="BodyText"/>
        <w:spacing w:after="0" w:line="240" w:lineRule="auto"/>
        <w:rPr>
          <w:rFonts w:ascii="GT America Lt" w:hAnsi="GT America Lt"/>
          <w:sz w:val="24"/>
          <w:szCs w:val="24"/>
        </w:rPr>
      </w:pPr>
      <w:r w:rsidRPr="00B257D2">
        <w:rPr>
          <w:rFonts w:ascii="GT America Lt" w:hAnsi="GT America Lt"/>
          <w:sz w:val="24"/>
          <w:szCs w:val="24"/>
        </w:rPr>
        <w:t>Washington, D</w:t>
      </w:r>
      <w:r w:rsidR="00693368" w:rsidRPr="00B257D2">
        <w:rPr>
          <w:rFonts w:ascii="GT America Lt" w:hAnsi="GT America Lt"/>
          <w:sz w:val="24"/>
          <w:szCs w:val="24"/>
        </w:rPr>
        <w:t>C</w:t>
      </w:r>
      <w:r w:rsidRPr="00B257D2">
        <w:rPr>
          <w:rFonts w:ascii="GT America Lt" w:hAnsi="GT America Lt"/>
          <w:sz w:val="24"/>
          <w:szCs w:val="24"/>
        </w:rPr>
        <w:t xml:space="preserve"> 20552</w:t>
      </w:r>
    </w:p>
    <w:p w14:paraId="17FE011C" w14:textId="77777777" w:rsidR="00900F29" w:rsidRPr="00B257D2" w:rsidRDefault="00900F29" w:rsidP="00B257D2">
      <w:pPr>
        <w:pStyle w:val="BodyText"/>
        <w:spacing w:after="0" w:line="240" w:lineRule="auto"/>
        <w:rPr>
          <w:rFonts w:ascii="GT America Lt" w:hAnsi="GT America Lt"/>
          <w:sz w:val="24"/>
          <w:szCs w:val="24"/>
        </w:rPr>
      </w:pPr>
    </w:p>
    <w:p w14:paraId="067D48CC" w14:textId="28157EA9" w:rsidR="00900F29" w:rsidRDefault="00900F29" w:rsidP="002816EA">
      <w:pPr>
        <w:pStyle w:val="BodyText"/>
        <w:spacing w:after="0" w:line="240" w:lineRule="auto"/>
        <w:rPr>
          <w:rFonts w:ascii="GT America Lt" w:hAnsi="GT America Lt"/>
          <w:b/>
          <w:bCs/>
          <w:i/>
          <w:sz w:val="24"/>
          <w:szCs w:val="24"/>
        </w:rPr>
      </w:pPr>
      <w:r w:rsidRPr="00B257D2">
        <w:rPr>
          <w:rFonts w:ascii="GT America Lt" w:hAnsi="GT America Lt"/>
          <w:b/>
          <w:i/>
          <w:sz w:val="24"/>
          <w:szCs w:val="24"/>
        </w:rPr>
        <w:t>Re:</w:t>
      </w:r>
      <w:r w:rsidRPr="00B257D2">
        <w:rPr>
          <w:rFonts w:ascii="GT America Lt" w:hAnsi="GT America Lt"/>
          <w:i/>
          <w:sz w:val="24"/>
          <w:szCs w:val="24"/>
        </w:rPr>
        <w:t xml:space="preserve"> </w:t>
      </w:r>
      <w:r w:rsidRPr="00B257D2">
        <w:rPr>
          <w:rFonts w:ascii="GT America Lt" w:hAnsi="GT America Lt"/>
          <w:b/>
          <w:bCs/>
          <w:iCs/>
          <w:sz w:val="24"/>
          <w:szCs w:val="24"/>
        </w:rPr>
        <w:tab/>
      </w:r>
      <w:r w:rsidR="006242CD" w:rsidRPr="00B257D2">
        <w:rPr>
          <w:rFonts w:ascii="GT America Lt" w:hAnsi="GT America Lt"/>
          <w:b/>
          <w:bCs/>
          <w:i/>
          <w:sz w:val="24"/>
          <w:szCs w:val="24"/>
        </w:rPr>
        <w:t>Protecting Americans from Harmful Data Broker Practices (Regulation V)</w:t>
      </w:r>
    </w:p>
    <w:p w14:paraId="5A87ADA0" w14:textId="77777777" w:rsidR="00B257D2" w:rsidRPr="00B257D2" w:rsidRDefault="00B257D2" w:rsidP="00B257D2">
      <w:pPr>
        <w:pStyle w:val="BodyText"/>
        <w:spacing w:after="0" w:line="240" w:lineRule="auto"/>
        <w:ind w:left="1440" w:hanging="720"/>
        <w:rPr>
          <w:rFonts w:ascii="GT America Lt" w:hAnsi="GT America Lt"/>
          <w:b/>
          <w:i/>
          <w:sz w:val="24"/>
          <w:szCs w:val="24"/>
        </w:rPr>
      </w:pPr>
    </w:p>
    <w:p w14:paraId="0F5E6160" w14:textId="77777777" w:rsidR="00900F29" w:rsidRDefault="00900F29" w:rsidP="00B257D2">
      <w:pPr>
        <w:pStyle w:val="BodyTextFirstIndent"/>
        <w:spacing w:after="0"/>
        <w:ind w:firstLine="0"/>
        <w:rPr>
          <w:rFonts w:ascii="GT America Lt" w:hAnsi="GT America Lt"/>
          <w:sz w:val="24"/>
          <w:szCs w:val="24"/>
        </w:rPr>
      </w:pPr>
      <w:r w:rsidRPr="00B257D2">
        <w:rPr>
          <w:rFonts w:ascii="GT America Lt" w:hAnsi="GT America Lt"/>
          <w:sz w:val="24"/>
          <w:szCs w:val="24"/>
        </w:rPr>
        <w:t>To Whom It May Concern:</w:t>
      </w:r>
    </w:p>
    <w:p w14:paraId="455A40E8" w14:textId="77777777" w:rsidR="00B257D2" w:rsidRPr="00B257D2" w:rsidRDefault="00B257D2" w:rsidP="00B257D2">
      <w:pPr>
        <w:pStyle w:val="BodyTextFirstIndent"/>
        <w:spacing w:after="0"/>
        <w:ind w:firstLine="0"/>
        <w:rPr>
          <w:rFonts w:ascii="GT America Lt" w:hAnsi="GT America Lt"/>
          <w:sz w:val="24"/>
          <w:szCs w:val="24"/>
        </w:rPr>
      </w:pPr>
    </w:p>
    <w:p w14:paraId="32CA5A3F" w14:textId="77C36899" w:rsidR="00900F29" w:rsidRDefault="00900F29" w:rsidP="00B257D2">
      <w:pPr>
        <w:pStyle w:val="BodyText"/>
        <w:spacing w:after="0" w:line="240" w:lineRule="auto"/>
        <w:ind w:firstLine="720"/>
        <w:jc w:val="both"/>
        <w:rPr>
          <w:rFonts w:ascii="GT America Lt" w:hAnsi="GT America Lt"/>
          <w:sz w:val="24"/>
          <w:szCs w:val="24"/>
        </w:rPr>
      </w:pPr>
      <w:r w:rsidRPr="00B257D2">
        <w:rPr>
          <w:rFonts w:ascii="GT America Lt" w:hAnsi="GT America Lt"/>
          <w:sz w:val="24"/>
          <w:szCs w:val="24"/>
        </w:rPr>
        <w:t xml:space="preserve">The </w:t>
      </w:r>
      <w:r w:rsidR="00142519">
        <w:rPr>
          <w:rFonts w:ascii="GT America Lt" w:hAnsi="GT America Lt"/>
          <w:sz w:val="24"/>
          <w:szCs w:val="24"/>
        </w:rPr>
        <w:t xml:space="preserve">U.S. Chamber of Commerce (“Chamber”) </w:t>
      </w:r>
      <w:r w:rsidRPr="00B257D2">
        <w:rPr>
          <w:rFonts w:ascii="GT America Lt" w:hAnsi="GT America Lt"/>
          <w:sz w:val="24"/>
          <w:szCs w:val="24"/>
        </w:rPr>
        <w:t xml:space="preserve">appreciates the opportunity to submit comments to the Consumer Financial Protection Bureau (“CFPB”) regarding its Proposed Rule on </w:t>
      </w:r>
      <w:r w:rsidR="006242CD" w:rsidRPr="00B257D2">
        <w:rPr>
          <w:rFonts w:ascii="GT America Lt" w:hAnsi="GT America Lt"/>
          <w:sz w:val="24"/>
          <w:szCs w:val="24"/>
        </w:rPr>
        <w:t xml:space="preserve">Protecting Americans from Harmful Data Broker Practices (Regulation V) </w:t>
      </w:r>
      <w:r w:rsidRPr="00B257D2">
        <w:rPr>
          <w:rFonts w:ascii="GT America Lt" w:hAnsi="GT America Lt"/>
          <w:sz w:val="24"/>
          <w:szCs w:val="24"/>
        </w:rPr>
        <w:t>(the “Proposed Rule”).</w:t>
      </w:r>
      <w:r w:rsidRPr="00B257D2">
        <w:rPr>
          <w:rStyle w:val="FootnoteReference"/>
          <w:rFonts w:ascii="GT America Lt" w:hAnsi="GT America Lt"/>
          <w:sz w:val="24"/>
          <w:szCs w:val="24"/>
        </w:rPr>
        <w:footnoteReference w:id="2"/>
      </w:r>
    </w:p>
    <w:p w14:paraId="59F73F28" w14:textId="77777777" w:rsidR="00142519" w:rsidRDefault="00142519" w:rsidP="00B257D2">
      <w:pPr>
        <w:pStyle w:val="BodyText"/>
        <w:spacing w:after="0" w:line="240" w:lineRule="auto"/>
        <w:ind w:firstLine="720"/>
        <w:jc w:val="both"/>
        <w:rPr>
          <w:rFonts w:ascii="GT America Lt" w:hAnsi="GT America Lt"/>
          <w:sz w:val="24"/>
          <w:szCs w:val="24"/>
        </w:rPr>
      </w:pPr>
    </w:p>
    <w:p w14:paraId="75C1D9F0" w14:textId="1309FC16" w:rsidR="00142519" w:rsidRPr="00142519" w:rsidRDefault="00142519" w:rsidP="001E3FA2">
      <w:pPr>
        <w:pStyle w:val="BodyText"/>
        <w:ind w:firstLine="720"/>
        <w:jc w:val="both"/>
        <w:rPr>
          <w:rFonts w:ascii="GT America Lt" w:hAnsi="GT America Lt"/>
          <w:sz w:val="24"/>
          <w:szCs w:val="24"/>
        </w:rPr>
      </w:pPr>
      <w:r>
        <w:rPr>
          <w:rFonts w:ascii="GT America Lt" w:hAnsi="GT America Lt"/>
          <w:sz w:val="24"/>
          <w:szCs w:val="24"/>
        </w:rPr>
        <w:t xml:space="preserve">As enumerated below, we believe that the </w:t>
      </w:r>
      <w:r w:rsidRPr="00142519">
        <w:rPr>
          <w:rFonts w:ascii="GT America Lt" w:hAnsi="GT America Lt"/>
          <w:sz w:val="24"/>
          <w:szCs w:val="24"/>
        </w:rPr>
        <w:t xml:space="preserve">CFPB </w:t>
      </w:r>
      <w:r w:rsidR="00D116D9">
        <w:rPr>
          <w:rFonts w:ascii="GT America Lt" w:hAnsi="GT America Lt"/>
          <w:sz w:val="24"/>
          <w:szCs w:val="24"/>
        </w:rPr>
        <w:t>should</w:t>
      </w:r>
      <w:r w:rsidR="00D116D9" w:rsidRPr="00142519">
        <w:rPr>
          <w:rFonts w:ascii="GT America Lt" w:hAnsi="GT America Lt"/>
          <w:sz w:val="24"/>
          <w:szCs w:val="24"/>
        </w:rPr>
        <w:t xml:space="preserve"> </w:t>
      </w:r>
      <w:r w:rsidRPr="00142519">
        <w:rPr>
          <w:rFonts w:ascii="GT America Lt" w:hAnsi="GT America Lt"/>
          <w:sz w:val="24"/>
          <w:szCs w:val="24"/>
        </w:rPr>
        <w:t>withdraw the Proposed Rule for the following reasons:</w:t>
      </w:r>
    </w:p>
    <w:p w14:paraId="28D2B743" w14:textId="77777777" w:rsidR="00142519" w:rsidRPr="00142519" w:rsidRDefault="00142519" w:rsidP="00142519">
      <w:pPr>
        <w:pStyle w:val="BodyText"/>
        <w:numPr>
          <w:ilvl w:val="1"/>
          <w:numId w:val="1"/>
        </w:numPr>
        <w:jc w:val="both"/>
        <w:rPr>
          <w:rFonts w:ascii="GT America Lt" w:hAnsi="GT America Lt"/>
          <w:sz w:val="24"/>
          <w:szCs w:val="24"/>
        </w:rPr>
      </w:pPr>
      <w:r w:rsidRPr="00142519">
        <w:rPr>
          <w:rFonts w:ascii="GT America Lt" w:hAnsi="GT America Lt"/>
          <w:sz w:val="24"/>
          <w:szCs w:val="24"/>
        </w:rPr>
        <w:t>The Proposed Rule would harm consumers and other stakeholders.</w:t>
      </w:r>
    </w:p>
    <w:p w14:paraId="36CD4E8C" w14:textId="77777777" w:rsidR="00142519" w:rsidRPr="00142519" w:rsidRDefault="00142519" w:rsidP="00142519">
      <w:pPr>
        <w:pStyle w:val="BodyText"/>
        <w:numPr>
          <w:ilvl w:val="1"/>
          <w:numId w:val="1"/>
        </w:numPr>
        <w:jc w:val="both"/>
        <w:rPr>
          <w:rFonts w:ascii="GT America Lt" w:hAnsi="GT America Lt"/>
          <w:sz w:val="24"/>
          <w:szCs w:val="24"/>
        </w:rPr>
      </w:pPr>
      <w:r w:rsidRPr="00142519">
        <w:rPr>
          <w:rFonts w:ascii="GT America Lt" w:hAnsi="GT America Lt"/>
          <w:sz w:val="24"/>
          <w:szCs w:val="24"/>
        </w:rPr>
        <w:t>The Proposed Rule would exceed the CFPB’s legal authority.</w:t>
      </w:r>
    </w:p>
    <w:p w14:paraId="7D4B1617" w14:textId="77777777" w:rsidR="00142519" w:rsidRPr="00142519" w:rsidRDefault="00142519" w:rsidP="00142519">
      <w:pPr>
        <w:pStyle w:val="BodyText"/>
        <w:numPr>
          <w:ilvl w:val="1"/>
          <w:numId w:val="1"/>
        </w:numPr>
        <w:jc w:val="both"/>
        <w:rPr>
          <w:rFonts w:ascii="GT America Lt" w:hAnsi="GT America Lt"/>
          <w:sz w:val="24"/>
          <w:szCs w:val="24"/>
        </w:rPr>
      </w:pPr>
      <w:r w:rsidRPr="00142519">
        <w:rPr>
          <w:rFonts w:ascii="GT America Lt" w:hAnsi="GT America Lt"/>
          <w:sz w:val="24"/>
          <w:szCs w:val="24"/>
        </w:rPr>
        <w:t>The CFPB should work with its regulatory partners to achieve its goals in this field through the enforcement of existing laws and regulations.</w:t>
      </w:r>
    </w:p>
    <w:p w14:paraId="17CE8FBB" w14:textId="449B6A44" w:rsidR="00142519" w:rsidRDefault="00142519" w:rsidP="00B257D2">
      <w:pPr>
        <w:pStyle w:val="BodyText"/>
        <w:spacing w:after="0" w:line="240" w:lineRule="auto"/>
        <w:ind w:firstLine="720"/>
        <w:jc w:val="both"/>
        <w:rPr>
          <w:rFonts w:ascii="GT America Lt" w:hAnsi="GT America Lt"/>
          <w:sz w:val="24"/>
          <w:szCs w:val="24"/>
        </w:rPr>
      </w:pPr>
    </w:p>
    <w:p w14:paraId="603C1076" w14:textId="1C9992AA" w:rsidR="00B257D2" w:rsidRPr="00B257D2" w:rsidRDefault="00142519" w:rsidP="001E3FA2">
      <w:pPr>
        <w:pStyle w:val="BodyText"/>
        <w:spacing w:after="0" w:line="240" w:lineRule="auto"/>
        <w:ind w:firstLine="720"/>
        <w:jc w:val="center"/>
        <w:rPr>
          <w:rFonts w:ascii="GT America Lt" w:hAnsi="GT America Lt"/>
          <w:sz w:val="24"/>
          <w:szCs w:val="24"/>
        </w:rPr>
      </w:pPr>
      <w:r>
        <w:rPr>
          <w:rFonts w:ascii="GT America Lt" w:hAnsi="GT America Lt"/>
          <w:sz w:val="24"/>
          <w:szCs w:val="24"/>
        </w:rPr>
        <w:t>***</w:t>
      </w:r>
    </w:p>
    <w:p w14:paraId="56F2757A" w14:textId="1BD02975" w:rsidR="00DF1337" w:rsidRDefault="00DF1337" w:rsidP="00B257D2">
      <w:pPr>
        <w:spacing w:after="0" w:line="240" w:lineRule="auto"/>
        <w:ind w:firstLine="720"/>
        <w:rPr>
          <w:rFonts w:ascii="GT America Lt" w:hAnsi="GT America Lt"/>
          <w:sz w:val="24"/>
          <w:szCs w:val="24"/>
        </w:rPr>
      </w:pPr>
      <w:r w:rsidRPr="00B257D2">
        <w:rPr>
          <w:rFonts w:ascii="GT America Lt" w:hAnsi="GT America Lt"/>
          <w:sz w:val="24"/>
          <w:szCs w:val="24"/>
        </w:rPr>
        <w:t>The Proposed Rule would significantly and irrevocably alter the use of data in the marketplace</w:t>
      </w:r>
      <w:r w:rsidR="003E7EBD" w:rsidRPr="00B257D2">
        <w:rPr>
          <w:rFonts w:ascii="GT America Lt" w:hAnsi="GT America Lt"/>
          <w:sz w:val="24"/>
          <w:szCs w:val="24"/>
        </w:rPr>
        <w:t xml:space="preserve"> and the financial markets</w:t>
      </w:r>
      <w:r w:rsidRPr="00B257D2">
        <w:rPr>
          <w:rFonts w:ascii="GT America Lt" w:hAnsi="GT America Lt"/>
          <w:sz w:val="24"/>
          <w:szCs w:val="24"/>
        </w:rPr>
        <w:t xml:space="preserve">. </w:t>
      </w:r>
      <w:r w:rsidR="0070289B" w:rsidRPr="00B257D2">
        <w:rPr>
          <w:rFonts w:ascii="GT America Lt" w:hAnsi="GT America Lt"/>
          <w:sz w:val="24"/>
          <w:szCs w:val="24"/>
        </w:rPr>
        <w:t>It would cause harm to consumers and other stakeholders by</w:t>
      </w:r>
      <w:r w:rsidRPr="00B257D2">
        <w:rPr>
          <w:rFonts w:ascii="GT America Lt" w:hAnsi="GT America Lt"/>
          <w:sz w:val="24"/>
          <w:szCs w:val="24"/>
        </w:rPr>
        <w:t xml:space="preserve"> heavily restrict</w:t>
      </w:r>
      <w:r w:rsidR="0070289B" w:rsidRPr="00B257D2">
        <w:rPr>
          <w:rFonts w:ascii="GT America Lt" w:hAnsi="GT America Lt"/>
          <w:sz w:val="24"/>
          <w:szCs w:val="24"/>
        </w:rPr>
        <w:t>ing</w:t>
      </w:r>
      <w:r w:rsidRPr="00B257D2">
        <w:rPr>
          <w:rFonts w:ascii="GT America Lt" w:hAnsi="GT America Lt"/>
          <w:sz w:val="24"/>
          <w:szCs w:val="24"/>
        </w:rPr>
        <w:t xml:space="preserve"> or eliminat</w:t>
      </w:r>
      <w:r w:rsidR="0070289B" w:rsidRPr="00B257D2">
        <w:rPr>
          <w:rFonts w:ascii="GT America Lt" w:hAnsi="GT America Lt"/>
          <w:sz w:val="24"/>
          <w:szCs w:val="24"/>
        </w:rPr>
        <w:t xml:space="preserve">ing efforts to provide </w:t>
      </w:r>
      <w:r w:rsidR="003E7EBD" w:rsidRPr="00B257D2">
        <w:rPr>
          <w:rFonts w:ascii="GT America Lt" w:hAnsi="GT America Lt"/>
          <w:sz w:val="24"/>
          <w:szCs w:val="24"/>
        </w:rPr>
        <w:t xml:space="preserve">key </w:t>
      </w:r>
      <w:r w:rsidR="0070289B" w:rsidRPr="00B257D2">
        <w:rPr>
          <w:rFonts w:ascii="GT America Lt" w:hAnsi="GT America Lt"/>
          <w:sz w:val="24"/>
          <w:szCs w:val="24"/>
        </w:rPr>
        <w:t xml:space="preserve">services to consumers, including fraud prevention and detection and identity theft programs. </w:t>
      </w:r>
      <w:r w:rsidR="003E7EBD" w:rsidRPr="00B257D2">
        <w:rPr>
          <w:rFonts w:ascii="GT America Lt" w:hAnsi="GT America Lt"/>
          <w:sz w:val="24"/>
          <w:szCs w:val="24"/>
        </w:rPr>
        <w:t>The</w:t>
      </w:r>
      <w:r w:rsidR="0070289B" w:rsidRPr="00B257D2">
        <w:rPr>
          <w:rFonts w:ascii="GT America Lt" w:hAnsi="GT America Lt"/>
          <w:sz w:val="24"/>
          <w:szCs w:val="24"/>
        </w:rPr>
        <w:t xml:space="preserve"> Proposed Rule would</w:t>
      </w:r>
      <w:r w:rsidR="003E7EBD" w:rsidRPr="00B257D2">
        <w:rPr>
          <w:rFonts w:ascii="GT America Lt" w:hAnsi="GT America Lt"/>
          <w:sz w:val="24"/>
          <w:szCs w:val="24"/>
        </w:rPr>
        <w:t xml:space="preserve"> also</w:t>
      </w:r>
      <w:r w:rsidR="0070289B" w:rsidRPr="00B257D2">
        <w:rPr>
          <w:rFonts w:ascii="GT America Lt" w:hAnsi="GT America Lt"/>
          <w:sz w:val="24"/>
          <w:szCs w:val="24"/>
        </w:rPr>
        <w:t xml:space="preserve"> significantly increase compliance costs, especially for entities that would be deemed a </w:t>
      </w:r>
      <w:r w:rsidR="00142519">
        <w:rPr>
          <w:rFonts w:ascii="GT America Lt" w:hAnsi="GT America Lt"/>
          <w:sz w:val="24"/>
          <w:szCs w:val="24"/>
        </w:rPr>
        <w:t>Credit Reporting Agency (“</w:t>
      </w:r>
      <w:r w:rsidR="0070289B" w:rsidRPr="00B257D2">
        <w:rPr>
          <w:rFonts w:ascii="GT America Lt" w:hAnsi="GT America Lt"/>
          <w:sz w:val="24"/>
          <w:szCs w:val="24"/>
        </w:rPr>
        <w:t>CRA</w:t>
      </w:r>
      <w:r w:rsidR="00142519">
        <w:rPr>
          <w:rFonts w:ascii="GT America Lt" w:hAnsi="GT America Lt"/>
          <w:sz w:val="24"/>
          <w:szCs w:val="24"/>
        </w:rPr>
        <w:t>”)</w:t>
      </w:r>
      <w:r w:rsidR="0037076B" w:rsidRPr="00B257D2">
        <w:rPr>
          <w:rFonts w:ascii="GT America Lt" w:hAnsi="GT America Lt"/>
          <w:sz w:val="24"/>
          <w:szCs w:val="24"/>
        </w:rPr>
        <w:t xml:space="preserve"> for the first time</w:t>
      </w:r>
      <w:r w:rsidR="0070289B" w:rsidRPr="00B257D2">
        <w:rPr>
          <w:rFonts w:ascii="GT America Lt" w:hAnsi="GT America Lt"/>
          <w:sz w:val="24"/>
          <w:szCs w:val="24"/>
        </w:rPr>
        <w:t xml:space="preserve"> under the Proposed Rule. </w:t>
      </w:r>
      <w:r w:rsidR="003E7EBD" w:rsidRPr="00B257D2">
        <w:rPr>
          <w:rFonts w:ascii="GT America Lt" w:hAnsi="GT America Lt"/>
          <w:sz w:val="24"/>
          <w:szCs w:val="24"/>
        </w:rPr>
        <w:t>In addition to its harmful impacts</w:t>
      </w:r>
      <w:r w:rsidR="0070289B" w:rsidRPr="00B257D2">
        <w:rPr>
          <w:rFonts w:ascii="GT America Lt" w:hAnsi="GT America Lt"/>
          <w:sz w:val="24"/>
          <w:szCs w:val="24"/>
        </w:rPr>
        <w:t xml:space="preserve">, the Proposed Rule </w:t>
      </w:r>
      <w:r w:rsidR="0070289B" w:rsidRPr="00B257D2">
        <w:rPr>
          <w:rFonts w:ascii="GT America Lt" w:hAnsi="GT America Lt"/>
          <w:sz w:val="24"/>
          <w:szCs w:val="24"/>
        </w:rPr>
        <w:lastRenderedPageBreak/>
        <w:t>exceeds the CFPB’s statutory mandate under the</w:t>
      </w:r>
      <w:r w:rsidR="00142519">
        <w:rPr>
          <w:rFonts w:ascii="GT America Lt" w:hAnsi="GT America Lt"/>
          <w:sz w:val="24"/>
          <w:szCs w:val="24"/>
        </w:rPr>
        <w:t xml:space="preserve"> Fair Credit Reporting Act (“</w:t>
      </w:r>
      <w:r w:rsidR="0070289B" w:rsidRPr="00B257D2">
        <w:rPr>
          <w:rFonts w:ascii="GT America Lt" w:hAnsi="GT America Lt"/>
          <w:sz w:val="24"/>
          <w:szCs w:val="24"/>
        </w:rPr>
        <w:t>FCRA</w:t>
      </w:r>
      <w:r w:rsidR="00142519">
        <w:rPr>
          <w:rFonts w:ascii="GT America Lt" w:hAnsi="GT America Lt"/>
          <w:sz w:val="24"/>
          <w:szCs w:val="24"/>
        </w:rPr>
        <w:t>”)</w:t>
      </w:r>
      <w:r w:rsidR="0070289B" w:rsidRPr="00B257D2">
        <w:rPr>
          <w:rFonts w:ascii="GT America Lt" w:hAnsi="GT America Lt"/>
          <w:sz w:val="24"/>
          <w:szCs w:val="24"/>
        </w:rPr>
        <w:t xml:space="preserve"> by ignoring the text of the statute and </w:t>
      </w:r>
      <w:r w:rsidR="009F622A" w:rsidRPr="00B257D2">
        <w:rPr>
          <w:rFonts w:ascii="GT America Lt" w:hAnsi="GT America Lt"/>
          <w:sz w:val="24"/>
          <w:szCs w:val="24"/>
        </w:rPr>
        <w:t>running afoul of</w:t>
      </w:r>
      <w:r w:rsidR="0070289B" w:rsidRPr="00B257D2">
        <w:rPr>
          <w:rFonts w:ascii="GT America Lt" w:hAnsi="GT America Lt"/>
          <w:sz w:val="24"/>
          <w:szCs w:val="24"/>
        </w:rPr>
        <w:t xml:space="preserve"> First Amendment protections.</w:t>
      </w:r>
      <w:r w:rsidR="009F622A" w:rsidRPr="00B257D2">
        <w:rPr>
          <w:rFonts w:ascii="GT America Lt" w:hAnsi="GT America Lt"/>
          <w:sz w:val="24"/>
          <w:szCs w:val="24"/>
        </w:rPr>
        <w:t xml:space="preserve"> </w:t>
      </w:r>
      <w:r w:rsidR="003E7EBD" w:rsidRPr="00B257D2">
        <w:rPr>
          <w:rFonts w:ascii="GT America Lt" w:hAnsi="GT America Lt"/>
          <w:sz w:val="24"/>
          <w:szCs w:val="24"/>
        </w:rPr>
        <w:t xml:space="preserve">And while </w:t>
      </w:r>
      <w:r w:rsidR="009F622A" w:rsidRPr="00B257D2">
        <w:rPr>
          <w:rFonts w:ascii="GT America Lt" w:hAnsi="GT America Lt"/>
          <w:sz w:val="24"/>
          <w:szCs w:val="24"/>
        </w:rPr>
        <w:t>the FCRA certainly incorporates privacy protections for consumer reporting data, the FCRA is not a broad privacy law in the way the CFPB attempts to</w:t>
      </w:r>
      <w:r w:rsidR="003E7EBD" w:rsidRPr="00B257D2">
        <w:rPr>
          <w:rFonts w:ascii="GT America Lt" w:hAnsi="GT America Lt"/>
          <w:sz w:val="24"/>
          <w:szCs w:val="24"/>
        </w:rPr>
        <w:t xml:space="preserve"> use it in</w:t>
      </w:r>
      <w:r w:rsidR="009F622A" w:rsidRPr="00B257D2">
        <w:rPr>
          <w:rFonts w:ascii="GT America Lt" w:hAnsi="GT America Lt"/>
          <w:sz w:val="24"/>
          <w:szCs w:val="24"/>
        </w:rPr>
        <w:t xml:space="preserve"> the Proposed Rule.</w:t>
      </w:r>
      <w:r w:rsidR="0070289B" w:rsidRPr="00B257D2">
        <w:rPr>
          <w:rFonts w:ascii="GT America Lt" w:hAnsi="GT America Lt"/>
          <w:sz w:val="24"/>
          <w:szCs w:val="24"/>
        </w:rPr>
        <w:t xml:space="preserve"> </w:t>
      </w:r>
      <w:r w:rsidR="009F622A" w:rsidRPr="00B257D2">
        <w:rPr>
          <w:rFonts w:ascii="GT America Lt" w:hAnsi="GT America Lt"/>
          <w:sz w:val="24"/>
          <w:szCs w:val="24"/>
        </w:rPr>
        <w:t>For these reasons, the</w:t>
      </w:r>
      <w:r w:rsidR="0070289B" w:rsidRPr="00B257D2">
        <w:rPr>
          <w:rFonts w:ascii="GT America Lt" w:hAnsi="GT America Lt"/>
          <w:sz w:val="24"/>
          <w:szCs w:val="24"/>
        </w:rPr>
        <w:t xml:space="preserve"> CFPB should withdraw th</w:t>
      </w:r>
      <w:r w:rsidR="003E7EBD" w:rsidRPr="00B257D2">
        <w:rPr>
          <w:rFonts w:ascii="GT America Lt" w:hAnsi="GT America Lt"/>
          <w:sz w:val="24"/>
          <w:szCs w:val="24"/>
        </w:rPr>
        <w:t>e</w:t>
      </w:r>
      <w:r w:rsidR="0070289B" w:rsidRPr="00B257D2">
        <w:rPr>
          <w:rFonts w:ascii="GT America Lt" w:hAnsi="GT America Lt"/>
          <w:sz w:val="24"/>
          <w:szCs w:val="24"/>
        </w:rPr>
        <w:t xml:space="preserve"> </w:t>
      </w:r>
      <w:r w:rsidR="009F622A" w:rsidRPr="00B257D2">
        <w:rPr>
          <w:rFonts w:ascii="GT America Lt" w:hAnsi="GT America Lt"/>
          <w:sz w:val="24"/>
          <w:szCs w:val="24"/>
        </w:rPr>
        <w:t>Proposed Rule</w:t>
      </w:r>
      <w:r w:rsidR="0070289B" w:rsidRPr="00B257D2">
        <w:rPr>
          <w:rFonts w:ascii="GT America Lt" w:hAnsi="GT America Lt"/>
          <w:sz w:val="24"/>
          <w:szCs w:val="24"/>
        </w:rPr>
        <w:t>.</w:t>
      </w:r>
    </w:p>
    <w:p w14:paraId="559B7B96" w14:textId="77777777" w:rsidR="00B257D2" w:rsidRPr="00B257D2" w:rsidRDefault="00B257D2" w:rsidP="00B257D2">
      <w:pPr>
        <w:spacing w:after="0" w:line="240" w:lineRule="auto"/>
        <w:ind w:firstLine="720"/>
        <w:rPr>
          <w:rFonts w:ascii="GT America Lt" w:hAnsi="GT America Lt"/>
          <w:sz w:val="24"/>
          <w:szCs w:val="24"/>
        </w:rPr>
      </w:pPr>
    </w:p>
    <w:p w14:paraId="1B031442" w14:textId="6F517946" w:rsidR="00256E8A" w:rsidRDefault="00C4072F" w:rsidP="00B257D2">
      <w:pPr>
        <w:spacing w:after="0" w:line="240" w:lineRule="auto"/>
        <w:ind w:firstLine="720"/>
        <w:rPr>
          <w:rFonts w:ascii="GT America Lt" w:hAnsi="GT America Lt"/>
          <w:sz w:val="24"/>
          <w:szCs w:val="24"/>
        </w:rPr>
      </w:pPr>
      <w:r w:rsidRPr="00B257D2">
        <w:rPr>
          <w:rFonts w:ascii="GT America Lt" w:hAnsi="GT America Lt"/>
          <w:sz w:val="24"/>
          <w:szCs w:val="24"/>
        </w:rPr>
        <w:t>Consumer data plays a critical role in the modern economy. Financial institutions and other companies use consumer data in fraud prevention efforts. Companies use consumer data to verify the identities of consumers seeking to make transactions</w:t>
      </w:r>
      <w:r w:rsidR="00B2209F" w:rsidRPr="00B257D2">
        <w:rPr>
          <w:rFonts w:ascii="GT America Lt" w:hAnsi="GT America Lt"/>
          <w:sz w:val="24"/>
          <w:szCs w:val="24"/>
        </w:rPr>
        <w:t xml:space="preserve"> in</w:t>
      </w:r>
      <w:r w:rsidRPr="00B257D2">
        <w:rPr>
          <w:rFonts w:ascii="GT America Lt" w:hAnsi="GT America Lt"/>
          <w:sz w:val="24"/>
          <w:szCs w:val="24"/>
        </w:rPr>
        <w:t xml:space="preserve"> the marketplace, to provide consumers more tailored products, and to reduce risk for consumers and the market.</w:t>
      </w:r>
      <w:r w:rsidR="00E318EE" w:rsidRPr="00B257D2">
        <w:rPr>
          <w:rFonts w:ascii="GT America Lt" w:hAnsi="GT America Lt"/>
          <w:sz w:val="24"/>
          <w:szCs w:val="24"/>
        </w:rPr>
        <w:t xml:space="preserve"> Law enforcement uses consumer data for purposes that include locating missing children and arresting suspected criminals. Data brokers, including those offering products and services </w:t>
      </w:r>
      <w:r w:rsidR="00E318EE" w:rsidRPr="00B257D2">
        <w:rPr>
          <w:rFonts w:ascii="GT America Lt" w:hAnsi="GT America Lt"/>
          <w:i/>
          <w:iCs/>
          <w:sz w:val="24"/>
          <w:szCs w:val="24"/>
        </w:rPr>
        <w:t>not</w:t>
      </w:r>
      <w:r w:rsidR="00E318EE" w:rsidRPr="00B257D2">
        <w:rPr>
          <w:rFonts w:ascii="GT America Lt" w:hAnsi="GT America Lt"/>
          <w:sz w:val="24"/>
          <w:szCs w:val="24"/>
        </w:rPr>
        <w:t xml:space="preserve"> regulated by the </w:t>
      </w:r>
      <w:r w:rsidR="00256E8A" w:rsidRPr="00B257D2">
        <w:rPr>
          <w:rFonts w:ascii="GT America Lt" w:hAnsi="GT America Lt"/>
          <w:sz w:val="24"/>
          <w:szCs w:val="24"/>
        </w:rPr>
        <w:t>Fair Credit Reporting Act (“FCRA”)</w:t>
      </w:r>
      <w:r w:rsidR="00E318EE" w:rsidRPr="00B257D2">
        <w:rPr>
          <w:rFonts w:ascii="GT America Lt" w:hAnsi="GT America Lt"/>
          <w:sz w:val="24"/>
          <w:szCs w:val="24"/>
        </w:rPr>
        <w:t xml:space="preserve">, play an important role in </w:t>
      </w:r>
      <w:r w:rsidR="0007107A" w:rsidRPr="00B257D2">
        <w:rPr>
          <w:rFonts w:ascii="GT America Lt" w:hAnsi="GT America Lt"/>
          <w:sz w:val="24"/>
          <w:szCs w:val="24"/>
        </w:rPr>
        <w:t>providing the products and services</w:t>
      </w:r>
      <w:r w:rsidR="00E318EE" w:rsidRPr="00B257D2">
        <w:rPr>
          <w:rFonts w:ascii="GT America Lt" w:hAnsi="GT America Lt"/>
          <w:sz w:val="24"/>
          <w:szCs w:val="24"/>
        </w:rPr>
        <w:t>.</w:t>
      </w:r>
      <w:r w:rsidR="00256E8A" w:rsidRPr="00B257D2">
        <w:rPr>
          <w:rFonts w:ascii="GT America Lt" w:hAnsi="GT America Lt"/>
          <w:sz w:val="24"/>
          <w:szCs w:val="24"/>
        </w:rPr>
        <w:t xml:space="preserve"> In doing so, data brokers help consumers receive better</w:t>
      </w:r>
      <w:r w:rsidR="00A256FB" w:rsidRPr="00B257D2">
        <w:rPr>
          <w:rFonts w:ascii="GT America Lt" w:hAnsi="GT America Lt"/>
          <w:sz w:val="24"/>
          <w:szCs w:val="24"/>
        </w:rPr>
        <w:t>-</w:t>
      </w:r>
      <w:r w:rsidR="00256E8A" w:rsidRPr="00B257D2">
        <w:rPr>
          <w:rFonts w:ascii="GT America Lt" w:hAnsi="GT America Lt"/>
          <w:sz w:val="24"/>
          <w:szCs w:val="24"/>
        </w:rPr>
        <w:t>tailored and lower</w:t>
      </w:r>
      <w:r w:rsidR="00A256FB" w:rsidRPr="00B257D2">
        <w:rPr>
          <w:rFonts w:ascii="GT America Lt" w:hAnsi="GT America Lt"/>
          <w:sz w:val="24"/>
          <w:szCs w:val="24"/>
        </w:rPr>
        <w:t>-</w:t>
      </w:r>
      <w:r w:rsidR="00256E8A" w:rsidRPr="00B257D2">
        <w:rPr>
          <w:rFonts w:ascii="GT America Lt" w:hAnsi="GT America Lt"/>
          <w:sz w:val="24"/>
          <w:szCs w:val="24"/>
        </w:rPr>
        <w:t>priced products and services across a wide range of context</w:t>
      </w:r>
      <w:r w:rsidR="00BD0D1B" w:rsidRPr="00B257D2">
        <w:rPr>
          <w:rFonts w:ascii="GT America Lt" w:hAnsi="GT America Lt"/>
          <w:sz w:val="24"/>
          <w:szCs w:val="24"/>
        </w:rPr>
        <w:t>s—all while subject to a range of different regulatory schemes.</w:t>
      </w:r>
    </w:p>
    <w:p w14:paraId="7E23C4B3" w14:textId="77777777" w:rsidR="00B257D2" w:rsidRPr="00B257D2" w:rsidRDefault="00B257D2" w:rsidP="00B257D2">
      <w:pPr>
        <w:spacing w:after="0" w:line="240" w:lineRule="auto"/>
        <w:ind w:firstLine="720"/>
        <w:rPr>
          <w:rFonts w:ascii="GT America Lt" w:hAnsi="GT America Lt"/>
          <w:sz w:val="24"/>
          <w:szCs w:val="24"/>
        </w:rPr>
      </w:pPr>
    </w:p>
    <w:p w14:paraId="3D8F85D2" w14:textId="7CC712BC" w:rsidR="00C4072F" w:rsidRDefault="00256E8A" w:rsidP="00B257D2">
      <w:pPr>
        <w:spacing w:after="0" w:line="240" w:lineRule="auto"/>
        <w:ind w:firstLine="720"/>
        <w:rPr>
          <w:rFonts w:ascii="GT America Lt" w:hAnsi="GT America Lt"/>
          <w:sz w:val="24"/>
          <w:szCs w:val="24"/>
        </w:rPr>
      </w:pPr>
      <w:r w:rsidRPr="00B257D2">
        <w:rPr>
          <w:rFonts w:ascii="GT America Lt" w:hAnsi="GT America Lt"/>
          <w:sz w:val="24"/>
          <w:szCs w:val="24"/>
        </w:rPr>
        <w:t>The CFPB now would impose its own vision of how the data economy</w:t>
      </w:r>
      <w:r w:rsidR="00BD0D1B" w:rsidRPr="00B257D2">
        <w:rPr>
          <w:rFonts w:ascii="GT America Lt" w:hAnsi="GT America Lt"/>
          <w:sz w:val="24"/>
          <w:szCs w:val="24"/>
        </w:rPr>
        <w:t xml:space="preserve"> should operate</w:t>
      </w:r>
      <w:r w:rsidRPr="00B257D2">
        <w:rPr>
          <w:rFonts w:ascii="GT America Lt" w:hAnsi="GT America Lt"/>
          <w:sz w:val="24"/>
          <w:szCs w:val="24"/>
        </w:rPr>
        <w:t xml:space="preserve">, disregarding both market forces and the policy judgments reflected in governing law. To do so, it would unmoor the FCRA from its intended purpose and transform it into a </w:t>
      </w:r>
      <w:r w:rsidR="005224ED" w:rsidRPr="00B257D2">
        <w:rPr>
          <w:rFonts w:ascii="GT America Lt" w:hAnsi="GT America Lt"/>
          <w:sz w:val="24"/>
          <w:szCs w:val="24"/>
        </w:rPr>
        <w:t>general-purpose</w:t>
      </w:r>
      <w:r w:rsidRPr="00B257D2">
        <w:rPr>
          <w:rFonts w:ascii="GT America Lt" w:hAnsi="GT America Lt"/>
          <w:sz w:val="24"/>
          <w:szCs w:val="24"/>
        </w:rPr>
        <w:t xml:space="preserve"> privacy statute by, among other actions: </w:t>
      </w:r>
      <w:r w:rsidR="00E318EE" w:rsidRPr="00B257D2">
        <w:rPr>
          <w:rFonts w:ascii="GT America Lt" w:hAnsi="GT America Lt"/>
          <w:sz w:val="24"/>
          <w:szCs w:val="24"/>
        </w:rPr>
        <w:t xml:space="preserve"> </w:t>
      </w:r>
    </w:p>
    <w:p w14:paraId="5629C6B3" w14:textId="77777777" w:rsidR="00DB547A" w:rsidRPr="00B257D2" w:rsidRDefault="00DB547A" w:rsidP="00B257D2">
      <w:pPr>
        <w:spacing w:after="0" w:line="240" w:lineRule="auto"/>
        <w:ind w:firstLine="720"/>
        <w:rPr>
          <w:rFonts w:ascii="GT America Lt" w:hAnsi="GT America Lt"/>
          <w:sz w:val="24"/>
          <w:szCs w:val="24"/>
        </w:rPr>
      </w:pPr>
    </w:p>
    <w:p w14:paraId="7B91ECD3" w14:textId="569C1C8B" w:rsidR="00647777" w:rsidRPr="00B257D2" w:rsidRDefault="00E17C7F" w:rsidP="00B257D2">
      <w:pPr>
        <w:pStyle w:val="BodyText"/>
        <w:numPr>
          <w:ilvl w:val="0"/>
          <w:numId w:val="5"/>
        </w:numPr>
        <w:spacing w:after="0" w:line="240" w:lineRule="auto"/>
        <w:jc w:val="both"/>
        <w:rPr>
          <w:rFonts w:ascii="GT America Lt" w:hAnsi="GT America Lt"/>
          <w:sz w:val="24"/>
          <w:szCs w:val="24"/>
        </w:rPr>
      </w:pPr>
      <w:r w:rsidRPr="00B257D2">
        <w:rPr>
          <w:rFonts w:ascii="GT America Lt" w:hAnsi="GT America Lt"/>
          <w:sz w:val="24"/>
          <w:szCs w:val="24"/>
        </w:rPr>
        <w:t>Greatly expanding the circumstances in which</w:t>
      </w:r>
      <w:r w:rsidR="00647777" w:rsidRPr="00B257D2">
        <w:rPr>
          <w:rFonts w:ascii="GT America Lt" w:hAnsi="GT America Lt"/>
          <w:sz w:val="24"/>
          <w:szCs w:val="24"/>
        </w:rPr>
        <w:t xml:space="preserve"> types of activities conducted by a data broker and</w:t>
      </w:r>
      <w:r w:rsidRPr="00B257D2">
        <w:rPr>
          <w:rFonts w:ascii="GT America Lt" w:hAnsi="GT America Lt"/>
          <w:sz w:val="24"/>
          <w:szCs w:val="24"/>
        </w:rPr>
        <w:t xml:space="preserve"> third-party use of information provided by a data broker will subject that data broker to the </w:t>
      </w:r>
      <w:proofErr w:type="gramStart"/>
      <w:r w:rsidRPr="00B257D2">
        <w:rPr>
          <w:rFonts w:ascii="GT America Lt" w:hAnsi="GT America Lt"/>
          <w:sz w:val="24"/>
          <w:szCs w:val="24"/>
        </w:rPr>
        <w:t>FCRA;</w:t>
      </w:r>
      <w:proofErr w:type="gramEnd"/>
    </w:p>
    <w:p w14:paraId="223C7E66" w14:textId="0E0E11E7" w:rsidR="00061196" w:rsidRPr="00B257D2" w:rsidRDefault="00256E8A" w:rsidP="00B257D2">
      <w:pPr>
        <w:pStyle w:val="BodyText"/>
        <w:numPr>
          <w:ilvl w:val="0"/>
          <w:numId w:val="5"/>
        </w:numPr>
        <w:spacing w:after="0" w:line="240" w:lineRule="auto"/>
        <w:jc w:val="both"/>
        <w:rPr>
          <w:rFonts w:ascii="GT America Lt" w:hAnsi="GT America Lt"/>
          <w:sz w:val="24"/>
          <w:szCs w:val="24"/>
        </w:rPr>
      </w:pPr>
      <w:r w:rsidRPr="00B257D2">
        <w:rPr>
          <w:rFonts w:ascii="GT America Lt" w:hAnsi="GT America Lt"/>
          <w:sz w:val="24"/>
          <w:szCs w:val="24"/>
        </w:rPr>
        <w:t xml:space="preserve">Substantially expanding the types of information </w:t>
      </w:r>
      <w:r w:rsidR="00E17C7F" w:rsidRPr="00B257D2">
        <w:rPr>
          <w:rFonts w:ascii="GT America Lt" w:hAnsi="GT America Lt"/>
          <w:sz w:val="24"/>
          <w:szCs w:val="24"/>
        </w:rPr>
        <w:t>to be treated as</w:t>
      </w:r>
      <w:r w:rsidRPr="00B257D2">
        <w:rPr>
          <w:rFonts w:ascii="GT America Lt" w:hAnsi="GT America Lt"/>
          <w:sz w:val="24"/>
          <w:szCs w:val="24"/>
        </w:rPr>
        <w:t xml:space="preserve"> a “consumer report” subject to the FCRA; </w:t>
      </w:r>
      <w:r w:rsidR="00A256FB" w:rsidRPr="00B257D2">
        <w:rPr>
          <w:rFonts w:ascii="GT America Lt" w:hAnsi="GT America Lt"/>
          <w:sz w:val="24"/>
          <w:szCs w:val="24"/>
        </w:rPr>
        <w:t>and</w:t>
      </w:r>
    </w:p>
    <w:p w14:paraId="7F93D528" w14:textId="17DC15D5" w:rsidR="00647777" w:rsidRDefault="00256E8A" w:rsidP="00B257D2">
      <w:pPr>
        <w:pStyle w:val="BodyText"/>
        <w:numPr>
          <w:ilvl w:val="0"/>
          <w:numId w:val="5"/>
        </w:numPr>
        <w:spacing w:after="0" w:line="240" w:lineRule="auto"/>
        <w:jc w:val="both"/>
        <w:rPr>
          <w:rFonts w:ascii="GT America Lt" w:hAnsi="GT America Lt"/>
          <w:sz w:val="24"/>
          <w:szCs w:val="24"/>
        </w:rPr>
      </w:pPr>
      <w:r w:rsidRPr="00B257D2">
        <w:rPr>
          <w:rFonts w:ascii="GT America Lt" w:hAnsi="GT America Lt"/>
          <w:sz w:val="24"/>
          <w:szCs w:val="24"/>
        </w:rPr>
        <w:t>Imposing unworkable requirements upon certain customer disclosures</w:t>
      </w:r>
      <w:r w:rsidR="00E17C7F" w:rsidRPr="00B257D2">
        <w:rPr>
          <w:rFonts w:ascii="GT America Lt" w:hAnsi="GT America Lt"/>
          <w:sz w:val="24"/>
          <w:szCs w:val="24"/>
        </w:rPr>
        <w:t xml:space="preserve"> and consents.</w:t>
      </w:r>
    </w:p>
    <w:p w14:paraId="0DF347D7" w14:textId="30A142D3" w:rsidR="00B257D2" w:rsidRPr="00B257D2" w:rsidRDefault="00B257D2" w:rsidP="00B257D2">
      <w:pPr>
        <w:pStyle w:val="BodyText"/>
        <w:spacing w:after="0" w:line="240" w:lineRule="auto"/>
        <w:ind w:left="720"/>
        <w:jc w:val="both"/>
        <w:rPr>
          <w:rFonts w:ascii="GT America Lt" w:hAnsi="GT America Lt"/>
          <w:sz w:val="24"/>
          <w:szCs w:val="24"/>
        </w:rPr>
      </w:pPr>
    </w:p>
    <w:p w14:paraId="732A58C0" w14:textId="168DBFFB" w:rsidR="00900F29" w:rsidRDefault="00A51420" w:rsidP="00B257D2">
      <w:pPr>
        <w:spacing w:after="0" w:line="240" w:lineRule="auto"/>
        <w:ind w:firstLine="720"/>
        <w:rPr>
          <w:rFonts w:ascii="GT America Lt" w:hAnsi="GT America Lt"/>
          <w:sz w:val="24"/>
          <w:szCs w:val="24"/>
        </w:rPr>
      </w:pPr>
      <w:r w:rsidRPr="00B257D2">
        <w:rPr>
          <w:rFonts w:ascii="GT America Lt" w:hAnsi="GT America Lt"/>
          <w:sz w:val="24"/>
          <w:szCs w:val="24"/>
        </w:rPr>
        <w:t>The</w:t>
      </w:r>
      <w:r w:rsidR="00E17C7F" w:rsidRPr="00B257D2">
        <w:rPr>
          <w:rFonts w:ascii="GT America Lt" w:hAnsi="GT America Lt"/>
          <w:sz w:val="24"/>
          <w:szCs w:val="24"/>
        </w:rPr>
        <w:t>se and other significant changes contemplated by the</w:t>
      </w:r>
      <w:r w:rsidRPr="00B257D2">
        <w:rPr>
          <w:rFonts w:ascii="GT America Lt" w:hAnsi="GT America Lt"/>
          <w:sz w:val="24"/>
          <w:szCs w:val="24"/>
        </w:rPr>
        <w:t xml:space="preserve"> Proposed Rule would </w:t>
      </w:r>
      <w:r w:rsidR="00E17C7F" w:rsidRPr="00B257D2">
        <w:rPr>
          <w:rFonts w:ascii="GT America Lt" w:hAnsi="GT America Lt"/>
          <w:sz w:val="24"/>
          <w:szCs w:val="24"/>
        </w:rPr>
        <w:t xml:space="preserve">significantly </w:t>
      </w:r>
      <w:r w:rsidRPr="00B257D2">
        <w:rPr>
          <w:rFonts w:ascii="GT America Lt" w:hAnsi="GT America Lt"/>
          <w:sz w:val="24"/>
          <w:szCs w:val="24"/>
        </w:rPr>
        <w:t xml:space="preserve">disrupt the </w:t>
      </w:r>
      <w:r w:rsidR="00E17C7F" w:rsidRPr="00B257D2">
        <w:rPr>
          <w:rFonts w:ascii="GT America Lt" w:hAnsi="GT America Lt"/>
          <w:sz w:val="24"/>
          <w:szCs w:val="24"/>
        </w:rPr>
        <w:t xml:space="preserve">data broker </w:t>
      </w:r>
      <w:r w:rsidRPr="00B257D2">
        <w:rPr>
          <w:rFonts w:ascii="GT America Lt" w:hAnsi="GT America Lt"/>
          <w:sz w:val="24"/>
          <w:szCs w:val="24"/>
        </w:rPr>
        <w:t>market</w:t>
      </w:r>
      <w:r w:rsidR="00E17C7F" w:rsidRPr="00B257D2">
        <w:rPr>
          <w:rFonts w:ascii="GT America Lt" w:hAnsi="GT America Lt"/>
          <w:sz w:val="24"/>
          <w:szCs w:val="24"/>
        </w:rPr>
        <w:t>place</w:t>
      </w:r>
      <w:r w:rsidR="00B2209F" w:rsidRPr="00B257D2">
        <w:rPr>
          <w:rFonts w:ascii="GT America Lt" w:hAnsi="GT America Lt"/>
          <w:sz w:val="24"/>
          <w:szCs w:val="24"/>
        </w:rPr>
        <w:t xml:space="preserve"> and harm consumers</w:t>
      </w:r>
      <w:r w:rsidRPr="00B257D2">
        <w:rPr>
          <w:rFonts w:ascii="GT America Lt" w:hAnsi="GT America Lt"/>
          <w:sz w:val="24"/>
          <w:szCs w:val="24"/>
        </w:rPr>
        <w:t xml:space="preserve">. </w:t>
      </w:r>
      <w:r w:rsidR="00BD0D1B" w:rsidRPr="00B257D2">
        <w:rPr>
          <w:rFonts w:ascii="GT America Lt" w:hAnsi="GT America Lt"/>
          <w:sz w:val="24"/>
          <w:szCs w:val="24"/>
        </w:rPr>
        <w:t>U</w:t>
      </w:r>
      <w:r w:rsidRPr="00B257D2">
        <w:rPr>
          <w:rFonts w:ascii="GT America Lt" w:hAnsi="GT America Lt"/>
          <w:sz w:val="24"/>
          <w:szCs w:val="24"/>
        </w:rPr>
        <w:t>nintended consequences</w:t>
      </w:r>
      <w:r w:rsidR="00BD0D1B" w:rsidRPr="00B257D2">
        <w:rPr>
          <w:rFonts w:ascii="GT America Lt" w:hAnsi="GT America Lt"/>
          <w:sz w:val="24"/>
          <w:szCs w:val="24"/>
        </w:rPr>
        <w:t xml:space="preserve"> of the Proposed Rule would include</w:t>
      </w:r>
      <w:r w:rsidRPr="00B257D2">
        <w:rPr>
          <w:rFonts w:ascii="GT America Lt" w:hAnsi="GT America Lt"/>
          <w:sz w:val="24"/>
          <w:szCs w:val="24"/>
        </w:rPr>
        <w:t xml:space="preserve"> increased fraud, limitations on lawful uses of data by law enforcement, a less seamless transaction experience</w:t>
      </w:r>
      <w:r w:rsidR="00E17C7F" w:rsidRPr="00B257D2">
        <w:rPr>
          <w:rFonts w:ascii="GT America Lt" w:hAnsi="GT America Lt"/>
          <w:sz w:val="24"/>
          <w:szCs w:val="24"/>
        </w:rPr>
        <w:t>, and higher costs for consumers</w:t>
      </w:r>
      <w:r w:rsidRPr="00B257D2">
        <w:rPr>
          <w:rFonts w:ascii="GT America Lt" w:hAnsi="GT America Lt"/>
          <w:sz w:val="24"/>
          <w:szCs w:val="24"/>
        </w:rPr>
        <w:t xml:space="preserve">. Further, the Proposed Rule </w:t>
      </w:r>
      <w:r w:rsidR="00E17C7F" w:rsidRPr="00B257D2">
        <w:rPr>
          <w:rFonts w:ascii="GT America Lt" w:hAnsi="GT America Lt"/>
          <w:sz w:val="24"/>
          <w:szCs w:val="24"/>
        </w:rPr>
        <w:t xml:space="preserve">would </w:t>
      </w:r>
      <w:r w:rsidRPr="00B257D2">
        <w:rPr>
          <w:rFonts w:ascii="GT America Lt" w:hAnsi="GT America Lt"/>
          <w:sz w:val="24"/>
          <w:szCs w:val="24"/>
        </w:rPr>
        <w:t xml:space="preserve">have a chilling effect on the willingness of creditors to extend credit, resulting in reduced competition and a reduction in credit access. </w:t>
      </w:r>
      <w:r w:rsidR="001325FE" w:rsidRPr="00B257D2">
        <w:rPr>
          <w:rFonts w:ascii="GT America Lt" w:hAnsi="GT America Lt"/>
          <w:sz w:val="24"/>
          <w:szCs w:val="24"/>
        </w:rPr>
        <w:t>These impacts are incompatible with the purpose of the CFPB</w:t>
      </w:r>
      <w:r w:rsidR="00E17C7F" w:rsidRPr="00B257D2">
        <w:rPr>
          <w:rFonts w:ascii="GT America Lt" w:hAnsi="GT America Lt"/>
          <w:sz w:val="24"/>
          <w:szCs w:val="24"/>
        </w:rPr>
        <w:t xml:space="preserve"> to </w:t>
      </w:r>
      <w:r w:rsidR="001325FE" w:rsidRPr="00B257D2">
        <w:rPr>
          <w:rFonts w:ascii="GT America Lt" w:hAnsi="GT America Lt"/>
          <w:sz w:val="24"/>
          <w:szCs w:val="24"/>
        </w:rPr>
        <w:t>“</w:t>
      </w:r>
      <w:proofErr w:type="spellStart"/>
      <w:r w:rsidR="00E17C7F" w:rsidRPr="00B257D2">
        <w:rPr>
          <w:rFonts w:ascii="GT America Lt" w:hAnsi="GT America Lt"/>
          <w:sz w:val="24"/>
          <w:szCs w:val="24"/>
        </w:rPr>
        <w:t>ensur</w:t>
      </w:r>
      <w:proofErr w:type="spellEnd"/>
      <w:r w:rsidR="00E17C7F" w:rsidRPr="00B257D2">
        <w:rPr>
          <w:rFonts w:ascii="GT America Lt" w:hAnsi="GT America Lt"/>
          <w:sz w:val="24"/>
          <w:szCs w:val="24"/>
        </w:rPr>
        <w:t xml:space="preserve">[e] </w:t>
      </w:r>
      <w:r w:rsidR="001325FE" w:rsidRPr="00B257D2">
        <w:rPr>
          <w:rFonts w:ascii="GT America Lt" w:hAnsi="GT America Lt"/>
          <w:sz w:val="24"/>
          <w:szCs w:val="24"/>
        </w:rPr>
        <w:t>that all consumers have access to markets for consumer financial products and services and that markets for consumer financial products and services are fair, transparent, and competitive.”</w:t>
      </w:r>
      <w:r w:rsidR="001325FE" w:rsidRPr="00B257D2">
        <w:rPr>
          <w:rStyle w:val="FootnoteReference"/>
          <w:rFonts w:ascii="GT America Lt" w:hAnsi="GT America Lt"/>
          <w:sz w:val="24"/>
          <w:szCs w:val="24"/>
        </w:rPr>
        <w:footnoteReference w:id="3"/>
      </w:r>
    </w:p>
    <w:p w14:paraId="0C1B1838" w14:textId="77777777" w:rsidR="00B257D2" w:rsidRPr="00B257D2" w:rsidRDefault="00B257D2" w:rsidP="00B257D2">
      <w:pPr>
        <w:spacing w:after="0" w:line="240" w:lineRule="auto"/>
        <w:ind w:firstLine="720"/>
        <w:rPr>
          <w:rFonts w:ascii="GT America Lt" w:hAnsi="GT America Lt"/>
          <w:sz w:val="24"/>
          <w:szCs w:val="24"/>
        </w:rPr>
      </w:pPr>
    </w:p>
    <w:p w14:paraId="265D9016" w14:textId="71C58441" w:rsidR="001325FE" w:rsidRPr="00B257D2" w:rsidRDefault="0007107A" w:rsidP="00B257D2">
      <w:pPr>
        <w:spacing w:after="0" w:line="240" w:lineRule="auto"/>
        <w:ind w:firstLine="720"/>
        <w:rPr>
          <w:rFonts w:ascii="GT America Lt" w:hAnsi="GT America Lt"/>
          <w:sz w:val="24"/>
          <w:szCs w:val="24"/>
        </w:rPr>
      </w:pPr>
      <w:r w:rsidRPr="00B257D2">
        <w:rPr>
          <w:rFonts w:ascii="GT America Lt" w:hAnsi="GT America Lt"/>
          <w:sz w:val="24"/>
          <w:szCs w:val="24"/>
        </w:rPr>
        <w:t>Moreover, the</w:t>
      </w:r>
      <w:r w:rsidR="004E6C27" w:rsidRPr="00B257D2">
        <w:rPr>
          <w:rFonts w:ascii="GT America Lt" w:hAnsi="GT America Lt"/>
          <w:sz w:val="24"/>
          <w:szCs w:val="24"/>
        </w:rPr>
        <w:t xml:space="preserve"> </w:t>
      </w:r>
      <w:r w:rsidR="00BD0D1B" w:rsidRPr="00B257D2">
        <w:rPr>
          <w:rFonts w:ascii="GT America Lt" w:hAnsi="GT America Lt"/>
          <w:sz w:val="24"/>
          <w:szCs w:val="24"/>
        </w:rPr>
        <w:t xml:space="preserve">Proposed Rule would </w:t>
      </w:r>
      <w:r w:rsidR="004E6C27" w:rsidRPr="00B257D2">
        <w:rPr>
          <w:rFonts w:ascii="GT America Lt" w:hAnsi="GT America Lt"/>
          <w:sz w:val="24"/>
          <w:szCs w:val="24"/>
        </w:rPr>
        <w:t>overstep</w:t>
      </w:r>
      <w:r w:rsidR="00BD0D1B" w:rsidRPr="00B257D2">
        <w:rPr>
          <w:rFonts w:ascii="GT America Lt" w:hAnsi="GT America Lt"/>
          <w:sz w:val="24"/>
          <w:szCs w:val="24"/>
        </w:rPr>
        <w:t xml:space="preserve"> the CFPB</w:t>
      </w:r>
      <w:r w:rsidR="00647777" w:rsidRPr="00B257D2">
        <w:rPr>
          <w:rFonts w:ascii="GT America Lt" w:hAnsi="GT America Lt"/>
          <w:sz w:val="24"/>
          <w:szCs w:val="24"/>
        </w:rPr>
        <w:t>’</w:t>
      </w:r>
      <w:r w:rsidR="004E6C27" w:rsidRPr="00B257D2">
        <w:rPr>
          <w:rFonts w:ascii="GT America Lt" w:hAnsi="GT America Lt"/>
          <w:sz w:val="24"/>
          <w:szCs w:val="24"/>
        </w:rPr>
        <w:t xml:space="preserve">s rulemaking authority under the FCRA. </w:t>
      </w:r>
      <w:r w:rsidR="00B2209F" w:rsidRPr="00B257D2">
        <w:rPr>
          <w:rFonts w:ascii="GT America Lt" w:hAnsi="GT America Lt"/>
          <w:sz w:val="24"/>
          <w:szCs w:val="24"/>
        </w:rPr>
        <w:t>T</w:t>
      </w:r>
      <w:r w:rsidR="004E6C27" w:rsidRPr="00B257D2">
        <w:rPr>
          <w:rFonts w:ascii="GT America Lt" w:hAnsi="GT America Lt"/>
          <w:sz w:val="24"/>
          <w:szCs w:val="24"/>
        </w:rPr>
        <w:t xml:space="preserve">he CFPB </w:t>
      </w:r>
      <w:r w:rsidR="00BD0D1B" w:rsidRPr="00B257D2">
        <w:rPr>
          <w:rFonts w:ascii="GT America Lt" w:hAnsi="GT America Lt"/>
          <w:sz w:val="24"/>
          <w:szCs w:val="24"/>
        </w:rPr>
        <w:t>may</w:t>
      </w:r>
      <w:r w:rsidR="004E6C27" w:rsidRPr="00B257D2">
        <w:rPr>
          <w:rFonts w:ascii="GT America Lt" w:hAnsi="GT America Lt"/>
          <w:sz w:val="24"/>
          <w:szCs w:val="24"/>
        </w:rPr>
        <w:t xml:space="preserve"> prescribe rules “as may be necessary or appropriate to enable the [CFPB] to administer and carry out the purposes and objectives of” the FCRA</w:t>
      </w:r>
      <w:r w:rsidR="00B2209F" w:rsidRPr="00B257D2">
        <w:rPr>
          <w:rFonts w:ascii="GT America Lt" w:hAnsi="GT America Lt"/>
          <w:sz w:val="24"/>
          <w:szCs w:val="24"/>
        </w:rPr>
        <w:t>.</w:t>
      </w:r>
      <w:r w:rsidR="004E6C27" w:rsidRPr="00B257D2">
        <w:rPr>
          <w:rStyle w:val="FootnoteReference"/>
          <w:rFonts w:ascii="GT America Lt" w:hAnsi="GT America Lt"/>
          <w:sz w:val="24"/>
          <w:szCs w:val="24"/>
        </w:rPr>
        <w:footnoteReference w:id="4"/>
      </w:r>
      <w:r w:rsidR="004E6C27" w:rsidRPr="00B257D2">
        <w:rPr>
          <w:rFonts w:ascii="GT America Lt" w:hAnsi="GT America Lt"/>
          <w:sz w:val="24"/>
          <w:szCs w:val="24"/>
        </w:rPr>
        <w:t xml:space="preserve"> </w:t>
      </w:r>
      <w:r w:rsidR="00B2209F" w:rsidRPr="00B257D2">
        <w:rPr>
          <w:rFonts w:ascii="GT America Lt" w:hAnsi="GT America Lt"/>
          <w:sz w:val="24"/>
          <w:szCs w:val="24"/>
        </w:rPr>
        <w:t xml:space="preserve">However, this authority does not allow </w:t>
      </w:r>
      <w:r w:rsidR="004E6C27" w:rsidRPr="00B257D2">
        <w:rPr>
          <w:rFonts w:ascii="GT America Lt" w:hAnsi="GT America Lt"/>
          <w:sz w:val="24"/>
          <w:szCs w:val="24"/>
        </w:rPr>
        <w:t xml:space="preserve">the CFPB </w:t>
      </w:r>
      <w:r w:rsidR="00B2209F" w:rsidRPr="00B257D2">
        <w:rPr>
          <w:rFonts w:ascii="GT America Lt" w:hAnsi="GT America Lt"/>
          <w:sz w:val="24"/>
          <w:szCs w:val="24"/>
        </w:rPr>
        <w:t>to</w:t>
      </w:r>
      <w:r w:rsidR="004E6C27" w:rsidRPr="00B257D2">
        <w:rPr>
          <w:rFonts w:ascii="GT America Lt" w:hAnsi="GT America Lt"/>
          <w:sz w:val="24"/>
          <w:szCs w:val="24"/>
        </w:rPr>
        <w:t xml:space="preserve"> override the statutory text of the FCRA or otherwise act contrary to Congress’s intent.</w:t>
      </w:r>
      <w:r w:rsidR="004E6C27" w:rsidRPr="00B257D2">
        <w:rPr>
          <w:rStyle w:val="FootnoteReference"/>
          <w:rFonts w:ascii="GT America Lt" w:hAnsi="GT America Lt"/>
          <w:sz w:val="24"/>
          <w:szCs w:val="24"/>
        </w:rPr>
        <w:footnoteReference w:id="5"/>
      </w:r>
      <w:r w:rsidR="004E6C27" w:rsidRPr="00B257D2">
        <w:rPr>
          <w:rFonts w:ascii="GT America Lt" w:hAnsi="GT America Lt"/>
          <w:sz w:val="24"/>
          <w:szCs w:val="24"/>
        </w:rPr>
        <w:t xml:space="preserve"> </w:t>
      </w:r>
      <w:r w:rsidR="00B2209F" w:rsidRPr="00B257D2">
        <w:rPr>
          <w:rFonts w:ascii="GT America Lt" w:hAnsi="GT America Lt"/>
          <w:sz w:val="24"/>
          <w:szCs w:val="24"/>
        </w:rPr>
        <w:t>Because t</w:t>
      </w:r>
      <w:r w:rsidR="004E6C27" w:rsidRPr="00B257D2">
        <w:rPr>
          <w:rFonts w:ascii="GT America Lt" w:hAnsi="GT America Lt"/>
          <w:sz w:val="24"/>
          <w:szCs w:val="24"/>
        </w:rPr>
        <w:t>he Proposed Rule</w:t>
      </w:r>
      <w:r w:rsidR="00E17C7F" w:rsidRPr="00B257D2">
        <w:rPr>
          <w:rFonts w:ascii="GT America Lt" w:hAnsi="GT America Lt"/>
          <w:sz w:val="24"/>
          <w:szCs w:val="24"/>
        </w:rPr>
        <w:t xml:space="preserve"> ignores the purpose of the FCRA and</w:t>
      </w:r>
      <w:r w:rsidR="004E6C27" w:rsidRPr="00B257D2">
        <w:rPr>
          <w:rFonts w:ascii="GT America Lt" w:hAnsi="GT America Lt"/>
          <w:sz w:val="24"/>
          <w:szCs w:val="24"/>
        </w:rPr>
        <w:t xml:space="preserve"> contradicts </w:t>
      </w:r>
      <w:r w:rsidR="00E17C7F" w:rsidRPr="00B257D2">
        <w:rPr>
          <w:rFonts w:ascii="GT America Lt" w:hAnsi="GT America Lt"/>
          <w:sz w:val="24"/>
          <w:szCs w:val="24"/>
        </w:rPr>
        <w:t>its</w:t>
      </w:r>
      <w:r w:rsidR="004E6C27" w:rsidRPr="00B257D2">
        <w:rPr>
          <w:rFonts w:ascii="GT America Lt" w:hAnsi="GT America Lt"/>
          <w:sz w:val="24"/>
          <w:szCs w:val="24"/>
        </w:rPr>
        <w:t xml:space="preserve"> plain text</w:t>
      </w:r>
      <w:r w:rsidR="00E17C7F" w:rsidRPr="00B257D2">
        <w:rPr>
          <w:rFonts w:ascii="GT America Lt" w:hAnsi="GT America Lt"/>
          <w:sz w:val="24"/>
          <w:szCs w:val="24"/>
        </w:rPr>
        <w:t>,</w:t>
      </w:r>
      <w:r w:rsidR="004E6C27" w:rsidRPr="00B257D2">
        <w:rPr>
          <w:rFonts w:ascii="GT America Lt" w:hAnsi="GT America Lt"/>
          <w:sz w:val="24"/>
          <w:szCs w:val="24"/>
        </w:rPr>
        <w:t xml:space="preserve"> </w:t>
      </w:r>
      <w:r w:rsidR="00B2209F" w:rsidRPr="00B257D2">
        <w:rPr>
          <w:rFonts w:ascii="GT America Lt" w:hAnsi="GT America Lt"/>
          <w:sz w:val="24"/>
          <w:szCs w:val="24"/>
        </w:rPr>
        <w:t xml:space="preserve">it </w:t>
      </w:r>
      <w:r w:rsidR="004E6C27" w:rsidRPr="00B257D2">
        <w:rPr>
          <w:rFonts w:ascii="GT America Lt" w:hAnsi="GT America Lt"/>
          <w:sz w:val="24"/>
          <w:szCs w:val="24"/>
        </w:rPr>
        <w:t>would not be upheld if challenged in court.</w:t>
      </w:r>
      <w:r w:rsidR="004E6C27" w:rsidRPr="00B257D2">
        <w:rPr>
          <w:rStyle w:val="FootnoteReference"/>
          <w:rFonts w:ascii="GT America Lt" w:hAnsi="GT America Lt"/>
          <w:sz w:val="24"/>
          <w:szCs w:val="24"/>
        </w:rPr>
        <w:footnoteReference w:id="6"/>
      </w:r>
      <w:r w:rsidR="003467A1" w:rsidRPr="00B257D2">
        <w:rPr>
          <w:rFonts w:ascii="GT America Lt" w:hAnsi="GT America Lt"/>
          <w:sz w:val="24"/>
          <w:szCs w:val="24"/>
        </w:rPr>
        <w:t xml:space="preserve"> </w:t>
      </w:r>
    </w:p>
    <w:p w14:paraId="7E880E16" w14:textId="77777777" w:rsidR="00B257D2" w:rsidRPr="00B257D2" w:rsidRDefault="00B257D2" w:rsidP="00B257D2">
      <w:pPr>
        <w:pStyle w:val="ListParagraph"/>
        <w:spacing w:after="0"/>
        <w:ind w:left="1440"/>
        <w:rPr>
          <w:rFonts w:ascii="GT America Lt" w:hAnsi="GT America Lt"/>
          <w:sz w:val="24"/>
          <w:szCs w:val="24"/>
        </w:rPr>
      </w:pPr>
    </w:p>
    <w:p w14:paraId="1BB26E3E" w14:textId="121708B2" w:rsidR="00900F29" w:rsidRDefault="003F132B" w:rsidP="00B257D2">
      <w:pPr>
        <w:pStyle w:val="ListParagraph"/>
        <w:keepNext/>
        <w:numPr>
          <w:ilvl w:val="0"/>
          <w:numId w:val="2"/>
        </w:numPr>
        <w:spacing w:after="0"/>
        <w:rPr>
          <w:rFonts w:ascii="GT America Lt" w:hAnsi="GT America Lt"/>
          <w:b/>
          <w:bCs/>
          <w:sz w:val="24"/>
          <w:szCs w:val="24"/>
        </w:rPr>
      </w:pPr>
      <w:r w:rsidRPr="00B257D2">
        <w:rPr>
          <w:rFonts w:ascii="GT America Lt" w:hAnsi="GT America Lt"/>
          <w:b/>
          <w:bCs/>
          <w:sz w:val="24"/>
          <w:szCs w:val="24"/>
        </w:rPr>
        <w:t>The Proposed Rule would harm consumers</w:t>
      </w:r>
      <w:r w:rsidR="00C115A0" w:rsidRPr="00B257D2">
        <w:rPr>
          <w:rFonts w:ascii="GT America Lt" w:hAnsi="GT America Lt"/>
          <w:b/>
          <w:bCs/>
          <w:sz w:val="24"/>
          <w:szCs w:val="24"/>
        </w:rPr>
        <w:t xml:space="preserve"> and other stakeholders</w:t>
      </w:r>
      <w:r w:rsidRPr="00B257D2">
        <w:rPr>
          <w:rFonts w:ascii="GT America Lt" w:hAnsi="GT America Lt"/>
          <w:b/>
          <w:bCs/>
          <w:sz w:val="24"/>
          <w:szCs w:val="24"/>
        </w:rPr>
        <w:t>.</w:t>
      </w:r>
    </w:p>
    <w:p w14:paraId="16576206" w14:textId="77777777" w:rsidR="00B257D2" w:rsidRPr="00B257D2" w:rsidRDefault="00B257D2" w:rsidP="00B257D2">
      <w:pPr>
        <w:pStyle w:val="ListParagraph"/>
        <w:keepNext/>
        <w:spacing w:after="0"/>
        <w:ind w:left="1080"/>
        <w:rPr>
          <w:rFonts w:ascii="GT America Lt" w:hAnsi="GT America Lt"/>
          <w:b/>
          <w:bCs/>
          <w:sz w:val="24"/>
          <w:szCs w:val="24"/>
        </w:rPr>
      </w:pPr>
    </w:p>
    <w:p w14:paraId="4C774B91" w14:textId="40B0E3CF" w:rsidR="00D23557" w:rsidRDefault="00422C77" w:rsidP="00B257D2">
      <w:pPr>
        <w:spacing w:after="0" w:line="240" w:lineRule="auto"/>
        <w:ind w:firstLine="720"/>
        <w:rPr>
          <w:rFonts w:ascii="GT America Lt" w:hAnsi="GT America Lt"/>
          <w:sz w:val="24"/>
          <w:szCs w:val="24"/>
        </w:rPr>
      </w:pPr>
      <w:r w:rsidRPr="00B257D2">
        <w:rPr>
          <w:rFonts w:ascii="GT America Lt" w:hAnsi="GT America Lt"/>
          <w:sz w:val="24"/>
          <w:szCs w:val="24"/>
        </w:rPr>
        <w:t xml:space="preserve">Consumers derive enormous benefits from data-driven services. </w:t>
      </w:r>
      <w:r w:rsidR="00D23557" w:rsidRPr="00B257D2">
        <w:rPr>
          <w:rFonts w:ascii="GT America Lt" w:hAnsi="GT America Lt"/>
          <w:sz w:val="24"/>
          <w:szCs w:val="24"/>
        </w:rPr>
        <w:t xml:space="preserve">Data that </w:t>
      </w:r>
      <w:r w:rsidR="00DC2F54" w:rsidRPr="00B257D2">
        <w:rPr>
          <w:rFonts w:ascii="GT America Lt" w:hAnsi="GT America Lt"/>
          <w:sz w:val="24"/>
          <w:szCs w:val="24"/>
        </w:rPr>
        <w:t>are</w:t>
      </w:r>
      <w:r w:rsidR="00D23557" w:rsidRPr="00B257D2">
        <w:rPr>
          <w:rFonts w:ascii="GT America Lt" w:hAnsi="GT America Lt"/>
          <w:sz w:val="24"/>
          <w:szCs w:val="24"/>
        </w:rPr>
        <w:t xml:space="preserve"> not </w:t>
      </w:r>
      <w:r w:rsidR="003E7EBD" w:rsidRPr="00B257D2">
        <w:rPr>
          <w:rFonts w:ascii="GT America Lt" w:hAnsi="GT America Lt"/>
          <w:sz w:val="24"/>
          <w:szCs w:val="24"/>
        </w:rPr>
        <w:t>considered “consumer reports” under</w:t>
      </w:r>
      <w:r w:rsidR="00D23557" w:rsidRPr="00B257D2">
        <w:rPr>
          <w:rFonts w:ascii="GT America Lt" w:hAnsi="GT America Lt"/>
          <w:sz w:val="24"/>
          <w:szCs w:val="24"/>
        </w:rPr>
        <w:t xml:space="preserve"> the FCRA, including certain credit header data, </w:t>
      </w:r>
      <w:r w:rsidR="00DC2F54" w:rsidRPr="00B257D2">
        <w:rPr>
          <w:rFonts w:ascii="GT America Lt" w:hAnsi="GT America Lt"/>
          <w:sz w:val="24"/>
          <w:szCs w:val="24"/>
        </w:rPr>
        <w:t>are</w:t>
      </w:r>
      <w:r w:rsidR="00D23557" w:rsidRPr="00B257D2">
        <w:rPr>
          <w:rFonts w:ascii="GT America Lt" w:hAnsi="GT America Lt"/>
          <w:sz w:val="24"/>
          <w:szCs w:val="24"/>
        </w:rPr>
        <w:t xml:space="preserve"> used in numerous ways to protect consumers</w:t>
      </w:r>
      <w:r w:rsidR="00B2209F" w:rsidRPr="00B257D2">
        <w:rPr>
          <w:rFonts w:ascii="GT America Lt" w:hAnsi="GT America Lt"/>
          <w:sz w:val="24"/>
          <w:szCs w:val="24"/>
        </w:rPr>
        <w:t>,</w:t>
      </w:r>
      <w:r w:rsidR="00D23557" w:rsidRPr="00B257D2">
        <w:rPr>
          <w:rFonts w:ascii="GT America Lt" w:hAnsi="GT America Lt"/>
          <w:sz w:val="24"/>
          <w:szCs w:val="24"/>
        </w:rPr>
        <w:t xml:space="preserve"> improve their access to the financial system</w:t>
      </w:r>
      <w:r w:rsidR="00B2209F" w:rsidRPr="00B257D2">
        <w:rPr>
          <w:rFonts w:ascii="GT America Lt" w:hAnsi="GT America Lt"/>
          <w:sz w:val="24"/>
          <w:szCs w:val="24"/>
        </w:rPr>
        <w:t>, and to deliver them cutting-edge products across sectors</w:t>
      </w:r>
      <w:r w:rsidR="00D23557" w:rsidRPr="00B257D2">
        <w:rPr>
          <w:rFonts w:ascii="GT America Lt" w:hAnsi="GT America Lt"/>
          <w:sz w:val="24"/>
          <w:szCs w:val="24"/>
        </w:rPr>
        <w:t>. The communication and use of such data, when done in accordance with existing law and regulation, is critical to the ability of companies to develop fraud, risk</w:t>
      </w:r>
      <w:r w:rsidR="00DC2F54" w:rsidRPr="00B257D2">
        <w:rPr>
          <w:rFonts w:ascii="GT America Lt" w:hAnsi="GT America Lt"/>
          <w:sz w:val="24"/>
          <w:szCs w:val="24"/>
        </w:rPr>
        <w:t>,</w:t>
      </w:r>
      <w:r w:rsidR="00D23557" w:rsidRPr="00B257D2">
        <w:rPr>
          <w:rFonts w:ascii="GT America Lt" w:hAnsi="GT America Lt"/>
          <w:sz w:val="24"/>
          <w:szCs w:val="24"/>
        </w:rPr>
        <w:t xml:space="preserve"> and identity tools to protect consumers and businesses. Without the exchange of data </w:t>
      </w:r>
      <w:r w:rsidR="00CC1372" w:rsidRPr="00B257D2">
        <w:rPr>
          <w:rFonts w:ascii="GT America Lt" w:hAnsi="GT America Lt"/>
          <w:sz w:val="24"/>
          <w:szCs w:val="24"/>
        </w:rPr>
        <w:t xml:space="preserve">as </w:t>
      </w:r>
      <w:r w:rsidR="00D23557" w:rsidRPr="00B257D2">
        <w:rPr>
          <w:rFonts w:ascii="GT America Lt" w:hAnsi="GT America Lt"/>
          <w:sz w:val="24"/>
          <w:szCs w:val="24"/>
        </w:rPr>
        <w:t xml:space="preserve">permitted under </w:t>
      </w:r>
      <w:r w:rsidR="004B65B9" w:rsidRPr="00B257D2">
        <w:rPr>
          <w:rFonts w:ascii="GT America Lt" w:hAnsi="GT America Lt"/>
          <w:sz w:val="24"/>
          <w:szCs w:val="24"/>
        </w:rPr>
        <w:t xml:space="preserve">the </w:t>
      </w:r>
      <w:r w:rsidR="00D23557" w:rsidRPr="00B257D2">
        <w:rPr>
          <w:rFonts w:ascii="GT America Lt" w:hAnsi="GT America Lt"/>
          <w:sz w:val="24"/>
          <w:szCs w:val="24"/>
        </w:rPr>
        <w:t>FCRA</w:t>
      </w:r>
      <w:r w:rsidR="00DC2F54" w:rsidRPr="00B257D2">
        <w:rPr>
          <w:rFonts w:ascii="GT America Lt" w:hAnsi="GT America Lt"/>
          <w:sz w:val="24"/>
          <w:szCs w:val="24"/>
        </w:rPr>
        <w:t>,</w:t>
      </w:r>
      <w:r w:rsidR="00D23557" w:rsidRPr="00B257D2">
        <w:rPr>
          <w:rFonts w:ascii="GT America Lt" w:hAnsi="GT America Lt"/>
          <w:sz w:val="24"/>
          <w:szCs w:val="24"/>
        </w:rPr>
        <w:t xml:space="preserve"> </w:t>
      </w:r>
      <w:r w:rsidR="00CC1372" w:rsidRPr="00B257D2">
        <w:rPr>
          <w:rFonts w:ascii="GT America Lt" w:hAnsi="GT America Lt"/>
          <w:sz w:val="24"/>
          <w:szCs w:val="24"/>
        </w:rPr>
        <w:t xml:space="preserve">Regulation V, </w:t>
      </w:r>
      <w:r w:rsidR="004B65B9" w:rsidRPr="00B257D2">
        <w:rPr>
          <w:rFonts w:ascii="GT America Lt" w:hAnsi="GT America Lt"/>
          <w:sz w:val="24"/>
          <w:szCs w:val="24"/>
        </w:rPr>
        <w:t>the Gramm-Leach-Bliley Act (“</w:t>
      </w:r>
      <w:r w:rsidR="00D23557" w:rsidRPr="00B257D2">
        <w:rPr>
          <w:rFonts w:ascii="GT America Lt" w:hAnsi="GT America Lt"/>
          <w:sz w:val="24"/>
          <w:szCs w:val="24"/>
        </w:rPr>
        <w:t>GLBA</w:t>
      </w:r>
      <w:r w:rsidR="004B65B9" w:rsidRPr="00B257D2">
        <w:rPr>
          <w:rFonts w:ascii="GT America Lt" w:hAnsi="GT America Lt"/>
          <w:sz w:val="24"/>
          <w:szCs w:val="24"/>
        </w:rPr>
        <w:t>”)</w:t>
      </w:r>
      <w:r w:rsidR="00DC2F54" w:rsidRPr="00B257D2">
        <w:rPr>
          <w:rFonts w:ascii="GT America Lt" w:hAnsi="GT America Lt"/>
          <w:sz w:val="24"/>
          <w:szCs w:val="24"/>
        </w:rPr>
        <w:t xml:space="preserve">, and </w:t>
      </w:r>
      <w:r w:rsidR="00CC1372" w:rsidRPr="00B257D2">
        <w:rPr>
          <w:rFonts w:ascii="GT America Lt" w:hAnsi="GT America Lt"/>
          <w:sz w:val="24"/>
          <w:szCs w:val="24"/>
        </w:rPr>
        <w:t xml:space="preserve">other </w:t>
      </w:r>
      <w:r w:rsidR="00DC2F54" w:rsidRPr="00B257D2">
        <w:rPr>
          <w:rFonts w:ascii="GT America Lt" w:hAnsi="GT America Lt"/>
          <w:sz w:val="24"/>
          <w:szCs w:val="24"/>
        </w:rPr>
        <w:t>laws</w:t>
      </w:r>
      <w:r w:rsidR="00D23557" w:rsidRPr="00B257D2">
        <w:rPr>
          <w:rFonts w:ascii="GT America Lt" w:hAnsi="GT America Lt"/>
          <w:sz w:val="24"/>
          <w:szCs w:val="24"/>
        </w:rPr>
        <w:t xml:space="preserve">, companies </w:t>
      </w:r>
      <w:r w:rsidR="004B65B9" w:rsidRPr="00B257D2">
        <w:rPr>
          <w:rFonts w:ascii="GT America Lt" w:hAnsi="GT America Lt"/>
          <w:sz w:val="24"/>
          <w:szCs w:val="24"/>
        </w:rPr>
        <w:t xml:space="preserve">would </w:t>
      </w:r>
      <w:r w:rsidR="00D23557" w:rsidRPr="00B257D2">
        <w:rPr>
          <w:rFonts w:ascii="GT America Lt" w:hAnsi="GT America Lt"/>
          <w:sz w:val="24"/>
          <w:szCs w:val="24"/>
        </w:rPr>
        <w:t>not be able to provide these important services</w:t>
      </w:r>
      <w:r w:rsidR="004B65B9" w:rsidRPr="00B257D2">
        <w:rPr>
          <w:rFonts w:ascii="GT America Lt" w:hAnsi="GT America Lt"/>
          <w:sz w:val="24"/>
          <w:szCs w:val="24"/>
        </w:rPr>
        <w:t xml:space="preserve"> in a cost-effective way</w:t>
      </w:r>
      <w:r w:rsidR="00D23557" w:rsidRPr="00B257D2">
        <w:rPr>
          <w:rFonts w:ascii="GT America Lt" w:hAnsi="GT America Lt"/>
          <w:sz w:val="24"/>
          <w:szCs w:val="24"/>
        </w:rPr>
        <w:t xml:space="preserve">. </w:t>
      </w:r>
      <w:r w:rsidR="0053447F" w:rsidRPr="00B257D2">
        <w:rPr>
          <w:rFonts w:ascii="GT America Lt" w:hAnsi="GT America Lt"/>
          <w:sz w:val="24"/>
          <w:szCs w:val="24"/>
        </w:rPr>
        <w:t>Ignoring these benefits</w:t>
      </w:r>
      <w:r w:rsidR="00A256FB" w:rsidRPr="00B257D2">
        <w:rPr>
          <w:rFonts w:ascii="GT America Lt" w:hAnsi="GT America Lt"/>
          <w:sz w:val="24"/>
          <w:szCs w:val="24"/>
        </w:rPr>
        <w:t>,</w:t>
      </w:r>
      <w:r w:rsidR="00C115A0" w:rsidRPr="00B257D2">
        <w:rPr>
          <w:rFonts w:ascii="GT America Lt" w:hAnsi="GT America Lt"/>
          <w:sz w:val="24"/>
          <w:szCs w:val="24"/>
        </w:rPr>
        <w:t xml:space="preserve"> as well as substantial concerns raised during the rulemaking process</w:t>
      </w:r>
      <w:r w:rsidR="0053447F" w:rsidRPr="00B257D2">
        <w:rPr>
          <w:rFonts w:ascii="GT America Lt" w:hAnsi="GT America Lt"/>
          <w:sz w:val="24"/>
          <w:szCs w:val="24"/>
        </w:rPr>
        <w:t xml:space="preserve">, the </w:t>
      </w:r>
      <w:r w:rsidR="00D23557" w:rsidRPr="00B257D2">
        <w:rPr>
          <w:rFonts w:ascii="GT America Lt" w:hAnsi="GT America Lt"/>
          <w:sz w:val="24"/>
          <w:szCs w:val="24"/>
        </w:rPr>
        <w:t xml:space="preserve">Proposed Rule would make it </w:t>
      </w:r>
      <w:r w:rsidR="0053447F" w:rsidRPr="00B257D2">
        <w:rPr>
          <w:rFonts w:ascii="GT America Lt" w:hAnsi="GT America Lt"/>
          <w:sz w:val="24"/>
          <w:szCs w:val="24"/>
        </w:rPr>
        <w:t xml:space="preserve">significantly </w:t>
      </w:r>
      <w:r w:rsidR="00D23557" w:rsidRPr="00B257D2">
        <w:rPr>
          <w:rFonts w:ascii="GT America Lt" w:hAnsi="GT America Lt"/>
          <w:sz w:val="24"/>
          <w:szCs w:val="24"/>
        </w:rPr>
        <w:t xml:space="preserve">harder, if not impossible, to offer products and services that rely on data </w:t>
      </w:r>
      <w:r w:rsidR="003E7EBD" w:rsidRPr="00B257D2">
        <w:rPr>
          <w:rFonts w:ascii="GT America Lt" w:hAnsi="GT America Lt"/>
          <w:sz w:val="24"/>
          <w:szCs w:val="24"/>
        </w:rPr>
        <w:t>that is not considered a “consumer report” under the FCRA and Regulation V</w:t>
      </w:r>
      <w:r w:rsidR="00D23557" w:rsidRPr="00B257D2">
        <w:rPr>
          <w:rFonts w:ascii="GT America Lt" w:hAnsi="GT America Lt"/>
          <w:sz w:val="24"/>
          <w:szCs w:val="24"/>
        </w:rPr>
        <w:t>.</w:t>
      </w:r>
      <w:r w:rsidR="0053447F" w:rsidRPr="00B257D2">
        <w:rPr>
          <w:rFonts w:ascii="GT America Lt" w:hAnsi="GT America Lt"/>
          <w:sz w:val="24"/>
          <w:szCs w:val="24"/>
        </w:rPr>
        <w:t xml:space="preserve"> As a result, the Proposed Rule would result in significant negative consequences and harm consumers.</w:t>
      </w:r>
    </w:p>
    <w:p w14:paraId="2032A0A9" w14:textId="77777777" w:rsidR="00B257D2" w:rsidRPr="00B257D2" w:rsidRDefault="00B257D2" w:rsidP="00B257D2">
      <w:pPr>
        <w:spacing w:after="0" w:line="240" w:lineRule="auto"/>
        <w:ind w:firstLine="720"/>
        <w:rPr>
          <w:rFonts w:ascii="GT America Lt" w:hAnsi="GT America Lt"/>
          <w:sz w:val="24"/>
          <w:szCs w:val="24"/>
        </w:rPr>
      </w:pPr>
    </w:p>
    <w:p w14:paraId="2A6EBCC8" w14:textId="34D4308A" w:rsidR="007572BC" w:rsidRPr="00B257D2" w:rsidRDefault="007572BC" w:rsidP="00B257D2">
      <w:pPr>
        <w:pStyle w:val="ListParagraph"/>
        <w:keepNext/>
        <w:numPr>
          <w:ilvl w:val="0"/>
          <w:numId w:val="12"/>
        </w:numPr>
        <w:spacing w:after="0"/>
        <w:rPr>
          <w:rFonts w:ascii="GT America Lt" w:hAnsi="GT America Lt"/>
          <w:sz w:val="24"/>
          <w:szCs w:val="24"/>
        </w:rPr>
      </w:pPr>
      <w:r w:rsidRPr="00B257D2">
        <w:rPr>
          <w:rFonts w:ascii="GT America Lt" w:hAnsi="GT America Lt"/>
          <w:sz w:val="24"/>
          <w:szCs w:val="24"/>
        </w:rPr>
        <w:t>The Proposed Rule would negatively impact tools used to prevent, detect, and prosecute financial and non-financial crime.</w:t>
      </w:r>
    </w:p>
    <w:p w14:paraId="2959B5CA" w14:textId="77777777" w:rsidR="00B257D2" w:rsidRDefault="00B257D2" w:rsidP="00B257D2">
      <w:pPr>
        <w:spacing w:after="0" w:line="240" w:lineRule="auto"/>
        <w:ind w:firstLine="720"/>
        <w:rPr>
          <w:rFonts w:ascii="GT America Lt" w:hAnsi="GT America Lt"/>
          <w:sz w:val="24"/>
          <w:szCs w:val="24"/>
        </w:rPr>
      </w:pPr>
    </w:p>
    <w:p w14:paraId="5C5A94A0" w14:textId="514A4584" w:rsidR="00900F29" w:rsidRDefault="00F84B14" w:rsidP="00B257D2">
      <w:pPr>
        <w:spacing w:after="0" w:line="240" w:lineRule="auto"/>
        <w:ind w:firstLine="720"/>
        <w:rPr>
          <w:rFonts w:ascii="GT America Lt" w:hAnsi="GT America Lt"/>
          <w:sz w:val="24"/>
          <w:szCs w:val="24"/>
        </w:rPr>
      </w:pPr>
      <w:r w:rsidRPr="00B257D2">
        <w:rPr>
          <w:rFonts w:ascii="GT America Lt" w:hAnsi="GT America Lt"/>
          <w:sz w:val="24"/>
          <w:szCs w:val="24"/>
        </w:rPr>
        <w:t>C</w:t>
      </w:r>
      <w:r w:rsidR="00960C37" w:rsidRPr="00B257D2">
        <w:rPr>
          <w:rFonts w:ascii="GT America Lt" w:hAnsi="GT America Lt"/>
          <w:sz w:val="24"/>
          <w:szCs w:val="24"/>
        </w:rPr>
        <w:t xml:space="preserve">onsumer data plays a significant role in preventing, detecting, and preventing both financial and non-financial crimes. Among other uses, consumer data is used as a part of </w:t>
      </w:r>
      <w:r w:rsidR="0007107A" w:rsidRPr="00B257D2">
        <w:rPr>
          <w:rFonts w:ascii="GT America Lt" w:hAnsi="GT America Lt"/>
          <w:sz w:val="24"/>
          <w:szCs w:val="24"/>
        </w:rPr>
        <w:t>identity verification</w:t>
      </w:r>
      <w:r w:rsidR="00422C77" w:rsidRPr="00B257D2">
        <w:rPr>
          <w:rFonts w:ascii="GT America Lt" w:hAnsi="GT America Lt"/>
          <w:sz w:val="24"/>
          <w:szCs w:val="24"/>
        </w:rPr>
        <w:t>,</w:t>
      </w:r>
      <w:r w:rsidR="0007107A" w:rsidRPr="00B257D2">
        <w:rPr>
          <w:rFonts w:ascii="GT America Lt" w:hAnsi="GT America Lt"/>
          <w:sz w:val="24"/>
          <w:szCs w:val="24"/>
        </w:rPr>
        <w:t xml:space="preserve"> the</w:t>
      </w:r>
      <w:r w:rsidR="00422C77" w:rsidRPr="00B257D2">
        <w:rPr>
          <w:rFonts w:ascii="GT America Lt" w:hAnsi="GT America Lt"/>
          <w:sz w:val="24"/>
          <w:szCs w:val="24"/>
        </w:rPr>
        <w:t xml:space="preserve"> detect</w:t>
      </w:r>
      <w:r w:rsidR="0007107A" w:rsidRPr="00B257D2">
        <w:rPr>
          <w:rFonts w:ascii="GT America Lt" w:hAnsi="GT America Lt"/>
          <w:sz w:val="24"/>
          <w:szCs w:val="24"/>
        </w:rPr>
        <w:t>ion</w:t>
      </w:r>
      <w:r w:rsidR="00422C77" w:rsidRPr="00B257D2">
        <w:rPr>
          <w:rFonts w:ascii="GT America Lt" w:hAnsi="GT America Lt"/>
          <w:sz w:val="24"/>
          <w:szCs w:val="24"/>
        </w:rPr>
        <w:t xml:space="preserve"> and prevent</w:t>
      </w:r>
      <w:r w:rsidR="0007107A" w:rsidRPr="00B257D2">
        <w:rPr>
          <w:rFonts w:ascii="GT America Lt" w:hAnsi="GT America Lt"/>
          <w:sz w:val="24"/>
          <w:szCs w:val="24"/>
        </w:rPr>
        <w:t>ion</w:t>
      </w:r>
      <w:r w:rsidR="00422C77" w:rsidRPr="00B257D2">
        <w:rPr>
          <w:rFonts w:ascii="GT America Lt" w:hAnsi="GT America Lt"/>
          <w:sz w:val="24"/>
          <w:szCs w:val="24"/>
        </w:rPr>
        <w:t xml:space="preserve"> </w:t>
      </w:r>
      <w:r w:rsidR="0007107A" w:rsidRPr="00B257D2">
        <w:rPr>
          <w:rFonts w:ascii="GT America Lt" w:hAnsi="GT America Lt"/>
          <w:sz w:val="24"/>
          <w:szCs w:val="24"/>
        </w:rPr>
        <w:t>of</w:t>
      </w:r>
      <w:r w:rsidR="00422C77" w:rsidRPr="00B257D2">
        <w:rPr>
          <w:rFonts w:ascii="GT America Lt" w:hAnsi="GT America Lt"/>
          <w:sz w:val="24"/>
          <w:szCs w:val="24"/>
        </w:rPr>
        <w:t xml:space="preserve"> fraud,</w:t>
      </w:r>
      <w:r w:rsidR="0007107A" w:rsidRPr="00B257D2">
        <w:rPr>
          <w:rFonts w:ascii="GT America Lt" w:hAnsi="GT America Lt"/>
          <w:sz w:val="24"/>
          <w:szCs w:val="24"/>
        </w:rPr>
        <w:t xml:space="preserve"> </w:t>
      </w:r>
      <w:r w:rsidR="00422C77" w:rsidRPr="00B257D2">
        <w:rPr>
          <w:rFonts w:ascii="GT America Lt" w:hAnsi="GT America Lt"/>
          <w:sz w:val="24"/>
          <w:szCs w:val="24"/>
        </w:rPr>
        <w:t xml:space="preserve">compliance with Know Your Customer </w:t>
      </w:r>
      <w:r w:rsidR="00434AFA" w:rsidRPr="00B257D2">
        <w:rPr>
          <w:rFonts w:ascii="GT America Lt" w:hAnsi="GT America Lt"/>
          <w:sz w:val="24"/>
          <w:szCs w:val="24"/>
        </w:rPr>
        <w:t xml:space="preserve">(“KYC”) </w:t>
      </w:r>
      <w:r w:rsidR="00422C77" w:rsidRPr="00B257D2">
        <w:rPr>
          <w:rFonts w:ascii="GT America Lt" w:hAnsi="GT America Lt"/>
          <w:sz w:val="24"/>
          <w:szCs w:val="24"/>
        </w:rPr>
        <w:t>requirements, and support</w:t>
      </w:r>
      <w:r w:rsidR="0007107A" w:rsidRPr="00B257D2">
        <w:rPr>
          <w:rFonts w:ascii="GT America Lt" w:hAnsi="GT America Lt"/>
          <w:sz w:val="24"/>
          <w:szCs w:val="24"/>
        </w:rPr>
        <w:t>ing</w:t>
      </w:r>
      <w:r w:rsidR="00422C77" w:rsidRPr="00B257D2">
        <w:rPr>
          <w:rFonts w:ascii="GT America Lt" w:hAnsi="GT America Lt"/>
          <w:sz w:val="24"/>
          <w:szCs w:val="24"/>
        </w:rPr>
        <w:t xml:space="preserve"> the efforts of law enforcement to prevent crime and locate missing persons. </w:t>
      </w:r>
    </w:p>
    <w:p w14:paraId="1DB758E4" w14:textId="77777777" w:rsidR="00B257D2" w:rsidRPr="00B257D2" w:rsidRDefault="00B257D2" w:rsidP="00B257D2">
      <w:pPr>
        <w:spacing w:after="0" w:line="240" w:lineRule="auto"/>
        <w:ind w:firstLine="720"/>
        <w:rPr>
          <w:rFonts w:ascii="GT America Lt" w:hAnsi="GT America Lt"/>
          <w:sz w:val="24"/>
          <w:szCs w:val="24"/>
        </w:rPr>
      </w:pPr>
    </w:p>
    <w:p w14:paraId="4996623F" w14:textId="2C4BF706" w:rsidR="00175E1D" w:rsidRDefault="009A14DD" w:rsidP="00B257D2">
      <w:pPr>
        <w:spacing w:after="0" w:line="240" w:lineRule="auto"/>
        <w:ind w:firstLine="720"/>
        <w:rPr>
          <w:rFonts w:ascii="GT America Lt" w:hAnsi="GT America Lt"/>
          <w:sz w:val="24"/>
          <w:szCs w:val="24"/>
        </w:rPr>
      </w:pPr>
      <w:r w:rsidRPr="00B257D2">
        <w:rPr>
          <w:rFonts w:ascii="GT America Lt" w:hAnsi="GT America Lt"/>
          <w:sz w:val="24"/>
          <w:szCs w:val="24"/>
        </w:rPr>
        <w:t>Expanding the definition of “consumer report” in Regulation V to include</w:t>
      </w:r>
      <w:r w:rsidR="002A6E79" w:rsidRPr="00B257D2">
        <w:rPr>
          <w:rFonts w:ascii="GT America Lt" w:hAnsi="GT America Lt"/>
          <w:sz w:val="24"/>
          <w:szCs w:val="24"/>
        </w:rPr>
        <w:t xml:space="preserve"> </w:t>
      </w:r>
      <w:r w:rsidRPr="00B257D2">
        <w:rPr>
          <w:rFonts w:ascii="GT America Lt" w:hAnsi="GT America Lt"/>
          <w:sz w:val="24"/>
          <w:szCs w:val="24"/>
        </w:rPr>
        <w:t xml:space="preserve">all credit header data, </w:t>
      </w:r>
      <w:r w:rsidRPr="00B257D2">
        <w:rPr>
          <w:rFonts w:ascii="GT America Lt" w:eastAsia="Times New Roman" w:hAnsi="GT America Lt"/>
          <w:sz w:val="24"/>
          <w:szCs w:val="24"/>
        </w:rPr>
        <w:t>credit history data, credit score data, debt payment data, income and financial tier data, and potentially de-identified data</w:t>
      </w:r>
      <w:r w:rsidR="004B65B9" w:rsidRPr="00B257D2">
        <w:rPr>
          <w:rFonts w:ascii="GT America Lt" w:hAnsi="GT America Lt"/>
          <w:sz w:val="24"/>
          <w:szCs w:val="24"/>
        </w:rPr>
        <w:t>,</w:t>
      </w:r>
      <w:r w:rsidR="002A6E79" w:rsidRPr="00B257D2">
        <w:rPr>
          <w:rFonts w:ascii="GT America Lt" w:hAnsi="GT America Lt"/>
          <w:sz w:val="24"/>
          <w:szCs w:val="24"/>
        </w:rPr>
        <w:t xml:space="preserve"> as in the Proposed Rule, </w:t>
      </w:r>
      <w:r w:rsidR="0007107A" w:rsidRPr="00B257D2">
        <w:rPr>
          <w:rFonts w:ascii="GT America Lt" w:hAnsi="GT America Lt"/>
          <w:sz w:val="24"/>
          <w:szCs w:val="24"/>
        </w:rPr>
        <w:t>c</w:t>
      </w:r>
      <w:r w:rsidR="002A6E79" w:rsidRPr="00B257D2">
        <w:rPr>
          <w:rFonts w:ascii="GT America Lt" w:hAnsi="GT America Lt"/>
          <w:sz w:val="24"/>
          <w:szCs w:val="24"/>
        </w:rPr>
        <w:t xml:space="preserve">ould </w:t>
      </w:r>
      <w:r w:rsidR="0053447F" w:rsidRPr="00B257D2">
        <w:rPr>
          <w:rFonts w:ascii="GT America Lt" w:hAnsi="GT America Lt"/>
          <w:sz w:val="24"/>
          <w:szCs w:val="24"/>
        </w:rPr>
        <w:t xml:space="preserve">prevent </w:t>
      </w:r>
      <w:r w:rsidR="002A6E79" w:rsidRPr="00B257D2">
        <w:rPr>
          <w:rFonts w:ascii="GT America Lt" w:hAnsi="GT America Lt"/>
          <w:sz w:val="24"/>
          <w:szCs w:val="24"/>
        </w:rPr>
        <w:t xml:space="preserve">financial institutions from using </w:t>
      </w:r>
      <w:r w:rsidR="00CC1372" w:rsidRPr="00B257D2">
        <w:rPr>
          <w:rFonts w:ascii="GT America Lt" w:hAnsi="GT America Lt"/>
          <w:sz w:val="24"/>
          <w:szCs w:val="24"/>
        </w:rPr>
        <w:t>the data</w:t>
      </w:r>
      <w:r w:rsidR="002A6E79" w:rsidRPr="00B257D2">
        <w:rPr>
          <w:rFonts w:ascii="GT America Lt" w:hAnsi="GT America Lt"/>
          <w:sz w:val="24"/>
          <w:szCs w:val="24"/>
        </w:rPr>
        <w:t xml:space="preserve"> for the essential anti-fraud </w:t>
      </w:r>
      <w:r w:rsidR="002A6E79" w:rsidRPr="00B257D2">
        <w:rPr>
          <w:rFonts w:ascii="GT America Lt" w:hAnsi="GT America Lt"/>
          <w:sz w:val="24"/>
          <w:szCs w:val="24"/>
        </w:rPr>
        <w:lastRenderedPageBreak/>
        <w:t xml:space="preserve">purposes for which it is used today. </w:t>
      </w:r>
      <w:r w:rsidR="00154B03" w:rsidRPr="00B257D2">
        <w:rPr>
          <w:rFonts w:ascii="GT America Lt" w:hAnsi="GT America Lt"/>
          <w:sz w:val="24"/>
          <w:szCs w:val="24"/>
        </w:rPr>
        <w:t>Credit header data, for example, plays an important role in prevent</w:t>
      </w:r>
      <w:r w:rsidR="00CC1372" w:rsidRPr="00B257D2">
        <w:rPr>
          <w:rFonts w:ascii="GT America Lt" w:hAnsi="GT America Lt"/>
          <w:sz w:val="24"/>
          <w:szCs w:val="24"/>
        </w:rPr>
        <w:t>ing</w:t>
      </w:r>
      <w:r w:rsidR="00154B03" w:rsidRPr="00B257D2">
        <w:rPr>
          <w:rFonts w:ascii="GT America Lt" w:hAnsi="GT America Lt"/>
          <w:sz w:val="24"/>
          <w:szCs w:val="24"/>
        </w:rPr>
        <w:t xml:space="preserve"> fraud by helping companies determine whether certain data have been associated with previous fraudulent applications, bankruptcies, or reported identity theft.</w:t>
      </w:r>
      <w:r w:rsidR="00D23557" w:rsidRPr="00B257D2">
        <w:rPr>
          <w:rFonts w:ascii="GT America Lt" w:hAnsi="GT America Lt"/>
          <w:sz w:val="24"/>
          <w:szCs w:val="24"/>
        </w:rPr>
        <w:t xml:space="preserve"> </w:t>
      </w:r>
      <w:r w:rsidR="00154B03" w:rsidRPr="00B257D2">
        <w:rPr>
          <w:rFonts w:ascii="GT America Lt" w:hAnsi="GT America Lt"/>
          <w:sz w:val="24"/>
          <w:szCs w:val="24"/>
        </w:rPr>
        <w:t xml:space="preserve">The protections afforded by existing identity theft and fraud prevention and detection tools would be weakened if </w:t>
      </w:r>
      <w:r w:rsidR="00F84B14" w:rsidRPr="00B257D2">
        <w:rPr>
          <w:rFonts w:ascii="GT America Lt" w:hAnsi="GT America Lt"/>
          <w:sz w:val="24"/>
          <w:szCs w:val="24"/>
        </w:rPr>
        <w:t xml:space="preserve">all </w:t>
      </w:r>
      <w:r w:rsidR="00154B03" w:rsidRPr="00B257D2">
        <w:rPr>
          <w:rFonts w:ascii="GT America Lt" w:hAnsi="GT America Lt"/>
          <w:sz w:val="24"/>
          <w:szCs w:val="24"/>
        </w:rPr>
        <w:t>credit header data were required to be treated as a consumer report</w:t>
      </w:r>
      <w:r w:rsidR="00F84B14" w:rsidRPr="00B257D2">
        <w:rPr>
          <w:rFonts w:ascii="GT America Lt" w:hAnsi="GT America Lt"/>
          <w:sz w:val="24"/>
          <w:szCs w:val="24"/>
        </w:rPr>
        <w:t>.</w:t>
      </w:r>
      <w:r w:rsidR="00450CC4" w:rsidRPr="00B257D2">
        <w:rPr>
          <w:rFonts w:ascii="GT America Lt" w:hAnsi="GT America Lt"/>
          <w:sz w:val="24"/>
          <w:szCs w:val="24"/>
        </w:rPr>
        <w:t xml:space="preserve"> </w:t>
      </w:r>
      <w:r w:rsidR="00DF1337" w:rsidRPr="00B257D2">
        <w:rPr>
          <w:rFonts w:ascii="GT America Lt" w:hAnsi="GT America Lt"/>
          <w:sz w:val="24"/>
          <w:szCs w:val="24"/>
        </w:rPr>
        <w:t xml:space="preserve">Significantly, </w:t>
      </w:r>
      <w:r w:rsidR="0037076B" w:rsidRPr="00B257D2">
        <w:rPr>
          <w:rFonts w:ascii="GT America Lt" w:hAnsi="GT America Lt"/>
          <w:sz w:val="24"/>
          <w:szCs w:val="24"/>
        </w:rPr>
        <w:t xml:space="preserve">the CFPB suggests that companies could achieve these theft and fraud prevention goals by collecting data from alternate sources, but </w:t>
      </w:r>
      <w:r w:rsidR="00DF1337" w:rsidRPr="00B257D2">
        <w:rPr>
          <w:rFonts w:ascii="GT America Lt" w:hAnsi="GT America Lt"/>
          <w:sz w:val="24"/>
          <w:szCs w:val="24"/>
        </w:rPr>
        <w:t xml:space="preserve">fraud prevention and detection are not permissible purposes under the FCRA. </w:t>
      </w:r>
      <w:r w:rsidR="009F622A" w:rsidRPr="00B257D2">
        <w:rPr>
          <w:rFonts w:ascii="GT America Lt" w:hAnsi="GT America Lt"/>
          <w:sz w:val="24"/>
          <w:szCs w:val="24"/>
        </w:rPr>
        <w:t xml:space="preserve">As a result, the Proposed Rule would significantly weaken existing fraud prevention and detection tools. Further, </w:t>
      </w:r>
      <w:r w:rsidR="0091721C" w:rsidRPr="00B257D2">
        <w:rPr>
          <w:rFonts w:ascii="GT America Lt" w:hAnsi="GT America Lt"/>
          <w:sz w:val="24"/>
          <w:szCs w:val="24"/>
        </w:rPr>
        <w:t xml:space="preserve">alternate </w:t>
      </w:r>
      <w:r w:rsidR="00450CC4" w:rsidRPr="00B257D2">
        <w:rPr>
          <w:rFonts w:ascii="GT America Lt" w:hAnsi="GT America Lt"/>
          <w:sz w:val="24"/>
          <w:szCs w:val="24"/>
        </w:rPr>
        <w:t xml:space="preserve">sources of data simply do not have the same accuracy, comprehensiveness, or </w:t>
      </w:r>
      <w:r w:rsidR="0068442D" w:rsidRPr="00B257D2">
        <w:rPr>
          <w:rFonts w:ascii="GT America Lt" w:hAnsi="GT America Lt"/>
          <w:sz w:val="24"/>
          <w:szCs w:val="24"/>
        </w:rPr>
        <w:t>timeliness as credit header data.</w:t>
      </w:r>
      <w:r w:rsidR="002A6E79" w:rsidRPr="00B257D2">
        <w:rPr>
          <w:rFonts w:ascii="GT America Lt" w:hAnsi="GT America Lt"/>
          <w:sz w:val="24"/>
          <w:szCs w:val="24"/>
        </w:rPr>
        <w:t xml:space="preserve"> </w:t>
      </w:r>
      <w:r w:rsidR="0068442D" w:rsidRPr="00B257D2">
        <w:rPr>
          <w:rFonts w:ascii="GT America Lt" w:hAnsi="GT America Lt"/>
          <w:sz w:val="24"/>
          <w:szCs w:val="24"/>
        </w:rPr>
        <w:t xml:space="preserve">To the extent businesses and financial institutions need to utilize data from alternative sources that may not be as accurate, the </w:t>
      </w:r>
      <w:r w:rsidR="004B65B9" w:rsidRPr="00B257D2">
        <w:rPr>
          <w:rFonts w:ascii="GT America Lt" w:hAnsi="GT America Lt"/>
          <w:sz w:val="24"/>
          <w:szCs w:val="24"/>
        </w:rPr>
        <w:t xml:space="preserve">Proposed Rule </w:t>
      </w:r>
      <w:r w:rsidR="0068442D" w:rsidRPr="00B257D2">
        <w:rPr>
          <w:rFonts w:ascii="GT America Lt" w:hAnsi="GT America Lt"/>
          <w:sz w:val="24"/>
          <w:szCs w:val="24"/>
        </w:rPr>
        <w:t xml:space="preserve">could also frustrate the consumer experience and </w:t>
      </w:r>
      <w:r w:rsidR="0053447F" w:rsidRPr="00B257D2">
        <w:rPr>
          <w:rFonts w:ascii="GT America Lt" w:hAnsi="GT America Lt"/>
          <w:sz w:val="24"/>
          <w:szCs w:val="24"/>
        </w:rPr>
        <w:t xml:space="preserve">result in </w:t>
      </w:r>
      <w:r w:rsidR="0068442D" w:rsidRPr="00B257D2">
        <w:rPr>
          <w:rFonts w:ascii="GT America Lt" w:hAnsi="GT America Lt"/>
          <w:sz w:val="24"/>
          <w:szCs w:val="24"/>
        </w:rPr>
        <w:t>increase</w:t>
      </w:r>
      <w:r w:rsidR="0053447F" w:rsidRPr="00B257D2">
        <w:rPr>
          <w:rFonts w:ascii="GT America Lt" w:hAnsi="GT America Lt"/>
          <w:sz w:val="24"/>
          <w:szCs w:val="24"/>
        </w:rPr>
        <w:t>d</w:t>
      </w:r>
      <w:r w:rsidR="0068442D" w:rsidRPr="00B257D2">
        <w:rPr>
          <w:rFonts w:ascii="GT America Lt" w:hAnsi="GT America Lt"/>
          <w:sz w:val="24"/>
          <w:szCs w:val="24"/>
        </w:rPr>
        <w:t xml:space="preserve"> fraud.</w:t>
      </w:r>
      <w:r w:rsidR="00175E1D" w:rsidRPr="00B257D2">
        <w:rPr>
          <w:rFonts w:ascii="GT America Lt" w:hAnsi="GT America Lt"/>
          <w:sz w:val="24"/>
          <w:szCs w:val="24"/>
        </w:rPr>
        <w:t xml:space="preserve"> </w:t>
      </w:r>
    </w:p>
    <w:p w14:paraId="49837A0F" w14:textId="77777777" w:rsidR="00B257D2" w:rsidRPr="00B257D2" w:rsidRDefault="00B257D2" w:rsidP="00B257D2">
      <w:pPr>
        <w:spacing w:after="0" w:line="240" w:lineRule="auto"/>
        <w:ind w:firstLine="720"/>
        <w:rPr>
          <w:rFonts w:ascii="GT America Lt" w:hAnsi="GT America Lt"/>
          <w:sz w:val="24"/>
          <w:szCs w:val="24"/>
        </w:rPr>
      </w:pPr>
    </w:p>
    <w:p w14:paraId="1FD27645" w14:textId="1559F578" w:rsidR="00F84B14" w:rsidRDefault="0053447F" w:rsidP="00B257D2">
      <w:pPr>
        <w:spacing w:after="0" w:line="240" w:lineRule="auto"/>
        <w:ind w:firstLine="720"/>
        <w:rPr>
          <w:rFonts w:ascii="GT America Lt" w:hAnsi="GT America Lt"/>
          <w:sz w:val="24"/>
          <w:szCs w:val="24"/>
        </w:rPr>
      </w:pPr>
      <w:r w:rsidRPr="00B257D2">
        <w:rPr>
          <w:rFonts w:ascii="GT America Lt" w:hAnsi="GT America Lt"/>
          <w:sz w:val="24"/>
          <w:szCs w:val="24"/>
        </w:rPr>
        <w:t>Members of Congress have previously highlighted t</w:t>
      </w:r>
      <w:r w:rsidR="0068442D" w:rsidRPr="00B257D2">
        <w:rPr>
          <w:rFonts w:ascii="GT America Lt" w:hAnsi="GT America Lt"/>
          <w:sz w:val="24"/>
          <w:szCs w:val="24"/>
        </w:rPr>
        <w:t>he potential negative impacts of treating</w:t>
      </w:r>
      <w:r w:rsidR="00793B7B" w:rsidRPr="00B257D2">
        <w:rPr>
          <w:rFonts w:ascii="GT America Lt" w:hAnsi="GT America Lt"/>
          <w:sz w:val="24"/>
          <w:szCs w:val="24"/>
        </w:rPr>
        <w:t xml:space="preserve"> all</w:t>
      </w:r>
      <w:r w:rsidR="0068442D" w:rsidRPr="00B257D2">
        <w:rPr>
          <w:rFonts w:ascii="GT America Lt" w:hAnsi="GT America Lt"/>
          <w:sz w:val="24"/>
          <w:szCs w:val="24"/>
        </w:rPr>
        <w:t xml:space="preserve"> credit header data as consumer reports. </w:t>
      </w:r>
      <w:r w:rsidR="00450CC4" w:rsidRPr="00B257D2">
        <w:rPr>
          <w:rFonts w:ascii="GT America Lt" w:hAnsi="GT America Lt"/>
          <w:sz w:val="24"/>
          <w:szCs w:val="24"/>
        </w:rPr>
        <w:t xml:space="preserve">In a letter to CFPB Director Rohit Chopra in response to the </w:t>
      </w:r>
      <w:r w:rsidR="00801740" w:rsidRPr="00B257D2">
        <w:rPr>
          <w:rFonts w:ascii="GT America Lt" w:hAnsi="GT America Lt"/>
          <w:sz w:val="24"/>
          <w:szCs w:val="24"/>
        </w:rPr>
        <w:t>outline required under the Small Business Regulatory Enforcement Fairness Act (“SBREFA”)</w:t>
      </w:r>
      <w:r w:rsidR="00450CC4" w:rsidRPr="00B257D2">
        <w:rPr>
          <w:rFonts w:ascii="GT America Lt" w:hAnsi="GT America Lt"/>
          <w:sz w:val="24"/>
          <w:szCs w:val="24"/>
        </w:rPr>
        <w:t xml:space="preserve"> in advance of the Proposed Rule, six </w:t>
      </w:r>
      <w:r w:rsidR="004B65B9" w:rsidRPr="00B257D2">
        <w:rPr>
          <w:rFonts w:ascii="GT America Lt" w:hAnsi="GT America Lt"/>
          <w:sz w:val="24"/>
          <w:szCs w:val="24"/>
        </w:rPr>
        <w:t xml:space="preserve">Representatives </w:t>
      </w:r>
      <w:r w:rsidR="00450CC4" w:rsidRPr="00B257D2">
        <w:rPr>
          <w:rFonts w:ascii="GT America Lt" w:hAnsi="GT America Lt"/>
          <w:sz w:val="24"/>
          <w:szCs w:val="24"/>
        </w:rPr>
        <w:t>expressed concern with the impacts of extending the FCRA to apply to credit header data.</w:t>
      </w:r>
      <w:r w:rsidR="00450CC4" w:rsidRPr="00B257D2">
        <w:rPr>
          <w:rStyle w:val="FootnoteReference"/>
          <w:rFonts w:ascii="GT America Lt" w:hAnsi="GT America Lt"/>
          <w:sz w:val="24"/>
          <w:szCs w:val="24"/>
        </w:rPr>
        <w:footnoteReference w:id="7"/>
      </w:r>
      <w:r w:rsidR="00450CC4" w:rsidRPr="00B257D2">
        <w:rPr>
          <w:rFonts w:ascii="GT America Lt" w:hAnsi="GT America Lt"/>
          <w:sz w:val="24"/>
          <w:szCs w:val="24"/>
        </w:rPr>
        <w:t xml:space="preserve"> Specifically, the representatives stated that “[w]</w:t>
      </w:r>
      <w:proofErr w:type="spellStart"/>
      <w:r w:rsidR="00450CC4" w:rsidRPr="00B257D2">
        <w:rPr>
          <w:rFonts w:ascii="GT America Lt" w:hAnsi="GT America Lt"/>
          <w:sz w:val="24"/>
          <w:szCs w:val="24"/>
        </w:rPr>
        <w:t>ithout</w:t>
      </w:r>
      <w:proofErr w:type="spellEnd"/>
      <w:r w:rsidR="00450CC4" w:rsidRPr="00B257D2">
        <w:rPr>
          <w:rFonts w:ascii="GT America Lt" w:hAnsi="GT America Lt"/>
          <w:sz w:val="24"/>
          <w:szCs w:val="24"/>
        </w:rPr>
        <w:t xml:space="preserve"> a dynamic trusted source of information – such as credit header data – . . . due diligence programs would be less reliable, and many would need to be rebuilt from the ground up.”</w:t>
      </w:r>
      <w:r w:rsidR="00450CC4" w:rsidRPr="00B257D2">
        <w:rPr>
          <w:rStyle w:val="FootnoteReference"/>
          <w:rFonts w:ascii="GT America Lt" w:hAnsi="GT America Lt"/>
          <w:sz w:val="24"/>
          <w:szCs w:val="24"/>
        </w:rPr>
        <w:footnoteReference w:id="8"/>
      </w:r>
      <w:r w:rsidR="00450CC4" w:rsidRPr="00B257D2">
        <w:rPr>
          <w:rFonts w:ascii="GT America Lt" w:hAnsi="GT America Lt"/>
          <w:sz w:val="24"/>
          <w:szCs w:val="24"/>
        </w:rPr>
        <w:t xml:space="preserve"> The letter also identified challenges that would especially impact small lenders</w:t>
      </w:r>
      <w:r w:rsidR="004B65B9" w:rsidRPr="00B257D2">
        <w:rPr>
          <w:rFonts w:ascii="GT America Lt" w:hAnsi="GT America Lt"/>
          <w:sz w:val="24"/>
          <w:szCs w:val="24"/>
        </w:rPr>
        <w:t xml:space="preserve"> that</w:t>
      </w:r>
      <w:r w:rsidR="00450CC4" w:rsidRPr="00B257D2">
        <w:rPr>
          <w:rFonts w:ascii="GT America Lt" w:hAnsi="GT America Lt"/>
          <w:sz w:val="24"/>
          <w:szCs w:val="24"/>
        </w:rPr>
        <w:t xml:space="preserve"> serve rural and underserved communities</w:t>
      </w:r>
      <w:r w:rsidR="0068442D" w:rsidRPr="00B257D2">
        <w:rPr>
          <w:rFonts w:ascii="GT America Lt" w:hAnsi="GT America Lt"/>
          <w:sz w:val="24"/>
          <w:szCs w:val="24"/>
        </w:rPr>
        <w:t xml:space="preserve"> and</w:t>
      </w:r>
      <w:r w:rsidRPr="00B257D2">
        <w:rPr>
          <w:rFonts w:ascii="GT America Lt" w:hAnsi="GT America Lt"/>
          <w:sz w:val="24"/>
          <w:szCs w:val="24"/>
        </w:rPr>
        <w:t xml:space="preserve"> generally</w:t>
      </w:r>
      <w:r w:rsidR="00450CC4" w:rsidRPr="00B257D2">
        <w:rPr>
          <w:rFonts w:ascii="GT America Lt" w:hAnsi="GT America Lt"/>
          <w:sz w:val="24"/>
          <w:szCs w:val="24"/>
        </w:rPr>
        <w:t xml:space="preserve"> lack the data and resources of larger institutions. </w:t>
      </w:r>
    </w:p>
    <w:p w14:paraId="7CDBC473" w14:textId="77777777" w:rsidR="00B257D2" w:rsidRPr="00B257D2" w:rsidRDefault="00B257D2" w:rsidP="00B257D2">
      <w:pPr>
        <w:spacing w:after="0" w:line="240" w:lineRule="auto"/>
        <w:ind w:firstLine="720"/>
        <w:rPr>
          <w:rFonts w:ascii="GT America Lt" w:hAnsi="GT America Lt"/>
          <w:sz w:val="24"/>
          <w:szCs w:val="24"/>
        </w:rPr>
      </w:pPr>
    </w:p>
    <w:p w14:paraId="3A3A1CC4" w14:textId="58F87DB4" w:rsidR="002A6E79" w:rsidRDefault="0007107A" w:rsidP="00B257D2">
      <w:pPr>
        <w:spacing w:after="0" w:line="240" w:lineRule="auto"/>
        <w:ind w:firstLine="720"/>
        <w:rPr>
          <w:rFonts w:ascii="GT America Lt" w:hAnsi="GT America Lt"/>
          <w:sz w:val="24"/>
          <w:szCs w:val="24"/>
        </w:rPr>
      </w:pPr>
      <w:r w:rsidRPr="00B257D2">
        <w:rPr>
          <w:rFonts w:ascii="GT America Lt" w:hAnsi="GT America Lt"/>
          <w:sz w:val="24"/>
          <w:szCs w:val="24"/>
        </w:rPr>
        <w:t>C</w:t>
      </w:r>
      <w:r w:rsidR="002A6E79" w:rsidRPr="00B257D2">
        <w:rPr>
          <w:rFonts w:ascii="GT America Lt" w:hAnsi="GT America Lt"/>
          <w:sz w:val="24"/>
          <w:szCs w:val="24"/>
        </w:rPr>
        <w:t>onsumer data</w:t>
      </w:r>
      <w:r w:rsidRPr="00B257D2">
        <w:rPr>
          <w:rFonts w:ascii="GT America Lt" w:hAnsi="GT America Lt"/>
          <w:sz w:val="24"/>
          <w:szCs w:val="24"/>
        </w:rPr>
        <w:t xml:space="preserve">, </w:t>
      </w:r>
      <w:r w:rsidR="009A14DD" w:rsidRPr="00B257D2">
        <w:rPr>
          <w:rFonts w:ascii="GT America Lt" w:hAnsi="GT America Lt"/>
          <w:sz w:val="24"/>
          <w:szCs w:val="24"/>
        </w:rPr>
        <w:t>particularly the types of data like credit header data that would become “consumer reports” under the Proposed Rule,</w:t>
      </w:r>
      <w:r w:rsidR="002A6E79" w:rsidRPr="00B257D2">
        <w:rPr>
          <w:rFonts w:ascii="GT America Lt" w:hAnsi="GT America Lt"/>
          <w:sz w:val="24"/>
          <w:szCs w:val="24"/>
        </w:rPr>
        <w:t xml:space="preserve"> also play an important role in </w:t>
      </w:r>
      <w:r w:rsidR="004B65B9" w:rsidRPr="00B257D2">
        <w:rPr>
          <w:rFonts w:ascii="GT America Lt" w:hAnsi="GT America Lt"/>
          <w:sz w:val="24"/>
          <w:szCs w:val="24"/>
        </w:rPr>
        <w:t xml:space="preserve">broader </w:t>
      </w:r>
      <w:r w:rsidR="002A6E79" w:rsidRPr="00B257D2">
        <w:rPr>
          <w:rFonts w:ascii="GT America Lt" w:hAnsi="GT America Lt"/>
          <w:sz w:val="24"/>
          <w:szCs w:val="24"/>
        </w:rPr>
        <w:t>law enforcement uses. Examples</w:t>
      </w:r>
      <w:r w:rsidR="004B65B9" w:rsidRPr="00B257D2">
        <w:rPr>
          <w:rFonts w:ascii="GT America Lt" w:hAnsi="GT America Lt"/>
          <w:sz w:val="24"/>
          <w:szCs w:val="24"/>
        </w:rPr>
        <w:t xml:space="preserve"> </w:t>
      </w:r>
      <w:r w:rsidR="002A6E79" w:rsidRPr="00B257D2">
        <w:rPr>
          <w:rFonts w:ascii="GT America Lt" w:hAnsi="GT America Lt"/>
          <w:sz w:val="24"/>
          <w:szCs w:val="24"/>
        </w:rPr>
        <w:t xml:space="preserve">include the data tool that helped </w:t>
      </w:r>
      <w:r w:rsidR="004B65B9" w:rsidRPr="00B257D2">
        <w:rPr>
          <w:rFonts w:ascii="GT America Lt" w:hAnsi="GT America Lt"/>
          <w:sz w:val="24"/>
          <w:szCs w:val="24"/>
        </w:rPr>
        <w:t>law enforcement to stop a mass</w:t>
      </w:r>
      <w:r w:rsidR="00A256FB" w:rsidRPr="00B257D2">
        <w:rPr>
          <w:rFonts w:ascii="GT America Lt" w:hAnsi="GT America Lt"/>
          <w:sz w:val="24"/>
          <w:szCs w:val="24"/>
        </w:rPr>
        <w:t xml:space="preserve"> </w:t>
      </w:r>
      <w:r w:rsidR="004B65B9" w:rsidRPr="00B257D2">
        <w:rPr>
          <w:rFonts w:ascii="GT America Lt" w:hAnsi="GT America Lt"/>
          <w:sz w:val="24"/>
          <w:szCs w:val="24"/>
        </w:rPr>
        <w:t xml:space="preserve">shooting in </w:t>
      </w:r>
      <w:r w:rsidR="002A6E79" w:rsidRPr="00B257D2">
        <w:rPr>
          <w:rFonts w:ascii="GT America Lt" w:hAnsi="GT America Lt"/>
          <w:sz w:val="24"/>
          <w:szCs w:val="24"/>
        </w:rPr>
        <w:t>San Bernardino in real time, preventing further loss of life</w:t>
      </w:r>
      <w:r w:rsidR="004B65B9" w:rsidRPr="00B257D2">
        <w:rPr>
          <w:rFonts w:ascii="GT America Lt" w:hAnsi="GT America Lt"/>
          <w:sz w:val="24"/>
          <w:szCs w:val="24"/>
        </w:rPr>
        <w:t>,</w:t>
      </w:r>
      <w:r w:rsidR="002A6E79" w:rsidRPr="00B257D2">
        <w:rPr>
          <w:rStyle w:val="FootnoteReference"/>
          <w:rFonts w:ascii="GT America Lt" w:hAnsi="GT America Lt"/>
          <w:sz w:val="24"/>
          <w:szCs w:val="24"/>
        </w:rPr>
        <w:footnoteReference w:id="9"/>
      </w:r>
      <w:r w:rsidR="002A6E79" w:rsidRPr="00B257D2">
        <w:rPr>
          <w:rFonts w:ascii="GT America Lt" w:hAnsi="GT America Lt"/>
          <w:sz w:val="24"/>
          <w:szCs w:val="24"/>
        </w:rPr>
        <w:t xml:space="preserve"> </w:t>
      </w:r>
      <w:r w:rsidR="004B65B9" w:rsidRPr="00B257D2">
        <w:rPr>
          <w:rFonts w:ascii="GT America Lt" w:hAnsi="GT America Lt"/>
          <w:sz w:val="24"/>
          <w:szCs w:val="24"/>
        </w:rPr>
        <w:t>as well as</w:t>
      </w:r>
      <w:r w:rsidR="002A6E79" w:rsidRPr="00B257D2">
        <w:rPr>
          <w:rFonts w:ascii="GT America Lt" w:hAnsi="GT America Lt"/>
          <w:sz w:val="24"/>
          <w:szCs w:val="24"/>
        </w:rPr>
        <w:t xml:space="preserve"> the use of consumer data by the National Center for Missing and Exploited Children to help resolve over 1,300 missing child cases in 2022</w:t>
      </w:r>
      <w:r w:rsidR="00793B7B" w:rsidRPr="00B257D2">
        <w:rPr>
          <w:rFonts w:ascii="GT America Lt" w:hAnsi="GT America Lt"/>
          <w:sz w:val="24"/>
          <w:szCs w:val="24"/>
        </w:rPr>
        <w:t xml:space="preserve"> alone</w:t>
      </w:r>
      <w:r w:rsidR="002A6E79" w:rsidRPr="00B257D2">
        <w:rPr>
          <w:rFonts w:ascii="GT America Lt" w:hAnsi="GT America Lt"/>
          <w:sz w:val="24"/>
          <w:szCs w:val="24"/>
        </w:rPr>
        <w:t>.</w:t>
      </w:r>
      <w:r w:rsidR="002A6E79" w:rsidRPr="00B257D2">
        <w:rPr>
          <w:rStyle w:val="FootnoteReference"/>
          <w:rFonts w:ascii="GT America Lt" w:hAnsi="GT America Lt"/>
          <w:sz w:val="24"/>
          <w:szCs w:val="24"/>
        </w:rPr>
        <w:footnoteReference w:id="10"/>
      </w:r>
      <w:r w:rsidR="002A6E79" w:rsidRPr="00B257D2">
        <w:rPr>
          <w:rFonts w:ascii="GT America Lt" w:hAnsi="GT America Lt"/>
          <w:sz w:val="24"/>
          <w:szCs w:val="24"/>
        </w:rPr>
        <w:t xml:space="preserve"> The CFPB cites preventing crime and national security threats as major </w:t>
      </w:r>
      <w:r w:rsidR="002A6E79" w:rsidRPr="00B257D2">
        <w:rPr>
          <w:rFonts w:ascii="GT America Lt" w:hAnsi="GT America Lt"/>
          <w:sz w:val="24"/>
          <w:szCs w:val="24"/>
        </w:rPr>
        <w:lastRenderedPageBreak/>
        <w:t xml:space="preserve">purposes for the rule, yet the Proposed Rule would </w:t>
      </w:r>
      <w:r w:rsidR="004B65B9" w:rsidRPr="00B257D2">
        <w:rPr>
          <w:rFonts w:ascii="GT America Lt" w:hAnsi="GT America Lt"/>
          <w:sz w:val="24"/>
          <w:szCs w:val="24"/>
        </w:rPr>
        <w:t>prevent or substantial</w:t>
      </w:r>
      <w:r w:rsidR="00793B7B" w:rsidRPr="00B257D2">
        <w:rPr>
          <w:rFonts w:ascii="GT America Lt" w:hAnsi="GT America Lt"/>
          <w:sz w:val="24"/>
          <w:szCs w:val="24"/>
        </w:rPr>
        <w:t>ly</w:t>
      </w:r>
      <w:r w:rsidR="004B65B9" w:rsidRPr="00B257D2">
        <w:rPr>
          <w:rFonts w:ascii="GT America Lt" w:hAnsi="GT America Lt"/>
          <w:sz w:val="24"/>
          <w:szCs w:val="24"/>
        </w:rPr>
        <w:t xml:space="preserve"> restrict </w:t>
      </w:r>
      <w:r w:rsidR="001C3EDB" w:rsidRPr="00B257D2">
        <w:rPr>
          <w:rFonts w:ascii="GT America Lt" w:hAnsi="GT America Lt"/>
          <w:sz w:val="24"/>
          <w:szCs w:val="24"/>
        </w:rPr>
        <w:t>such</w:t>
      </w:r>
      <w:r w:rsidR="004B65B9" w:rsidRPr="00B257D2">
        <w:rPr>
          <w:rFonts w:ascii="GT America Lt" w:hAnsi="GT America Lt"/>
          <w:sz w:val="24"/>
          <w:szCs w:val="24"/>
        </w:rPr>
        <w:t xml:space="preserve"> use</w:t>
      </w:r>
      <w:r w:rsidR="001C3EDB" w:rsidRPr="00B257D2">
        <w:rPr>
          <w:rFonts w:ascii="GT America Lt" w:hAnsi="GT America Lt"/>
          <w:sz w:val="24"/>
          <w:szCs w:val="24"/>
        </w:rPr>
        <w:t>s</w:t>
      </w:r>
      <w:r w:rsidR="004B65B9" w:rsidRPr="00B257D2">
        <w:rPr>
          <w:rFonts w:ascii="GT America Lt" w:hAnsi="GT America Lt"/>
          <w:sz w:val="24"/>
          <w:szCs w:val="24"/>
        </w:rPr>
        <w:t xml:space="preserve"> of </w:t>
      </w:r>
      <w:r w:rsidR="002A6E79" w:rsidRPr="00B257D2">
        <w:rPr>
          <w:rFonts w:ascii="GT America Lt" w:hAnsi="GT America Lt"/>
          <w:sz w:val="24"/>
          <w:szCs w:val="24"/>
        </w:rPr>
        <w:t>data</w:t>
      </w:r>
      <w:r w:rsidR="000F3C86" w:rsidRPr="00B257D2">
        <w:rPr>
          <w:rFonts w:ascii="GT America Lt" w:hAnsi="GT America Lt"/>
          <w:sz w:val="24"/>
          <w:szCs w:val="24"/>
        </w:rPr>
        <w:t xml:space="preserve"> </w:t>
      </w:r>
      <w:r w:rsidR="004B65B9" w:rsidRPr="00B257D2">
        <w:rPr>
          <w:rFonts w:ascii="GT America Lt" w:hAnsi="GT America Lt"/>
          <w:sz w:val="24"/>
          <w:szCs w:val="24"/>
        </w:rPr>
        <w:t xml:space="preserve">to </w:t>
      </w:r>
      <w:r w:rsidR="000F3C86" w:rsidRPr="00B257D2">
        <w:rPr>
          <w:rFonts w:ascii="GT America Lt" w:hAnsi="GT America Lt"/>
          <w:sz w:val="24"/>
          <w:szCs w:val="24"/>
        </w:rPr>
        <w:t>prevent and detect crime</w:t>
      </w:r>
      <w:r w:rsidR="002A6E79" w:rsidRPr="00B257D2">
        <w:rPr>
          <w:rFonts w:ascii="GT America Lt" w:hAnsi="GT America Lt"/>
          <w:sz w:val="24"/>
          <w:szCs w:val="24"/>
        </w:rPr>
        <w:t>.</w:t>
      </w:r>
      <w:r w:rsidR="004B65B9" w:rsidRPr="00B257D2">
        <w:rPr>
          <w:rFonts w:ascii="GT America Lt" w:hAnsi="GT America Lt"/>
          <w:sz w:val="24"/>
          <w:szCs w:val="24"/>
        </w:rPr>
        <w:t xml:space="preserve"> </w:t>
      </w:r>
      <w:r w:rsidR="002A6E79" w:rsidRPr="00B257D2">
        <w:rPr>
          <w:rFonts w:ascii="GT America Lt" w:hAnsi="GT America Lt"/>
          <w:sz w:val="24"/>
          <w:szCs w:val="24"/>
        </w:rPr>
        <w:t xml:space="preserve"> </w:t>
      </w:r>
    </w:p>
    <w:p w14:paraId="72CCA8FC" w14:textId="77777777" w:rsidR="00B257D2" w:rsidRPr="00B257D2" w:rsidRDefault="00B257D2" w:rsidP="00B257D2">
      <w:pPr>
        <w:spacing w:after="0" w:line="240" w:lineRule="auto"/>
        <w:ind w:firstLine="720"/>
        <w:rPr>
          <w:rFonts w:ascii="GT America Lt" w:hAnsi="GT America Lt"/>
          <w:sz w:val="24"/>
          <w:szCs w:val="24"/>
        </w:rPr>
      </w:pPr>
    </w:p>
    <w:p w14:paraId="419BCA33" w14:textId="096D2489" w:rsidR="007572BC" w:rsidRDefault="007572BC" w:rsidP="00B257D2">
      <w:pPr>
        <w:pStyle w:val="ListParagraph"/>
        <w:numPr>
          <w:ilvl w:val="0"/>
          <w:numId w:val="12"/>
        </w:numPr>
        <w:spacing w:after="0"/>
        <w:rPr>
          <w:rFonts w:ascii="GT America Lt" w:hAnsi="GT America Lt"/>
          <w:sz w:val="24"/>
          <w:szCs w:val="24"/>
        </w:rPr>
      </w:pPr>
      <w:r w:rsidRPr="00B257D2">
        <w:rPr>
          <w:rFonts w:ascii="GT America Lt" w:hAnsi="GT America Lt"/>
          <w:sz w:val="24"/>
          <w:szCs w:val="24"/>
        </w:rPr>
        <w:t xml:space="preserve">The CFPB’s proposals </w:t>
      </w:r>
      <w:r w:rsidR="000F3C86" w:rsidRPr="00B257D2">
        <w:rPr>
          <w:rFonts w:ascii="GT America Lt" w:hAnsi="GT America Lt"/>
          <w:sz w:val="24"/>
          <w:szCs w:val="24"/>
        </w:rPr>
        <w:t>on</w:t>
      </w:r>
      <w:r w:rsidRPr="00B257D2">
        <w:rPr>
          <w:rFonts w:ascii="GT America Lt" w:hAnsi="GT America Lt"/>
          <w:sz w:val="24"/>
          <w:szCs w:val="24"/>
        </w:rPr>
        <w:t xml:space="preserve"> de-identified data will </w:t>
      </w:r>
      <w:r w:rsidR="00BD0D1B" w:rsidRPr="00B257D2">
        <w:rPr>
          <w:rFonts w:ascii="GT America Lt" w:hAnsi="GT America Lt"/>
          <w:sz w:val="24"/>
          <w:szCs w:val="24"/>
        </w:rPr>
        <w:t>impair underwriting</w:t>
      </w:r>
      <w:r w:rsidRPr="00B257D2">
        <w:rPr>
          <w:rFonts w:ascii="GT America Lt" w:hAnsi="GT America Lt"/>
          <w:sz w:val="24"/>
          <w:szCs w:val="24"/>
        </w:rPr>
        <w:t>.</w:t>
      </w:r>
    </w:p>
    <w:p w14:paraId="5EB3DE00" w14:textId="77777777" w:rsidR="00B257D2" w:rsidRPr="00B257D2" w:rsidRDefault="00B257D2" w:rsidP="00B257D2">
      <w:pPr>
        <w:pStyle w:val="ListParagraph"/>
        <w:spacing w:after="0"/>
        <w:ind w:left="1440"/>
        <w:rPr>
          <w:rFonts w:ascii="GT America Lt" w:hAnsi="GT America Lt"/>
          <w:sz w:val="24"/>
          <w:szCs w:val="24"/>
        </w:rPr>
      </w:pPr>
    </w:p>
    <w:p w14:paraId="39C7BB42" w14:textId="48D7FE39" w:rsidR="00434AFA" w:rsidRDefault="00434AFA" w:rsidP="00B257D2">
      <w:pPr>
        <w:spacing w:after="0" w:line="240" w:lineRule="auto"/>
        <w:ind w:firstLine="720"/>
        <w:rPr>
          <w:rFonts w:ascii="GT America Lt" w:hAnsi="GT America Lt"/>
          <w:sz w:val="24"/>
          <w:szCs w:val="24"/>
        </w:rPr>
      </w:pPr>
      <w:r w:rsidRPr="00B257D2">
        <w:rPr>
          <w:rFonts w:ascii="GT America Lt" w:hAnsi="GT America Lt"/>
          <w:sz w:val="24"/>
          <w:szCs w:val="24"/>
        </w:rPr>
        <w:t xml:space="preserve">Treating de-identified data as </w:t>
      </w:r>
      <w:r w:rsidR="001C3EDB" w:rsidRPr="00B257D2">
        <w:rPr>
          <w:rFonts w:ascii="GT America Lt" w:hAnsi="GT America Lt"/>
          <w:sz w:val="24"/>
          <w:szCs w:val="24"/>
        </w:rPr>
        <w:t>“</w:t>
      </w:r>
      <w:r w:rsidRPr="00B257D2">
        <w:rPr>
          <w:rFonts w:ascii="GT America Lt" w:hAnsi="GT America Lt"/>
          <w:sz w:val="24"/>
          <w:szCs w:val="24"/>
        </w:rPr>
        <w:t>consumer reports</w:t>
      </w:r>
      <w:r w:rsidR="00693368" w:rsidRPr="00B257D2">
        <w:rPr>
          <w:rFonts w:ascii="GT America Lt" w:hAnsi="GT America Lt"/>
          <w:sz w:val="24"/>
          <w:szCs w:val="24"/>
        </w:rPr>
        <w:t>”</w:t>
      </w:r>
      <w:r w:rsidR="001C3EDB" w:rsidRPr="00B257D2">
        <w:rPr>
          <w:rFonts w:ascii="GT America Lt" w:hAnsi="GT America Lt"/>
          <w:sz w:val="24"/>
          <w:szCs w:val="24"/>
        </w:rPr>
        <w:t xml:space="preserve"> subject to the FCRA, as the CFPB proposes,</w:t>
      </w:r>
      <w:r w:rsidRPr="00B257D2">
        <w:rPr>
          <w:rFonts w:ascii="GT America Lt" w:hAnsi="GT America Lt"/>
          <w:sz w:val="24"/>
          <w:szCs w:val="24"/>
        </w:rPr>
        <w:t xml:space="preserve"> would </w:t>
      </w:r>
      <w:r w:rsidR="002A6E79" w:rsidRPr="00B257D2">
        <w:rPr>
          <w:rFonts w:ascii="GT America Lt" w:hAnsi="GT America Lt"/>
          <w:sz w:val="24"/>
          <w:szCs w:val="24"/>
        </w:rPr>
        <w:t>also</w:t>
      </w:r>
      <w:r w:rsidRPr="00B257D2">
        <w:rPr>
          <w:rFonts w:ascii="GT America Lt" w:hAnsi="GT America Lt"/>
          <w:sz w:val="24"/>
          <w:szCs w:val="24"/>
        </w:rPr>
        <w:t xml:space="preserve"> </w:t>
      </w:r>
      <w:r w:rsidR="0062409D" w:rsidRPr="00B257D2">
        <w:rPr>
          <w:rFonts w:ascii="GT America Lt" w:hAnsi="GT America Lt"/>
          <w:sz w:val="24"/>
          <w:szCs w:val="24"/>
        </w:rPr>
        <w:t>harm</w:t>
      </w:r>
      <w:r w:rsidRPr="00B257D2">
        <w:rPr>
          <w:rFonts w:ascii="GT America Lt" w:hAnsi="GT America Lt"/>
          <w:sz w:val="24"/>
          <w:szCs w:val="24"/>
        </w:rPr>
        <w:t xml:space="preserve"> consumers. Financial service providers often rely on de-identified dat</w:t>
      </w:r>
      <w:r w:rsidR="000F3C86" w:rsidRPr="00B257D2">
        <w:rPr>
          <w:rFonts w:ascii="GT America Lt" w:hAnsi="GT America Lt"/>
          <w:sz w:val="24"/>
          <w:szCs w:val="24"/>
        </w:rPr>
        <w:t>a</w:t>
      </w:r>
      <w:r w:rsidRPr="00B257D2">
        <w:rPr>
          <w:rFonts w:ascii="GT America Lt" w:hAnsi="GT America Lt"/>
          <w:sz w:val="24"/>
          <w:szCs w:val="24"/>
        </w:rPr>
        <w:t xml:space="preserve"> to use and validate models, including models that predict a consumer’s ability to repay credit</w:t>
      </w:r>
      <w:r w:rsidR="00D23557" w:rsidRPr="00B257D2">
        <w:rPr>
          <w:rFonts w:ascii="GT America Lt" w:hAnsi="GT America Lt"/>
          <w:sz w:val="24"/>
          <w:szCs w:val="24"/>
        </w:rPr>
        <w:t>. With access to de-identified data</w:t>
      </w:r>
      <w:r w:rsidR="001C3EDB" w:rsidRPr="00B257D2">
        <w:rPr>
          <w:rFonts w:ascii="GT America Lt" w:hAnsi="GT America Lt"/>
          <w:sz w:val="24"/>
          <w:szCs w:val="24"/>
        </w:rPr>
        <w:t xml:space="preserve"> either prevented or substantially restricted</w:t>
      </w:r>
      <w:r w:rsidR="00D23557" w:rsidRPr="00B257D2">
        <w:rPr>
          <w:rFonts w:ascii="GT America Lt" w:hAnsi="GT America Lt"/>
          <w:sz w:val="24"/>
          <w:szCs w:val="24"/>
        </w:rPr>
        <w:t xml:space="preserve">, financial service providers may no longer be able to utilize certain models, or such models may become significantly less accurate. </w:t>
      </w:r>
      <w:r w:rsidR="001C3EDB" w:rsidRPr="00B257D2">
        <w:rPr>
          <w:rFonts w:ascii="GT America Lt" w:hAnsi="GT America Lt"/>
          <w:sz w:val="24"/>
          <w:szCs w:val="24"/>
        </w:rPr>
        <w:t xml:space="preserve">Lacking </w:t>
      </w:r>
      <w:r w:rsidR="00D23557" w:rsidRPr="00B257D2">
        <w:rPr>
          <w:rFonts w:ascii="GT America Lt" w:hAnsi="GT America Lt"/>
          <w:sz w:val="24"/>
          <w:szCs w:val="24"/>
        </w:rPr>
        <w:t xml:space="preserve">the insights received from </w:t>
      </w:r>
      <w:r w:rsidR="001C3EDB" w:rsidRPr="00B257D2">
        <w:rPr>
          <w:rFonts w:ascii="GT America Lt" w:hAnsi="GT America Lt"/>
          <w:sz w:val="24"/>
          <w:szCs w:val="24"/>
        </w:rPr>
        <w:t>these</w:t>
      </w:r>
      <w:r w:rsidR="00D23557" w:rsidRPr="00B257D2">
        <w:rPr>
          <w:rFonts w:ascii="GT America Lt" w:hAnsi="GT America Lt"/>
          <w:sz w:val="24"/>
          <w:szCs w:val="24"/>
        </w:rPr>
        <w:t xml:space="preserve"> models, financial service providers </w:t>
      </w:r>
      <w:r w:rsidR="001C3EDB" w:rsidRPr="00B257D2">
        <w:rPr>
          <w:rFonts w:ascii="GT America Lt" w:hAnsi="GT America Lt"/>
          <w:sz w:val="24"/>
          <w:szCs w:val="24"/>
        </w:rPr>
        <w:t xml:space="preserve">in turn </w:t>
      </w:r>
      <w:r w:rsidR="00D23557" w:rsidRPr="00B257D2">
        <w:rPr>
          <w:rFonts w:ascii="GT America Lt" w:hAnsi="GT America Lt"/>
          <w:sz w:val="24"/>
          <w:szCs w:val="24"/>
        </w:rPr>
        <w:t>may not be able to assess risk as accurately</w:t>
      </w:r>
      <w:r w:rsidR="000F3C86" w:rsidRPr="00B257D2">
        <w:rPr>
          <w:rFonts w:ascii="GT America Lt" w:hAnsi="GT America Lt"/>
          <w:sz w:val="24"/>
          <w:szCs w:val="24"/>
        </w:rPr>
        <w:t>. As a result, some financial service providers</w:t>
      </w:r>
      <w:r w:rsidR="00D23557" w:rsidRPr="00B257D2">
        <w:rPr>
          <w:rFonts w:ascii="GT America Lt" w:hAnsi="GT America Lt"/>
          <w:sz w:val="24"/>
          <w:szCs w:val="24"/>
        </w:rPr>
        <w:t xml:space="preserve"> may not be able to extend credit safely and soundly </w:t>
      </w:r>
      <w:r w:rsidR="000F3C86" w:rsidRPr="00B257D2">
        <w:rPr>
          <w:rFonts w:ascii="GT America Lt" w:hAnsi="GT America Lt"/>
          <w:sz w:val="24"/>
          <w:szCs w:val="24"/>
        </w:rPr>
        <w:t>to consumers</w:t>
      </w:r>
      <w:r w:rsidR="00F36F3E" w:rsidRPr="00B257D2">
        <w:rPr>
          <w:rFonts w:ascii="GT America Lt" w:hAnsi="GT America Lt"/>
          <w:sz w:val="24"/>
          <w:szCs w:val="24"/>
        </w:rPr>
        <w:t>, especially those</w:t>
      </w:r>
      <w:r w:rsidR="00F36F3E" w:rsidRPr="00B257D2">
        <w:rPr>
          <w:rStyle w:val="CommentReference"/>
          <w:rFonts w:ascii="GT America Lt" w:hAnsi="GT America Lt"/>
          <w:sz w:val="24"/>
          <w:szCs w:val="24"/>
        </w:rPr>
        <w:t xml:space="preserve"> </w:t>
      </w:r>
      <w:r w:rsidR="00D23557" w:rsidRPr="00B257D2">
        <w:rPr>
          <w:rFonts w:ascii="GT America Lt" w:hAnsi="GT America Lt"/>
          <w:sz w:val="24"/>
          <w:szCs w:val="24"/>
        </w:rPr>
        <w:t xml:space="preserve">who do not have a traditional positive credit history. </w:t>
      </w:r>
      <w:r w:rsidR="00CF17A3" w:rsidRPr="00B257D2">
        <w:rPr>
          <w:rFonts w:ascii="GT America Lt" w:hAnsi="GT America Lt"/>
          <w:sz w:val="24"/>
          <w:szCs w:val="24"/>
        </w:rPr>
        <w:t xml:space="preserve">As a practical matter, reasonably cautious parties will be forced to treat de-identified data as consumer reports, largely depriving them of the ability to make important use of such data. </w:t>
      </w:r>
      <w:r w:rsidR="00D23557" w:rsidRPr="00B257D2">
        <w:rPr>
          <w:rFonts w:ascii="GT America Lt" w:hAnsi="GT America Lt"/>
          <w:sz w:val="24"/>
          <w:szCs w:val="24"/>
        </w:rPr>
        <w:t xml:space="preserve">These impacts </w:t>
      </w:r>
      <w:r w:rsidR="001C3EDB" w:rsidRPr="00B257D2">
        <w:rPr>
          <w:rFonts w:ascii="GT America Lt" w:hAnsi="GT America Lt"/>
          <w:sz w:val="24"/>
          <w:szCs w:val="24"/>
        </w:rPr>
        <w:t xml:space="preserve">are likely to </w:t>
      </w:r>
      <w:r w:rsidR="00D23557" w:rsidRPr="00B257D2">
        <w:rPr>
          <w:rFonts w:ascii="GT America Lt" w:hAnsi="GT America Lt"/>
          <w:sz w:val="24"/>
          <w:szCs w:val="24"/>
        </w:rPr>
        <w:t xml:space="preserve">reduce credit access for unbanked and underbanked </w:t>
      </w:r>
      <w:r w:rsidR="002A6E79" w:rsidRPr="00B257D2">
        <w:rPr>
          <w:rFonts w:ascii="GT America Lt" w:hAnsi="GT America Lt"/>
          <w:sz w:val="24"/>
          <w:szCs w:val="24"/>
        </w:rPr>
        <w:t>consumers</w:t>
      </w:r>
      <w:r w:rsidR="001C3EDB" w:rsidRPr="00B257D2">
        <w:rPr>
          <w:rFonts w:ascii="GT America Lt" w:hAnsi="GT America Lt"/>
          <w:sz w:val="24"/>
          <w:szCs w:val="24"/>
        </w:rPr>
        <w:t xml:space="preserve">, again </w:t>
      </w:r>
      <w:r w:rsidR="000F3C86" w:rsidRPr="00B257D2">
        <w:rPr>
          <w:rFonts w:ascii="GT America Lt" w:hAnsi="GT America Lt"/>
          <w:sz w:val="24"/>
          <w:szCs w:val="24"/>
        </w:rPr>
        <w:t xml:space="preserve">contrary to the CFPB’s purpose and </w:t>
      </w:r>
      <w:r w:rsidR="0062409D" w:rsidRPr="00B257D2">
        <w:rPr>
          <w:rFonts w:ascii="GT America Lt" w:hAnsi="GT America Lt"/>
          <w:sz w:val="24"/>
          <w:szCs w:val="24"/>
        </w:rPr>
        <w:t xml:space="preserve">stated </w:t>
      </w:r>
      <w:r w:rsidR="000F3C86" w:rsidRPr="00B257D2">
        <w:rPr>
          <w:rFonts w:ascii="GT America Lt" w:hAnsi="GT America Lt"/>
          <w:sz w:val="24"/>
          <w:szCs w:val="24"/>
        </w:rPr>
        <w:t>goals.</w:t>
      </w:r>
    </w:p>
    <w:p w14:paraId="16085029" w14:textId="77777777" w:rsidR="00B257D2" w:rsidRPr="00B257D2" w:rsidRDefault="00B257D2" w:rsidP="00B257D2">
      <w:pPr>
        <w:spacing w:after="0" w:line="240" w:lineRule="auto"/>
        <w:ind w:firstLine="720"/>
        <w:rPr>
          <w:rFonts w:ascii="GT America Lt" w:hAnsi="GT America Lt"/>
          <w:sz w:val="24"/>
          <w:szCs w:val="24"/>
        </w:rPr>
      </w:pPr>
    </w:p>
    <w:p w14:paraId="55891E9E" w14:textId="67B0CECE" w:rsidR="007572BC" w:rsidRDefault="007572BC" w:rsidP="00B257D2">
      <w:pPr>
        <w:pStyle w:val="ListParagraph"/>
        <w:keepNext/>
        <w:numPr>
          <w:ilvl w:val="0"/>
          <w:numId w:val="12"/>
        </w:numPr>
        <w:spacing w:after="0"/>
        <w:rPr>
          <w:rFonts w:ascii="GT America Lt" w:hAnsi="GT America Lt"/>
          <w:sz w:val="24"/>
          <w:szCs w:val="24"/>
        </w:rPr>
      </w:pPr>
      <w:r w:rsidRPr="00B257D2">
        <w:rPr>
          <w:rFonts w:ascii="GT America Lt" w:hAnsi="GT America Lt"/>
          <w:sz w:val="24"/>
          <w:szCs w:val="24"/>
        </w:rPr>
        <w:t>The Proposed Rule would eliminate valuable products and services from the marketplace.</w:t>
      </w:r>
    </w:p>
    <w:p w14:paraId="1E9A9360" w14:textId="77777777" w:rsidR="00B257D2" w:rsidRPr="00B257D2" w:rsidRDefault="00B257D2" w:rsidP="00B257D2">
      <w:pPr>
        <w:pStyle w:val="ListParagraph"/>
        <w:keepNext/>
        <w:spacing w:after="0"/>
        <w:ind w:left="1440"/>
        <w:rPr>
          <w:rFonts w:ascii="GT America Lt" w:hAnsi="GT America Lt"/>
          <w:sz w:val="24"/>
          <w:szCs w:val="24"/>
        </w:rPr>
      </w:pPr>
    </w:p>
    <w:p w14:paraId="150920FF" w14:textId="664E1D8C" w:rsidR="00BE2B54" w:rsidRDefault="001C3EDB" w:rsidP="00B257D2">
      <w:pPr>
        <w:spacing w:after="0" w:line="240" w:lineRule="auto"/>
        <w:ind w:firstLine="720"/>
        <w:rPr>
          <w:rFonts w:ascii="GT America Lt" w:hAnsi="GT America Lt"/>
          <w:sz w:val="24"/>
          <w:szCs w:val="24"/>
        </w:rPr>
      </w:pPr>
      <w:r w:rsidRPr="00B257D2">
        <w:rPr>
          <w:rFonts w:ascii="GT America Lt" w:hAnsi="GT America Lt"/>
          <w:sz w:val="24"/>
          <w:szCs w:val="24"/>
        </w:rPr>
        <w:t>T</w:t>
      </w:r>
      <w:r w:rsidR="00646F61" w:rsidRPr="00B257D2">
        <w:rPr>
          <w:rFonts w:ascii="GT America Lt" w:hAnsi="GT America Lt"/>
          <w:sz w:val="24"/>
          <w:szCs w:val="24"/>
        </w:rPr>
        <w:t>he Proposed Rule</w:t>
      </w:r>
      <w:r w:rsidRPr="00B257D2">
        <w:rPr>
          <w:rFonts w:ascii="GT America Lt" w:hAnsi="GT America Lt"/>
          <w:sz w:val="24"/>
          <w:szCs w:val="24"/>
        </w:rPr>
        <w:t xml:space="preserve"> </w:t>
      </w:r>
      <w:r w:rsidR="00646F61" w:rsidRPr="00B257D2">
        <w:rPr>
          <w:rFonts w:ascii="GT America Lt" w:hAnsi="GT America Lt"/>
          <w:sz w:val="24"/>
          <w:szCs w:val="24"/>
        </w:rPr>
        <w:t>would impose significant costs and compliance burdens on</w:t>
      </w:r>
      <w:r w:rsidRPr="00B257D2">
        <w:rPr>
          <w:rFonts w:ascii="GT America Lt" w:hAnsi="GT America Lt"/>
          <w:sz w:val="24"/>
          <w:szCs w:val="24"/>
        </w:rPr>
        <w:t xml:space="preserve"> a broad range of entities, including</w:t>
      </w:r>
      <w:r w:rsidR="00646F61" w:rsidRPr="00B257D2">
        <w:rPr>
          <w:rFonts w:ascii="GT America Lt" w:hAnsi="GT America Lt"/>
          <w:sz w:val="24"/>
          <w:szCs w:val="24"/>
        </w:rPr>
        <w:t xml:space="preserve"> entities </w:t>
      </w:r>
      <w:r w:rsidRPr="00B257D2">
        <w:rPr>
          <w:rFonts w:ascii="GT America Lt" w:hAnsi="GT America Lt"/>
          <w:sz w:val="24"/>
          <w:szCs w:val="24"/>
        </w:rPr>
        <w:t xml:space="preserve">that are already </w:t>
      </w:r>
      <w:r w:rsidR="00646F61" w:rsidRPr="00B257D2">
        <w:rPr>
          <w:rFonts w:ascii="GT America Lt" w:hAnsi="GT America Lt"/>
          <w:sz w:val="24"/>
          <w:szCs w:val="24"/>
        </w:rPr>
        <w:t>considered CRAs, entities that would become CRAs under the Proposed Rule, and other businesses that rely on consumer data.</w:t>
      </w:r>
      <w:r w:rsidR="00BE2B54" w:rsidRPr="00B257D2">
        <w:rPr>
          <w:rFonts w:ascii="GT America Lt" w:hAnsi="GT America Lt"/>
          <w:sz w:val="24"/>
          <w:szCs w:val="24"/>
        </w:rPr>
        <w:t xml:space="preserve"> The Proposed Rule would significantly restrict the use of credit header data; data on</w:t>
      </w:r>
      <w:r w:rsidR="00BE2B54" w:rsidRPr="00B257D2">
        <w:rPr>
          <w:rFonts w:ascii="GT America Lt" w:eastAsia="Times New Roman" w:hAnsi="GT America Lt"/>
          <w:sz w:val="24"/>
          <w:szCs w:val="24"/>
        </w:rPr>
        <w:t xml:space="preserve"> credit history, credit score, debt payments, or income or financial tier; and potentially deidentified data for uses such as fraud protection, identity theft, law enforcement, advertising, credit model valuation, and more.</w:t>
      </w:r>
      <w:r w:rsidR="00646F61" w:rsidRPr="00B257D2">
        <w:rPr>
          <w:rFonts w:ascii="GT America Lt" w:hAnsi="GT America Lt"/>
          <w:sz w:val="24"/>
          <w:szCs w:val="24"/>
        </w:rPr>
        <w:t xml:space="preserve"> </w:t>
      </w:r>
      <w:r w:rsidR="00DD3891" w:rsidRPr="00B257D2">
        <w:rPr>
          <w:rFonts w:ascii="GT America Lt" w:hAnsi="GT America Lt"/>
          <w:sz w:val="24"/>
          <w:szCs w:val="24"/>
        </w:rPr>
        <w:t>The</w:t>
      </w:r>
      <w:r w:rsidR="00BD7299" w:rsidRPr="00B257D2">
        <w:rPr>
          <w:rFonts w:ascii="GT America Lt" w:hAnsi="GT America Lt"/>
          <w:sz w:val="24"/>
          <w:szCs w:val="24"/>
        </w:rPr>
        <w:t xml:space="preserve"> costs </w:t>
      </w:r>
      <w:r w:rsidR="00BE2B54" w:rsidRPr="00B257D2">
        <w:rPr>
          <w:rFonts w:ascii="GT America Lt" w:hAnsi="GT America Lt"/>
          <w:sz w:val="24"/>
          <w:szCs w:val="24"/>
        </w:rPr>
        <w:t xml:space="preserve">and restrictions </w:t>
      </w:r>
      <w:r w:rsidR="009A14DD" w:rsidRPr="00B257D2">
        <w:rPr>
          <w:rFonts w:ascii="GT America Lt" w:hAnsi="GT America Lt"/>
          <w:sz w:val="24"/>
          <w:szCs w:val="24"/>
        </w:rPr>
        <w:t xml:space="preserve">that would be </w:t>
      </w:r>
      <w:r w:rsidR="00BD7299" w:rsidRPr="00B257D2">
        <w:rPr>
          <w:rFonts w:ascii="GT America Lt" w:hAnsi="GT America Lt"/>
          <w:sz w:val="24"/>
          <w:szCs w:val="24"/>
        </w:rPr>
        <w:t>imposed by the</w:t>
      </w:r>
      <w:r w:rsidR="00DD3891" w:rsidRPr="00B257D2">
        <w:rPr>
          <w:rFonts w:ascii="GT America Lt" w:hAnsi="GT America Lt"/>
          <w:sz w:val="24"/>
          <w:szCs w:val="24"/>
        </w:rPr>
        <w:t xml:space="preserve"> Proposed Rule </w:t>
      </w:r>
      <w:r w:rsidRPr="00B257D2">
        <w:rPr>
          <w:rFonts w:ascii="GT America Lt" w:hAnsi="GT America Lt"/>
          <w:sz w:val="24"/>
          <w:szCs w:val="24"/>
        </w:rPr>
        <w:t>are likely to</w:t>
      </w:r>
      <w:r w:rsidR="00BD7299" w:rsidRPr="00B257D2">
        <w:rPr>
          <w:rFonts w:ascii="GT America Lt" w:hAnsi="GT America Lt"/>
          <w:sz w:val="24"/>
          <w:szCs w:val="24"/>
        </w:rPr>
        <w:t xml:space="preserve"> drive some companies out of business and</w:t>
      </w:r>
      <w:r w:rsidR="000F3C86" w:rsidRPr="00B257D2">
        <w:rPr>
          <w:rFonts w:ascii="GT America Lt" w:hAnsi="GT America Lt"/>
          <w:sz w:val="24"/>
          <w:szCs w:val="24"/>
        </w:rPr>
        <w:t xml:space="preserve"> would</w:t>
      </w:r>
      <w:r w:rsidR="00BD7299" w:rsidRPr="00B257D2">
        <w:rPr>
          <w:rFonts w:ascii="GT America Lt" w:hAnsi="GT America Lt"/>
          <w:sz w:val="24"/>
          <w:szCs w:val="24"/>
        </w:rPr>
        <w:t xml:space="preserve"> reduce the products and services offered in the marketplace. </w:t>
      </w:r>
      <w:r w:rsidR="000F3C86" w:rsidRPr="00B257D2">
        <w:rPr>
          <w:rFonts w:ascii="GT America Lt" w:hAnsi="GT America Lt"/>
          <w:sz w:val="24"/>
          <w:szCs w:val="24"/>
        </w:rPr>
        <w:t xml:space="preserve">Many products and services that benefit consumers rely on data that is not </w:t>
      </w:r>
      <w:r w:rsidR="0091721C" w:rsidRPr="00B257D2">
        <w:rPr>
          <w:rFonts w:ascii="GT America Lt" w:hAnsi="GT America Lt"/>
          <w:sz w:val="24"/>
          <w:szCs w:val="24"/>
        </w:rPr>
        <w:t>considered “consumer reports” under</w:t>
      </w:r>
      <w:r w:rsidR="000F3C86" w:rsidRPr="00B257D2">
        <w:rPr>
          <w:rFonts w:ascii="GT America Lt" w:hAnsi="GT America Lt"/>
          <w:sz w:val="24"/>
          <w:szCs w:val="24"/>
        </w:rPr>
        <w:t xml:space="preserve"> the FCRA</w:t>
      </w:r>
      <w:r w:rsidR="0091721C" w:rsidRPr="00B257D2">
        <w:rPr>
          <w:rFonts w:ascii="GT America Lt" w:hAnsi="GT America Lt"/>
          <w:sz w:val="24"/>
          <w:szCs w:val="24"/>
        </w:rPr>
        <w:t xml:space="preserve"> and Regulation V</w:t>
      </w:r>
      <w:r w:rsidR="000F3C86" w:rsidRPr="00B257D2">
        <w:rPr>
          <w:rFonts w:ascii="GT America Lt" w:hAnsi="GT America Lt"/>
          <w:sz w:val="24"/>
          <w:szCs w:val="24"/>
        </w:rPr>
        <w:t xml:space="preserve">. </w:t>
      </w:r>
    </w:p>
    <w:p w14:paraId="4EC8B875" w14:textId="77777777" w:rsidR="00B257D2" w:rsidRPr="00B257D2" w:rsidRDefault="00B257D2" w:rsidP="00B257D2">
      <w:pPr>
        <w:spacing w:after="0" w:line="240" w:lineRule="auto"/>
        <w:ind w:firstLine="720"/>
        <w:rPr>
          <w:rFonts w:ascii="GT America Lt" w:hAnsi="GT America Lt"/>
          <w:sz w:val="24"/>
          <w:szCs w:val="24"/>
        </w:rPr>
      </w:pPr>
    </w:p>
    <w:p w14:paraId="1C460139" w14:textId="569C4C33" w:rsidR="000F3C86" w:rsidRDefault="0062409D" w:rsidP="00B257D2">
      <w:pPr>
        <w:spacing w:after="0" w:line="240" w:lineRule="auto"/>
        <w:ind w:firstLine="720"/>
        <w:rPr>
          <w:rFonts w:ascii="GT America Lt" w:hAnsi="GT America Lt"/>
          <w:sz w:val="24"/>
          <w:szCs w:val="24"/>
        </w:rPr>
      </w:pPr>
      <w:r w:rsidRPr="00B257D2">
        <w:rPr>
          <w:rFonts w:ascii="GT America Lt" w:hAnsi="GT America Lt"/>
          <w:sz w:val="24"/>
          <w:szCs w:val="24"/>
        </w:rPr>
        <w:t xml:space="preserve">Pulling </w:t>
      </w:r>
      <w:r w:rsidR="000F3C86" w:rsidRPr="00B257D2">
        <w:rPr>
          <w:rFonts w:ascii="GT America Lt" w:hAnsi="GT America Lt"/>
          <w:sz w:val="24"/>
          <w:szCs w:val="24"/>
        </w:rPr>
        <w:t xml:space="preserve">this data within the scope of the FCRA </w:t>
      </w:r>
      <w:r w:rsidRPr="00B257D2">
        <w:rPr>
          <w:rFonts w:ascii="GT America Lt" w:hAnsi="GT America Lt"/>
          <w:sz w:val="24"/>
          <w:szCs w:val="24"/>
        </w:rPr>
        <w:t>would subject the entities that provide it to significant new compliance costs and risks.</w:t>
      </w:r>
      <w:r w:rsidR="007F5BFF" w:rsidRPr="00B257D2">
        <w:rPr>
          <w:rFonts w:ascii="GT America Lt" w:hAnsi="GT America Lt"/>
          <w:sz w:val="24"/>
          <w:szCs w:val="24"/>
        </w:rPr>
        <w:t xml:space="preserve"> For example:</w:t>
      </w:r>
      <w:r w:rsidRPr="00B257D2">
        <w:rPr>
          <w:rFonts w:ascii="GT America Lt" w:hAnsi="GT America Lt"/>
          <w:sz w:val="24"/>
          <w:szCs w:val="24"/>
        </w:rPr>
        <w:t xml:space="preserve"> </w:t>
      </w:r>
    </w:p>
    <w:p w14:paraId="15DA7426" w14:textId="77777777" w:rsidR="00DB547A" w:rsidRPr="00B257D2" w:rsidRDefault="00DB547A" w:rsidP="00B257D2">
      <w:pPr>
        <w:spacing w:after="0" w:line="240" w:lineRule="auto"/>
        <w:ind w:firstLine="720"/>
        <w:rPr>
          <w:rFonts w:ascii="GT America Lt" w:hAnsi="GT America Lt"/>
          <w:sz w:val="24"/>
          <w:szCs w:val="24"/>
        </w:rPr>
      </w:pPr>
    </w:p>
    <w:p w14:paraId="7CE7A6A3" w14:textId="4E5F4D56" w:rsidR="00DD3891" w:rsidRPr="00B257D2" w:rsidRDefault="00BD7299" w:rsidP="00B257D2">
      <w:pPr>
        <w:pStyle w:val="ListParagraph"/>
        <w:numPr>
          <w:ilvl w:val="0"/>
          <w:numId w:val="4"/>
        </w:numPr>
        <w:spacing w:after="0"/>
        <w:rPr>
          <w:rFonts w:ascii="GT America Lt" w:hAnsi="GT America Lt"/>
          <w:sz w:val="24"/>
          <w:szCs w:val="24"/>
        </w:rPr>
      </w:pPr>
      <w:r w:rsidRPr="00B257D2">
        <w:rPr>
          <w:rFonts w:ascii="GT America Lt" w:hAnsi="GT America Lt"/>
          <w:sz w:val="24"/>
          <w:szCs w:val="24"/>
        </w:rPr>
        <w:t xml:space="preserve">The Proposed Rule would </w:t>
      </w:r>
      <w:r w:rsidR="00DD3891" w:rsidRPr="00B257D2">
        <w:rPr>
          <w:rFonts w:ascii="GT America Lt" w:hAnsi="GT America Lt"/>
          <w:sz w:val="24"/>
          <w:szCs w:val="24"/>
        </w:rPr>
        <w:t>massively increase compliance cost</w:t>
      </w:r>
      <w:r w:rsidRPr="00B257D2">
        <w:rPr>
          <w:rFonts w:ascii="GT America Lt" w:hAnsi="GT America Lt"/>
          <w:sz w:val="24"/>
          <w:szCs w:val="24"/>
        </w:rPr>
        <w:t>s</w:t>
      </w:r>
      <w:r w:rsidR="00DD3891" w:rsidRPr="00B257D2">
        <w:rPr>
          <w:rFonts w:ascii="GT America Lt" w:hAnsi="GT America Lt"/>
          <w:sz w:val="24"/>
          <w:szCs w:val="24"/>
        </w:rPr>
        <w:t xml:space="preserve"> </w:t>
      </w:r>
      <w:r w:rsidR="000F3C86" w:rsidRPr="00B257D2">
        <w:rPr>
          <w:rFonts w:ascii="GT America Lt" w:hAnsi="GT America Lt"/>
          <w:sz w:val="24"/>
          <w:szCs w:val="24"/>
        </w:rPr>
        <w:t xml:space="preserve">for </w:t>
      </w:r>
      <w:r w:rsidR="00AA3339" w:rsidRPr="00B257D2">
        <w:rPr>
          <w:rFonts w:ascii="GT America Lt" w:hAnsi="GT America Lt"/>
          <w:sz w:val="24"/>
          <w:szCs w:val="24"/>
        </w:rPr>
        <w:t xml:space="preserve">data brokers that </w:t>
      </w:r>
      <w:r w:rsidR="00CC1372" w:rsidRPr="00B257D2">
        <w:rPr>
          <w:rFonts w:ascii="GT America Lt" w:hAnsi="GT America Lt"/>
          <w:sz w:val="24"/>
          <w:szCs w:val="24"/>
        </w:rPr>
        <w:t>would become</w:t>
      </w:r>
      <w:r w:rsidR="0091721C" w:rsidRPr="00B257D2">
        <w:rPr>
          <w:rFonts w:ascii="GT America Lt" w:hAnsi="GT America Lt"/>
          <w:sz w:val="24"/>
          <w:szCs w:val="24"/>
        </w:rPr>
        <w:t xml:space="preserve"> </w:t>
      </w:r>
      <w:r w:rsidR="00AA3339" w:rsidRPr="00B257D2">
        <w:rPr>
          <w:rFonts w:ascii="GT America Lt" w:hAnsi="GT America Lt"/>
          <w:sz w:val="24"/>
          <w:szCs w:val="24"/>
        </w:rPr>
        <w:t>CRAs</w:t>
      </w:r>
      <w:r w:rsidR="00CC1372" w:rsidRPr="00B257D2">
        <w:rPr>
          <w:rFonts w:ascii="GT America Lt" w:hAnsi="GT America Lt"/>
          <w:sz w:val="24"/>
          <w:szCs w:val="24"/>
        </w:rPr>
        <w:t xml:space="preserve"> under the Proposed Rule</w:t>
      </w:r>
      <w:r w:rsidR="00AA3339" w:rsidRPr="00B257D2">
        <w:rPr>
          <w:rFonts w:ascii="GT America Lt" w:hAnsi="GT America Lt"/>
          <w:sz w:val="24"/>
          <w:szCs w:val="24"/>
        </w:rPr>
        <w:t>.</w:t>
      </w:r>
      <w:r w:rsidR="00DD3891" w:rsidRPr="00B257D2">
        <w:rPr>
          <w:rFonts w:ascii="GT America Lt" w:hAnsi="GT America Lt"/>
          <w:sz w:val="24"/>
          <w:szCs w:val="24"/>
        </w:rPr>
        <w:t xml:space="preserve"> </w:t>
      </w:r>
      <w:r w:rsidR="001C3EDB" w:rsidRPr="00B257D2">
        <w:rPr>
          <w:rFonts w:ascii="GT America Lt" w:hAnsi="GT America Lt"/>
          <w:sz w:val="24"/>
          <w:szCs w:val="24"/>
        </w:rPr>
        <w:t xml:space="preserve">It would be an enormous—and possibly insurmountable—challenge for these </w:t>
      </w:r>
      <w:r w:rsidR="00D06389" w:rsidRPr="00B257D2">
        <w:rPr>
          <w:rFonts w:ascii="GT America Lt" w:hAnsi="GT America Lt"/>
          <w:sz w:val="24"/>
          <w:szCs w:val="24"/>
        </w:rPr>
        <w:t xml:space="preserve">entities </w:t>
      </w:r>
      <w:r w:rsidR="001C3EDB" w:rsidRPr="00B257D2">
        <w:rPr>
          <w:rFonts w:ascii="GT America Lt" w:hAnsi="GT America Lt"/>
          <w:sz w:val="24"/>
          <w:szCs w:val="24"/>
        </w:rPr>
        <w:t xml:space="preserve">to put in place </w:t>
      </w:r>
      <w:r w:rsidR="00D06389" w:rsidRPr="00B257D2">
        <w:rPr>
          <w:rFonts w:ascii="GT America Lt" w:hAnsi="GT America Lt"/>
          <w:sz w:val="24"/>
          <w:szCs w:val="24"/>
        </w:rPr>
        <w:t xml:space="preserve">the operational or compliance systems </w:t>
      </w:r>
      <w:r w:rsidR="00793B7B" w:rsidRPr="00B257D2">
        <w:rPr>
          <w:rFonts w:ascii="GT America Lt" w:hAnsi="GT America Lt"/>
          <w:sz w:val="24"/>
          <w:szCs w:val="24"/>
        </w:rPr>
        <w:t>necessary</w:t>
      </w:r>
      <w:r w:rsidR="00D06389" w:rsidRPr="00B257D2">
        <w:rPr>
          <w:rFonts w:ascii="GT America Lt" w:hAnsi="GT America Lt"/>
          <w:sz w:val="24"/>
          <w:szCs w:val="24"/>
        </w:rPr>
        <w:t xml:space="preserve"> </w:t>
      </w:r>
      <w:r w:rsidR="00D06389" w:rsidRPr="00B257D2">
        <w:rPr>
          <w:rFonts w:ascii="GT America Lt" w:hAnsi="GT America Lt"/>
          <w:sz w:val="24"/>
          <w:szCs w:val="24"/>
        </w:rPr>
        <w:lastRenderedPageBreak/>
        <w:t xml:space="preserve">to comply with </w:t>
      </w:r>
      <w:r w:rsidR="00B132DB" w:rsidRPr="00B257D2">
        <w:rPr>
          <w:rFonts w:ascii="GT America Lt" w:hAnsi="GT America Lt"/>
          <w:sz w:val="24"/>
          <w:szCs w:val="24"/>
        </w:rPr>
        <w:t xml:space="preserve">the </w:t>
      </w:r>
      <w:r w:rsidR="00D06389" w:rsidRPr="00B257D2">
        <w:rPr>
          <w:rFonts w:ascii="GT America Lt" w:hAnsi="GT America Lt"/>
          <w:sz w:val="24"/>
          <w:szCs w:val="24"/>
        </w:rPr>
        <w:t xml:space="preserve">FCRA, including </w:t>
      </w:r>
      <w:r w:rsidR="001C3EDB" w:rsidRPr="00B257D2">
        <w:rPr>
          <w:rFonts w:ascii="GT America Lt" w:hAnsi="GT America Lt"/>
          <w:sz w:val="24"/>
          <w:szCs w:val="24"/>
        </w:rPr>
        <w:t xml:space="preserve">its </w:t>
      </w:r>
      <w:r w:rsidR="00175E1D" w:rsidRPr="00B257D2">
        <w:rPr>
          <w:rFonts w:ascii="GT America Lt" w:hAnsi="GT America Lt"/>
          <w:sz w:val="24"/>
          <w:szCs w:val="24"/>
        </w:rPr>
        <w:t xml:space="preserve">strict requirements related to furnishing consumer reports upon request and handling disputes. </w:t>
      </w:r>
    </w:p>
    <w:p w14:paraId="4F596EC6" w14:textId="1C6C1D95" w:rsidR="00E50E23" w:rsidRPr="00B257D2" w:rsidRDefault="00E50E23" w:rsidP="00B257D2">
      <w:pPr>
        <w:pStyle w:val="ListParagraph"/>
        <w:numPr>
          <w:ilvl w:val="0"/>
          <w:numId w:val="4"/>
        </w:numPr>
        <w:spacing w:after="0"/>
        <w:rPr>
          <w:rFonts w:ascii="GT America Lt" w:hAnsi="GT America Lt"/>
          <w:sz w:val="24"/>
          <w:szCs w:val="24"/>
        </w:rPr>
      </w:pPr>
      <w:r w:rsidRPr="00B257D2">
        <w:rPr>
          <w:rFonts w:ascii="GT America Lt" w:hAnsi="GT America Lt"/>
          <w:sz w:val="24"/>
          <w:szCs w:val="24"/>
        </w:rPr>
        <w:t xml:space="preserve">Entities that furnish consumer data would experience significant compliance costs </w:t>
      </w:r>
      <w:r w:rsidR="00F36F3E" w:rsidRPr="00B257D2">
        <w:rPr>
          <w:rFonts w:ascii="GT America Lt" w:hAnsi="GT America Lt"/>
          <w:sz w:val="24"/>
          <w:szCs w:val="24"/>
        </w:rPr>
        <w:t>to</w:t>
      </w:r>
      <w:r w:rsidRPr="00B257D2">
        <w:rPr>
          <w:rFonts w:ascii="GT America Lt" w:hAnsi="GT America Lt"/>
          <w:sz w:val="24"/>
          <w:szCs w:val="24"/>
        </w:rPr>
        <w:t xml:space="preserve"> </w:t>
      </w:r>
      <w:r w:rsidR="005E71A1" w:rsidRPr="00B257D2">
        <w:rPr>
          <w:rFonts w:ascii="GT America Lt" w:hAnsi="GT America Lt"/>
          <w:sz w:val="24"/>
          <w:szCs w:val="24"/>
        </w:rPr>
        <w:t xml:space="preserve">try to </w:t>
      </w:r>
      <w:r w:rsidRPr="00B257D2">
        <w:rPr>
          <w:rFonts w:ascii="GT America Lt" w:hAnsi="GT America Lt"/>
          <w:sz w:val="24"/>
          <w:szCs w:val="24"/>
        </w:rPr>
        <w:t>ensur</w:t>
      </w:r>
      <w:r w:rsidR="00F36F3E" w:rsidRPr="00B257D2">
        <w:rPr>
          <w:rFonts w:ascii="GT America Lt" w:hAnsi="GT America Lt"/>
          <w:sz w:val="24"/>
          <w:szCs w:val="24"/>
        </w:rPr>
        <w:t>e</w:t>
      </w:r>
      <w:r w:rsidRPr="00B257D2">
        <w:rPr>
          <w:rFonts w:ascii="GT America Lt" w:hAnsi="GT America Lt"/>
          <w:sz w:val="24"/>
          <w:szCs w:val="24"/>
        </w:rPr>
        <w:t xml:space="preserve"> that direct recipients and downstream users of data do not use the data in a way that would make the data a “consumer report.”</w:t>
      </w:r>
    </w:p>
    <w:p w14:paraId="086D3657" w14:textId="3FA1B80E" w:rsidR="005E71A1" w:rsidRPr="00B257D2" w:rsidRDefault="005E71A1" w:rsidP="00B257D2">
      <w:pPr>
        <w:pStyle w:val="ListParagraph"/>
        <w:numPr>
          <w:ilvl w:val="0"/>
          <w:numId w:val="4"/>
        </w:numPr>
        <w:spacing w:after="0"/>
        <w:rPr>
          <w:rFonts w:ascii="GT America Lt" w:hAnsi="GT America Lt"/>
          <w:sz w:val="24"/>
          <w:szCs w:val="24"/>
        </w:rPr>
      </w:pPr>
      <w:r w:rsidRPr="00B257D2">
        <w:rPr>
          <w:rFonts w:ascii="GT America Lt" w:hAnsi="GT America Lt"/>
          <w:sz w:val="24"/>
          <w:szCs w:val="24"/>
        </w:rPr>
        <w:t>Companies that interact with entities that are newly deemed CRAs—or that may be deemed CRAs—would experience significant compliance costs to determine whether the recipient of their information is, or is not, now subject to the FCRA. Unless the CFPB routinely updates it</w:t>
      </w:r>
      <w:r w:rsidR="00011733" w:rsidRPr="00B257D2">
        <w:rPr>
          <w:rFonts w:ascii="GT America Lt" w:hAnsi="GT America Lt"/>
          <w:sz w:val="24"/>
          <w:szCs w:val="24"/>
        </w:rPr>
        <w:t>s</w:t>
      </w:r>
      <w:r w:rsidRPr="00B257D2">
        <w:rPr>
          <w:rFonts w:ascii="GT America Lt" w:hAnsi="GT America Lt"/>
          <w:sz w:val="24"/>
          <w:szCs w:val="24"/>
        </w:rPr>
        <w:t xml:space="preserve"> current list of CRAs to be comprehensive and exhaustive,</w:t>
      </w:r>
      <w:r w:rsidRPr="00B257D2">
        <w:rPr>
          <w:rStyle w:val="FootnoteReference"/>
          <w:rFonts w:ascii="GT America Lt" w:hAnsi="GT America Lt"/>
          <w:sz w:val="24"/>
          <w:szCs w:val="24"/>
        </w:rPr>
        <w:footnoteReference w:id="11"/>
      </w:r>
      <w:r w:rsidRPr="00B257D2">
        <w:rPr>
          <w:rFonts w:ascii="GT America Lt" w:hAnsi="GT America Lt"/>
          <w:sz w:val="24"/>
          <w:szCs w:val="24"/>
        </w:rPr>
        <w:t xml:space="preserve"> industry stakeholders will be subject to intolerable uncertainty as they transact with other entities that might be CRAs under the Proposed Rule’s broad definitions.</w:t>
      </w:r>
    </w:p>
    <w:p w14:paraId="61C6D71F" w14:textId="7AB78B5B" w:rsidR="007F5BFF" w:rsidRPr="00B257D2" w:rsidRDefault="001A3290" w:rsidP="00B257D2">
      <w:pPr>
        <w:pStyle w:val="ListParagraph"/>
        <w:numPr>
          <w:ilvl w:val="0"/>
          <w:numId w:val="4"/>
        </w:numPr>
        <w:spacing w:after="0"/>
        <w:rPr>
          <w:rFonts w:ascii="GT America Lt" w:hAnsi="GT America Lt"/>
          <w:sz w:val="24"/>
          <w:szCs w:val="24"/>
        </w:rPr>
      </w:pPr>
      <w:r w:rsidRPr="00B257D2">
        <w:rPr>
          <w:rFonts w:ascii="GT America Lt" w:hAnsi="GT America Lt"/>
          <w:sz w:val="24"/>
          <w:szCs w:val="24"/>
        </w:rPr>
        <w:t>T</w:t>
      </w:r>
      <w:r w:rsidR="000F3C86" w:rsidRPr="00B257D2">
        <w:rPr>
          <w:rFonts w:ascii="GT America Lt" w:hAnsi="GT America Lt"/>
          <w:sz w:val="24"/>
          <w:szCs w:val="24"/>
        </w:rPr>
        <w:t>he new written instruction</w:t>
      </w:r>
      <w:r w:rsidRPr="00B257D2">
        <w:rPr>
          <w:rFonts w:ascii="GT America Lt" w:hAnsi="GT America Lt"/>
          <w:sz w:val="24"/>
          <w:szCs w:val="24"/>
        </w:rPr>
        <w:t xml:space="preserve"> requirements</w:t>
      </w:r>
      <w:r w:rsidR="000F3C86" w:rsidRPr="00B257D2">
        <w:rPr>
          <w:rFonts w:ascii="GT America Lt" w:hAnsi="GT America Lt"/>
          <w:sz w:val="24"/>
          <w:szCs w:val="24"/>
        </w:rPr>
        <w:t xml:space="preserve"> would also</w:t>
      </w:r>
      <w:r w:rsidRPr="00B257D2">
        <w:rPr>
          <w:rFonts w:ascii="GT America Lt" w:hAnsi="GT America Lt"/>
          <w:sz w:val="24"/>
          <w:szCs w:val="24"/>
        </w:rPr>
        <w:t xml:space="preserve"> impose </w:t>
      </w:r>
      <w:r w:rsidR="001C3EDB" w:rsidRPr="00B257D2">
        <w:rPr>
          <w:rFonts w:ascii="GT America Lt" w:hAnsi="GT America Lt"/>
          <w:sz w:val="24"/>
          <w:szCs w:val="24"/>
        </w:rPr>
        <w:t>significant incremental costs</w:t>
      </w:r>
      <w:r w:rsidRPr="00B257D2">
        <w:rPr>
          <w:rFonts w:ascii="GT America Lt" w:hAnsi="GT America Lt"/>
          <w:sz w:val="24"/>
          <w:szCs w:val="24"/>
        </w:rPr>
        <w:t xml:space="preserve"> on all CRAs and users of consumer reports.</w:t>
      </w:r>
      <w:r w:rsidR="001C3EDB" w:rsidRPr="00B257D2">
        <w:rPr>
          <w:rFonts w:ascii="GT America Lt" w:hAnsi="GT America Lt"/>
          <w:sz w:val="24"/>
          <w:szCs w:val="24"/>
        </w:rPr>
        <w:t xml:space="preserve"> In particular,</w:t>
      </w:r>
      <w:r w:rsidR="00175D29" w:rsidRPr="00B257D2">
        <w:rPr>
          <w:rFonts w:ascii="GT America Lt" w:hAnsi="GT America Lt"/>
          <w:sz w:val="24"/>
          <w:szCs w:val="24"/>
        </w:rPr>
        <w:t xml:space="preserve"> </w:t>
      </w:r>
      <w:r w:rsidR="00646F61" w:rsidRPr="00B257D2">
        <w:rPr>
          <w:rFonts w:ascii="GT America Lt" w:hAnsi="GT America Lt"/>
          <w:sz w:val="24"/>
          <w:szCs w:val="24"/>
        </w:rPr>
        <w:t>CRAs and users of consumer reports w</w:t>
      </w:r>
      <w:r w:rsidR="001C3EDB" w:rsidRPr="00B257D2">
        <w:rPr>
          <w:rFonts w:ascii="GT America Lt" w:hAnsi="GT America Lt"/>
          <w:sz w:val="24"/>
          <w:szCs w:val="24"/>
        </w:rPr>
        <w:t>ould</w:t>
      </w:r>
      <w:r w:rsidR="00646F61" w:rsidRPr="00B257D2">
        <w:rPr>
          <w:rFonts w:ascii="GT America Lt" w:hAnsi="GT America Lt"/>
          <w:sz w:val="24"/>
          <w:szCs w:val="24"/>
        </w:rPr>
        <w:t xml:space="preserve"> need to reformat their </w:t>
      </w:r>
      <w:r w:rsidR="00175D29" w:rsidRPr="00B257D2">
        <w:rPr>
          <w:rFonts w:ascii="GT America Lt" w:hAnsi="GT America Lt"/>
          <w:sz w:val="24"/>
          <w:szCs w:val="24"/>
        </w:rPr>
        <w:t xml:space="preserve">FCRA disclosures and obtain a new consent from a consumer each year to obtain consumer reports in conjunction with long-term products </w:t>
      </w:r>
      <w:r w:rsidR="00793B7B" w:rsidRPr="00B257D2">
        <w:rPr>
          <w:rFonts w:ascii="GT America Lt" w:hAnsi="GT America Lt"/>
          <w:sz w:val="24"/>
          <w:szCs w:val="24"/>
        </w:rPr>
        <w:t xml:space="preserve">and </w:t>
      </w:r>
      <w:r w:rsidR="00175D29" w:rsidRPr="00B257D2">
        <w:rPr>
          <w:rFonts w:ascii="GT America Lt" w:hAnsi="GT America Lt"/>
          <w:sz w:val="24"/>
          <w:szCs w:val="24"/>
        </w:rPr>
        <w:t>services, such as credit monitoring</w:t>
      </w:r>
      <w:r w:rsidR="00CF17A3" w:rsidRPr="00B257D2">
        <w:rPr>
          <w:rFonts w:ascii="GT America Lt" w:hAnsi="GT America Lt"/>
          <w:sz w:val="24"/>
          <w:szCs w:val="24"/>
        </w:rPr>
        <w:t>.</w:t>
      </w:r>
    </w:p>
    <w:p w14:paraId="0E7F8F0E" w14:textId="12717196" w:rsidR="00F73921" w:rsidRPr="00B257D2" w:rsidRDefault="00F73921" w:rsidP="00B257D2">
      <w:pPr>
        <w:pStyle w:val="ListParagraph"/>
        <w:numPr>
          <w:ilvl w:val="0"/>
          <w:numId w:val="4"/>
        </w:numPr>
        <w:spacing w:after="0"/>
        <w:rPr>
          <w:rFonts w:ascii="GT America Lt" w:hAnsi="GT America Lt"/>
          <w:sz w:val="24"/>
          <w:szCs w:val="24"/>
        </w:rPr>
      </w:pPr>
      <w:r w:rsidRPr="00B257D2">
        <w:rPr>
          <w:rFonts w:ascii="GT America Lt" w:hAnsi="GT America Lt"/>
          <w:sz w:val="24"/>
          <w:szCs w:val="24"/>
        </w:rPr>
        <w:t xml:space="preserve">The requirement that written instructions are valid for only one year would cause consumer harm because consumers will be at risk of losing access to certain products that they understood they </w:t>
      </w:r>
      <w:r w:rsidR="0091721C" w:rsidRPr="00B257D2">
        <w:rPr>
          <w:rFonts w:ascii="GT America Lt" w:hAnsi="GT America Lt"/>
          <w:sz w:val="24"/>
          <w:szCs w:val="24"/>
        </w:rPr>
        <w:t>could</w:t>
      </w:r>
      <w:r w:rsidRPr="00B257D2">
        <w:rPr>
          <w:rFonts w:ascii="GT America Lt" w:hAnsi="GT America Lt"/>
          <w:sz w:val="24"/>
          <w:szCs w:val="24"/>
        </w:rPr>
        <w:t xml:space="preserve"> </w:t>
      </w:r>
      <w:r w:rsidR="0091721C" w:rsidRPr="00B257D2">
        <w:rPr>
          <w:rFonts w:ascii="GT America Lt" w:hAnsi="GT America Lt"/>
          <w:sz w:val="24"/>
          <w:szCs w:val="24"/>
        </w:rPr>
        <w:t>indefinitely</w:t>
      </w:r>
      <w:r w:rsidRPr="00B257D2">
        <w:rPr>
          <w:rFonts w:ascii="GT America Lt" w:hAnsi="GT America Lt"/>
          <w:sz w:val="24"/>
          <w:szCs w:val="24"/>
        </w:rPr>
        <w:t xml:space="preserve"> access, such as credit monitoring.</w:t>
      </w:r>
    </w:p>
    <w:p w14:paraId="237B83E7" w14:textId="12022D37" w:rsidR="001A3290" w:rsidRDefault="000F3C86" w:rsidP="00B257D2">
      <w:pPr>
        <w:pStyle w:val="ListParagraph"/>
        <w:numPr>
          <w:ilvl w:val="0"/>
          <w:numId w:val="4"/>
        </w:numPr>
        <w:spacing w:after="0"/>
        <w:rPr>
          <w:rFonts w:ascii="GT America Lt" w:hAnsi="GT America Lt"/>
          <w:sz w:val="24"/>
          <w:szCs w:val="24"/>
        </w:rPr>
      </w:pPr>
      <w:r w:rsidRPr="00B257D2">
        <w:rPr>
          <w:rFonts w:ascii="GT America Lt" w:hAnsi="GT America Lt"/>
          <w:sz w:val="24"/>
          <w:szCs w:val="24"/>
        </w:rPr>
        <w:t>Further, t</w:t>
      </w:r>
      <w:r w:rsidR="001A3290" w:rsidRPr="00B257D2">
        <w:rPr>
          <w:rFonts w:ascii="GT America Lt" w:hAnsi="GT America Lt"/>
          <w:sz w:val="24"/>
          <w:szCs w:val="24"/>
        </w:rPr>
        <w:t xml:space="preserve">he requirement </w:t>
      </w:r>
      <w:r w:rsidRPr="00B257D2">
        <w:rPr>
          <w:rFonts w:ascii="GT America Lt" w:hAnsi="GT America Lt"/>
          <w:sz w:val="24"/>
          <w:szCs w:val="24"/>
        </w:rPr>
        <w:t>to</w:t>
      </w:r>
      <w:r w:rsidR="001A3290" w:rsidRPr="00B257D2">
        <w:rPr>
          <w:rFonts w:ascii="GT America Lt" w:hAnsi="GT America Lt"/>
          <w:sz w:val="24"/>
          <w:szCs w:val="24"/>
        </w:rPr>
        <w:t xml:space="preserve"> specify the CRA where the consumer report will be obtained will </w:t>
      </w:r>
      <w:r w:rsidR="00793B7B" w:rsidRPr="00B257D2">
        <w:rPr>
          <w:rFonts w:ascii="GT America Lt" w:hAnsi="GT America Lt"/>
          <w:sz w:val="24"/>
          <w:szCs w:val="24"/>
        </w:rPr>
        <w:t>restrict</w:t>
      </w:r>
      <w:r w:rsidR="001A3290" w:rsidRPr="00B257D2">
        <w:rPr>
          <w:rFonts w:ascii="GT America Lt" w:hAnsi="GT America Lt"/>
          <w:sz w:val="24"/>
          <w:szCs w:val="24"/>
        </w:rPr>
        <w:t xml:space="preserve"> the flexibility of users of consumer reports to freely shop for consumer report</w:t>
      </w:r>
      <w:r w:rsidRPr="00B257D2">
        <w:rPr>
          <w:rFonts w:ascii="GT America Lt" w:hAnsi="GT America Lt"/>
          <w:sz w:val="24"/>
          <w:szCs w:val="24"/>
        </w:rPr>
        <w:t>s</w:t>
      </w:r>
      <w:r w:rsidR="001A3290" w:rsidRPr="00B257D2">
        <w:rPr>
          <w:rFonts w:ascii="GT America Lt" w:hAnsi="GT America Lt"/>
          <w:sz w:val="24"/>
          <w:szCs w:val="24"/>
        </w:rPr>
        <w:t xml:space="preserve">. The user </w:t>
      </w:r>
      <w:r w:rsidR="007F5BFF" w:rsidRPr="00B257D2">
        <w:rPr>
          <w:rFonts w:ascii="GT America Lt" w:hAnsi="GT America Lt"/>
          <w:sz w:val="24"/>
          <w:szCs w:val="24"/>
        </w:rPr>
        <w:t xml:space="preserve">would </w:t>
      </w:r>
      <w:r w:rsidR="001A3290" w:rsidRPr="00B257D2">
        <w:rPr>
          <w:rFonts w:ascii="GT America Lt" w:hAnsi="GT America Lt"/>
          <w:sz w:val="24"/>
          <w:szCs w:val="24"/>
        </w:rPr>
        <w:t>be bound to use the CRA identified in the consumer consent</w:t>
      </w:r>
      <w:r w:rsidR="00F73921" w:rsidRPr="00B257D2">
        <w:rPr>
          <w:rFonts w:ascii="GT America Lt" w:hAnsi="GT America Lt"/>
          <w:sz w:val="24"/>
          <w:szCs w:val="24"/>
        </w:rPr>
        <w:t xml:space="preserve"> or obtain new consents from every single consumer that uses ongoing services such as credit monitoring. Some of these services are currently offered to consumers free of charge, and service providers may stop offering such services or impose a price for them because of the resources required to obtain new consents for every consumer. The result would </w:t>
      </w:r>
      <w:r w:rsidR="0091721C" w:rsidRPr="00B257D2">
        <w:rPr>
          <w:rFonts w:ascii="GT America Lt" w:hAnsi="GT America Lt"/>
          <w:sz w:val="24"/>
          <w:szCs w:val="24"/>
        </w:rPr>
        <w:t>reduce</w:t>
      </w:r>
      <w:r w:rsidR="001A3290" w:rsidRPr="00B257D2">
        <w:rPr>
          <w:rFonts w:ascii="GT America Lt" w:hAnsi="GT America Lt"/>
          <w:sz w:val="24"/>
          <w:szCs w:val="24"/>
        </w:rPr>
        <w:t xml:space="preserve"> competition within the marketplace and </w:t>
      </w:r>
      <w:proofErr w:type="gramStart"/>
      <w:r w:rsidR="001A3290" w:rsidRPr="00B257D2">
        <w:rPr>
          <w:rFonts w:ascii="GT America Lt" w:hAnsi="GT America Lt"/>
          <w:sz w:val="24"/>
          <w:szCs w:val="24"/>
        </w:rPr>
        <w:t>driv</w:t>
      </w:r>
      <w:r w:rsidR="0091721C" w:rsidRPr="00B257D2">
        <w:rPr>
          <w:rFonts w:ascii="GT America Lt" w:hAnsi="GT America Lt"/>
          <w:sz w:val="24"/>
          <w:szCs w:val="24"/>
        </w:rPr>
        <w:t>e</w:t>
      </w:r>
      <w:r w:rsidR="001A3290" w:rsidRPr="00B257D2">
        <w:rPr>
          <w:rFonts w:ascii="GT America Lt" w:hAnsi="GT America Lt"/>
          <w:sz w:val="24"/>
          <w:szCs w:val="24"/>
        </w:rPr>
        <w:t xml:space="preserve"> up</w:t>
      </w:r>
      <w:proofErr w:type="gramEnd"/>
      <w:r w:rsidR="001A3290" w:rsidRPr="00B257D2">
        <w:rPr>
          <w:rFonts w:ascii="GT America Lt" w:hAnsi="GT America Lt"/>
          <w:sz w:val="24"/>
          <w:szCs w:val="24"/>
        </w:rPr>
        <w:t xml:space="preserve"> prices</w:t>
      </w:r>
      <w:r w:rsidR="005C5D85" w:rsidRPr="00B257D2">
        <w:rPr>
          <w:rFonts w:ascii="GT America Lt" w:hAnsi="GT America Lt"/>
          <w:sz w:val="24"/>
          <w:szCs w:val="24"/>
        </w:rPr>
        <w:t xml:space="preserve"> for consumers and businesses</w:t>
      </w:r>
      <w:r w:rsidR="001A3290" w:rsidRPr="00B257D2">
        <w:rPr>
          <w:rFonts w:ascii="GT America Lt" w:hAnsi="GT America Lt"/>
          <w:sz w:val="24"/>
          <w:szCs w:val="24"/>
        </w:rPr>
        <w:t xml:space="preserve">. </w:t>
      </w:r>
    </w:p>
    <w:p w14:paraId="4CEEDED2" w14:textId="77777777" w:rsidR="00B257D2" w:rsidRPr="00B257D2" w:rsidRDefault="00B257D2" w:rsidP="00B257D2">
      <w:pPr>
        <w:pStyle w:val="ListParagraph"/>
        <w:spacing w:after="0"/>
        <w:ind w:left="1440"/>
        <w:rPr>
          <w:rFonts w:ascii="GT America Lt" w:hAnsi="GT America Lt"/>
          <w:sz w:val="24"/>
          <w:szCs w:val="24"/>
        </w:rPr>
      </w:pPr>
    </w:p>
    <w:p w14:paraId="1A4556CB" w14:textId="7ED10C14" w:rsidR="007F5BFF" w:rsidRDefault="007F5BFF" w:rsidP="00B257D2">
      <w:pPr>
        <w:spacing w:after="0" w:line="240" w:lineRule="auto"/>
        <w:ind w:firstLine="720"/>
        <w:rPr>
          <w:rFonts w:ascii="GT America Lt" w:hAnsi="GT America Lt"/>
          <w:sz w:val="24"/>
          <w:szCs w:val="24"/>
        </w:rPr>
      </w:pPr>
      <w:r w:rsidRPr="00B257D2">
        <w:rPr>
          <w:rFonts w:ascii="GT America Lt" w:hAnsi="GT America Lt"/>
          <w:sz w:val="24"/>
          <w:szCs w:val="24"/>
        </w:rPr>
        <w:t xml:space="preserve">These increased compliance </w:t>
      </w:r>
      <w:r w:rsidR="001C3EDB" w:rsidRPr="00B257D2">
        <w:rPr>
          <w:rFonts w:ascii="GT America Lt" w:hAnsi="GT America Lt"/>
          <w:sz w:val="24"/>
          <w:szCs w:val="24"/>
        </w:rPr>
        <w:t>requirements would force many entities to invest in costly compliance programs or exit the market. This</w:t>
      </w:r>
      <w:r w:rsidRPr="00B257D2">
        <w:rPr>
          <w:rFonts w:ascii="GT America Lt" w:hAnsi="GT America Lt"/>
          <w:sz w:val="24"/>
          <w:szCs w:val="24"/>
        </w:rPr>
        <w:t xml:space="preserve">, in turn, </w:t>
      </w:r>
      <w:r w:rsidR="001C3EDB" w:rsidRPr="00B257D2">
        <w:rPr>
          <w:rFonts w:ascii="GT America Lt" w:hAnsi="GT America Lt"/>
          <w:sz w:val="24"/>
          <w:szCs w:val="24"/>
        </w:rPr>
        <w:t xml:space="preserve">would </w:t>
      </w:r>
      <w:r w:rsidRPr="00B257D2">
        <w:rPr>
          <w:rFonts w:ascii="GT America Lt" w:hAnsi="GT America Lt"/>
          <w:sz w:val="24"/>
          <w:szCs w:val="24"/>
        </w:rPr>
        <w:t xml:space="preserve">reduce the availability of </w:t>
      </w:r>
      <w:r w:rsidR="001C3EDB" w:rsidRPr="00B257D2">
        <w:rPr>
          <w:rFonts w:ascii="GT America Lt" w:hAnsi="GT America Lt"/>
          <w:sz w:val="24"/>
          <w:szCs w:val="24"/>
        </w:rPr>
        <w:t>relevant</w:t>
      </w:r>
      <w:r w:rsidRPr="00B257D2">
        <w:rPr>
          <w:rFonts w:ascii="GT America Lt" w:hAnsi="GT America Lt"/>
          <w:sz w:val="24"/>
          <w:szCs w:val="24"/>
        </w:rPr>
        <w:t xml:space="preserve"> data and increase </w:t>
      </w:r>
      <w:r w:rsidR="001C3EDB" w:rsidRPr="00B257D2">
        <w:rPr>
          <w:rFonts w:ascii="GT America Lt" w:hAnsi="GT America Lt"/>
          <w:sz w:val="24"/>
          <w:szCs w:val="24"/>
        </w:rPr>
        <w:t>its</w:t>
      </w:r>
      <w:r w:rsidRPr="00B257D2">
        <w:rPr>
          <w:rFonts w:ascii="GT America Lt" w:hAnsi="GT America Lt"/>
          <w:sz w:val="24"/>
          <w:szCs w:val="24"/>
        </w:rPr>
        <w:t xml:space="preserve"> price. </w:t>
      </w:r>
      <w:r w:rsidR="001C3EDB" w:rsidRPr="00B257D2">
        <w:rPr>
          <w:rFonts w:ascii="GT America Lt" w:hAnsi="GT America Lt"/>
          <w:sz w:val="24"/>
          <w:szCs w:val="24"/>
        </w:rPr>
        <w:t xml:space="preserve">A broad range of </w:t>
      </w:r>
      <w:r w:rsidR="00C115A0" w:rsidRPr="00B257D2">
        <w:rPr>
          <w:rFonts w:ascii="GT America Lt" w:hAnsi="GT America Lt"/>
          <w:sz w:val="24"/>
          <w:szCs w:val="24"/>
        </w:rPr>
        <w:t xml:space="preserve">industry </w:t>
      </w:r>
      <w:r w:rsidR="001C3EDB" w:rsidRPr="00B257D2">
        <w:rPr>
          <w:rFonts w:ascii="GT America Lt" w:hAnsi="GT America Lt"/>
          <w:sz w:val="24"/>
          <w:szCs w:val="24"/>
        </w:rPr>
        <w:t>stakeholders</w:t>
      </w:r>
      <w:r w:rsidR="00C115A0" w:rsidRPr="00B257D2">
        <w:rPr>
          <w:rFonts w:ascii="GT America Lt" w:hAnsi="GT America Lt"/>
          <w:sz w:val="24"/>
          <w:szCs w:val="24"/>
        </w:rPr>
        <w:t>, as well as the law enforcement customers they serve,</w:t>
      </w:r>
      <w:r w:rsidR="001C3EDB" w:rsidRPr="00B257D2">
        <w:rPr>
          <w:rFonts w:ascii="GT America Lt" w:hAnsi="GT America Lt"/>
          <w:sz w:val="24"/>
          <w:szCs w:val="24"/>
        </w:rPr>
        <w:t xml:space="preserve"> would feel the </w:t>
      </w:r>
      <w:r w:rsidR="001C3EDB" w:rsidRPr="00B257D2">
        <w:rPr>
          <w:rFonts w:ascii="GT America Lt" w:hAnsi="GT America Lt"/>
          <w:sz w:val="24"/>
          <w:szCs w:val="24"/>
        </w:rPr>
        <w:lastRenderedPageBreak/>
        <w:t>brunt of these negative consequences</w:t>
      </w:r>
      <w:r w:rsidR="00646F61" w:rsidRPr="00B257D2">
        <w:rPr>
          <w:rFonts w:ascii="GT America Lt" w:hAnsi="GT America Lt"/>
          <w:sz w:val="24"/>
          <w:szCs w:val="24"/>
        </w:rPr>
        <w:t xml:space="preserve">. </w:t>
      </w:r>
      <w:r w:rsidRPr="00B257D2">
        <w:rPr>
          <w:rFonts w:ascii="GT America Lt" w:hAnsi="GT America Lt"/>
          <w:sz w:val="24"/>
          <w:szCs w:val="24"/>
        </w:rPr>
        <w:t>Smaller financial institutions</w:t>
      </w:r>
      <w:r w:rsidR="001C3EDB" w:rsidRPr="00B257D2">
        <w:rPr>
          <w:rFonts w:ascii="GT America Lt" w:hAnsi="GT America Lt"/>
          <w:sz w:val="24"/>
          <w:szCs w:val="24"/>
        </w:rPr>
        <w:t xml:space="preserve"> and other small businesses</w:t>
      </w:r>
      <w:r w:rsidRPr="00B257D2">
        <w:rPr>
          <w:rFonts w:ascii="GT America Lt" w:hAnsi="GT America Lt"/>
          <w:sz w:val="24"/>
          <w:szCs w:val="24"/>
        </w:rPr>
        <w:t xml:space="preserve"> in particular may </w:t>
      </w:r>
      <w:r w:rsidR="001C3EDB" w:rsidRPr="00B257D2">
        <w:rPr>
          <w:rFonts w:ascii="GT America Lt" w:hAnsi="GT America Lt"/>
          <w:sz w:val="24"/>
          <w:szCs w:val="24"/>
        </w:rPr>
        <w:t xml:space="preserve">feel the impact to the extent that they </w:t>
      </w:r>
      <w:r w:rsidR="00C115A0" w:rsidRPr="00B257D2">
        <w:rPr>
          <w:rFonts w:ascii="GT America Lt" w:hAnsi="GT America Lt"/>
          <w:sz w:val="24"/>
          <w:szCs w:val="24"/>
        </w:rPr>
        <w:t>can no longer affordably access key data</w:t>
      </w:r>
      <w:r w:rsidRPr="00B257D2">
        <w:rPr>
          <w:rFonts w:ascii="GT America Lt" w:hAnsi="GT America Lt"/>
          <w:sz w:val="24"/>
          <w:szCs w:val="24"/>
        </w:rPr>
        <w:t xml:space="preserve">. </w:t>
      </w:r>
      <w:r w:rsidR="00C115A0" w:rsidRPr="00B257D2">
        <w:rPr>
          <w:rFonts w:ascii="GT America Lt" w:hAnsi="GT America Lt"/>
          <w:sz w:val="24"/>
          <w:szCs w:val="24"/>
        </w:rPr>
        <w:t>In this way, the Propose</w:t>
      </w:r>
      <w:r w:rsidR="00B132DB" w:rsidRPr="00B257D2">
        <w:rPr>
          <w:rFonts w:ascii="GT America Lt" w:hAnsi="GT America Lt"/>
          <w:sz w:val="24"/>
          <w:szCs w:val="24"/>
        </w:rPr>
        <w:t>d</w:t>
      </w:r>
      <w:r w:rsidR="00C115A0" w:rsidRPr="00B257D2">
        <w:rPr>
          <w:rFonts w:ascii="GT America Lt" w:hAnsi="GT America Lt"/>
          <w:sz w:val="24"/>
          <w:szCs w:val="24"/>
        </w:rPr>
        <w:t xml:space="preserve"> Rule also may make it harder for</w:t>
      </w:r>
      <w:r w:rsidRPr="00B257D2">
        <w:rPr>
          <w:rFonts w:ascii="GT America Lt" w:hAnsi="GT America Lt"/>
          <w:sz w:val="24"/>
          <w:szCs w:val="24"/>
        </w:rPr>
        <w:t xml:space="preserve"> smaller institutions </w:t>
      </w:r>
      <w:r w:rsidR="00C115A0" w:rsidRPr="00B257D2">
        <w:rPr>
          <w:rFonts w:ascii="GT America Lt" w:hAnsi="GT America Lt"/>
          <w:sz w:val="24"/>
          <w:szCs w:val="24"/>
        </w:rPr>
        <w:t>to compete ag</w:t>
      </w:r>
      <w:r w:rsidRPr="00B257D2">
        <w:rPr>
          <w:rFonts w:ascii="GT America Lt" w:hAnsi="GT America Lt"/>
          <w:sz w:val="24"/>
          <w:szCs w:val="24"/>
        </w:rPr>
        <w:t>ainst larger institutions.</w:t>
      </w:r>
    </w:p>
    <w:p w14:paraId="2AD45D4A" w14:textId="77777777" w:rsidR="00B257D2" w:rsidRPr="00B257D2" w:rsidRDefault="00B257D2" w:rsidP="00B257D2">
      <w:pPr>
        <w:spacing w:after="0" w:line="240" w:lineRule="auto"/>
        <w:ind w:firstLine="720"/>
        <w:rPr>
          <w:rFonts w:ascii="GT America Lt" w:hAnsi="GT America Lt"/>
          <w:sz w:val="24"/>
          <w:szCs w:val="24"/>
        </w:rPr>
      </w:pPr>
    </w:p>
    <w:p w14:paraId="7B7D52B7" w14:textId="2D1D4D81" w:rsidR="00D23557" w:rsidRDefault="00C115A0" w:rsidP="00B257D2">
      <w:pPr>
        <w:spacing w:after="0" w:line="240" w:lineRule="auto"/>
        <w:ind w:firstLine="720"/>
        <w:rPr>
          <w:rFonts w:ascii="GT America Lt" w:hAnsi="GT America Lt"/>
          <w:sz w:val="24"/>
          <w:szCs w:val="24"/>
        </w:rPr>
      </w:pPr>
      <w:r w:rsidRPr="00B257D2">
        <w:rPr>
          <w:rFonts w:ascii="GT America Lt" w:hAnsi="GT America Lt"/>
          <w:sz w:val="24"/>
          <w:szCs w:val="24"/>
        </w:rPr>
        <w:t xml:space="preserve">Consumers </w:t>
      </w:r>
      <w:r w:rsidR="00BD0D1B" w:rsidRPr="00B257D2">
        <w:rPr>
          <w:rFonts w:ascii="GT America Lt" w:hAnsi="GT America Lt"/>
          <w:sz w:val="24"/>
          <w:szCs w:val="24"/>
        </w:rPr>
        <w:t>again would bear the brunt of these changes</w:t>
      </w:r>
      <w:r w:rsidRPr="00B257D2">
        <w:rPr>
          <w:rFonts w:ascii="GT America Lt" w:hAnsi="GT America Lt"/>
          <w:sz w:val="24"/>
          <w:szCs w:val="24"/>
        </w:rPr>
        <w:t>. C</w:t>
      </w:r>
      <w:r w:rsidR="00D23557" w:rsidRPr="00B257D2">
        <w:rPr>
          <w:rFonts w:ascii="GT America Lt" w:hAnsi="GT America Lt"/>
          <w:sz w:val="24"/>
          <w:szCs w:val="24"/>
        </w:rPr>
        <w:t>onsumers</w:t>
      </w:r>
      <w:r w:rsidRPr="00B257D2">
        <w:rPr>
          <w:rFonts w:ascii="GT America Lt" w:hAnsi="GT America Lt"/>
          <w:sz w:val="24"/>
          <w:szCs w:val="24"/>
        </w:rPr>
        <w:t xml:space="preserve"> currently</w:t>
      </w:r>
      <w:r w:rsidR="00D23557" w:rsidRPr="00B257D2">
        <w:rPr>
          <w:rFonts w:ascii="GT America Lt" w:hAnsi="GT America Lt"/>
          <w:sz w:val="24"/>
          <w:szCs w:val="24"/>
        </w:rPr>
        <w:t xml:space="preserve"> enjoy a seamless functionality because of safe data-sharing among </w:t>
      </w:r>
      <w:r w:rsidR="00175D29" w:rsidRPr="00B257D2">
        <w:rPr>
          <w:rFonts w:ascii="GT America Lt" w:hAnsi="GT America Lt"/>
          <w:sz w:val="24"/>
          <w:szCs w:val="24"/>
        </w:rPr>
        <w:t>stakeholders</w:t>
      </w:r>
      <w:r w:rsidR="00D23557" w:rsidRPr="00B257D2">
        <w:rPr>
          <w:rFonts w:ascii="GT America Lt" w:hAnsi="GT America Lt"/>
          <w:sz w:val="24"/>
          <w:szCs w:val="24"/>
        </w:rPr>
        <w:t xml:space="preserve"> in the consumer data ecosystem.</w:t>
      </w:r>
      <w:r w:rsidR="002A6E79" w:rsidRPr="00B257D2">
        <w:rPr>
          <w:rFonts w:ascii="GT America Lt" w:hAnsi="GT America Lt"/>
          <w:sz w:val="24"/>
          <w:szCs w:val="24"/>
        </w:rPr>
        <w:t xml:space="preserve"> Under the Proposed Rule, it will be more difficult and time consuming for a consumer acting lawfully to open a bank account, send a payment, receive a loan</w:t>
      </w:r>
      <w:r w:rsidR="001A3290" w:rsidRPr="00B257D2">
        <w:rPr>
          <w:rFonts w:ascii="GT America Lt" w:hAnsi="GT America Lt"/>
          <w:sz w:val="24"/>
          <w:szCs w:val="24"/>
        </w:rPr>
        <w:t>, or use a credit monitoring service</w:t>
      </w:r>
      <w:r w:rsidR="002A6E79" w:rsidRPr="00B257D2">
        <w:rPr>
          <w:rFonts w:ascii="GT America Lt" w:hAnsi="GT America Lt"/>
          <w:sz w:val="24"/>
          <w:szCs w:val="24"/>
        </w:rPr>
        <w:t>.</w:t>
      </w:r>
      <w:r w:rsidR="006D093C" w:rsidRPr="00B257D2">
        <w:rPr>
          <w:rFonts w:ascii="GT America Lt" w:hAnsi="GT America Lt"/>
          <w:sz w:val="24"/>
          <w:szCs w:val="24"/>
        </w:rPr>
        <w:t xml:space="preserve"> The CFPB’s </w:t>
      </w:r>
      <w:r w:rsidR="001A3290" w:rsidRPr="00B257D2">
        <w:rPr>
          <w:rFonts w:ascii="GT America Lt" w:hAnsi="GT America Lt"/>
          <w:sz w:val="24"/>
          <w:szCs w:val="24"/>
        </w:rPr>
        <w:t xml:space="preserve">suggested alternatives for </w:t>
      </w:r>
      <w:r w:rsidR="006D093C" w:rsidRPr="00B257D2">
        <w:rPr>
          <w:rFonts w:ascii="GT America Lt" w:hAnsi="GT America Lt"/>
          <w:sz w:val="24"/>
          <w:szCs w:val="24"/>
        </w:rPr>
        <w:t xml:space="preserve">obtaining certain data through </w:t>
      </w:r>
      <w:r w:rsidR="00F36F3E" w:rsidRPr="00B257D2">
        <w:rPr>
          <w:rFonts w:ascii="GT America Lt" w:hAnsi="GT America Lt"/>
          <w:sz w:val="24"/>
          <w:szCs w:val="24"/>
        </w:rPr>
        <w:t xml:space="preserve">alternate data </w:t>
      </w:r>
      <w:r w:rsidR="0091721C" w:rsidRPr="00B257D2">
        <w:rPr>
          <w:rFonts w:ascii="GT America Lt" w:hAnsi="GT America Lt"/>
          <w:sz w:val="24"/>
          <w:szCs w:val="24"/>
        </w:rPr>
        <w:t>sources</w:t>
      </w:r>
      <w:r w:rsidR="001A3290" w:rsidRPr="00B257D2">
        <w:rPr>
          <w:rFonts w:ascii="GT America Lt" w:hAnsi="GT America Lt"/>
          <w:sz w:val="24"/>
          <w:szCs w:val="24"/>
        </w:rPr>
        <w:t xml:space="preserve"> or </w:t>
      </w:r>
      <w:r w:rsidR="001043F5" w:rsidRPr="00B257D2">
        <w:rPr>
          <w:rFonts w:ascii="GT America Lt" w:hAnsi="GT America Lt"/>
          <w:sz w:val="24"/>
          <w:szCs w:val="24"/>
        </w:rPr>
        <w:t>under</w:t>
      </w:r>
      <w:r w:rsidR="006D093C" w:rsidRPr="00B257D2">
        <w:rPr>
          <w:rFonts w:ascii="GT America Lt" w:hAnsi="GT America Lt"/>
          <w:sz w:val="24"/>
          <w:szCs w:val="24"/>
        </w:rPr>
        <w:t xml:space="preserve"> exceptions in </w:t>
      </w:r>
      <w:r w:rsidR="001A3290" w:rsidRPr="00B257D2">
        <w:rPr>
          <w:rFonts w:ascii="GT America Lt" w:hAnsi="GT America Lt"/>
          <w:sz w:val="24"/>
          <w:szCs w:val="24"/>
        </w:rPr>
        <w:t xml:space="preserve">the </w:t>
      </w:r>
      <w:r w:rsidR="006D093C" w:rsidRPr="00B257D2">
        <w:rPr>
          <w:rFonts w:ascii="GT America Lt" w:hAnsi="GT America Lt"/>
          <w:sz w:val="24"/>
          <w:szCs w:val="24"/>
        </w:rPr>
        <w:t>FCRA ignore</w:t>
      </w:r>
      <w:r w:rsidR="001043F5" w:rsidRPr="00B257D2">
        <w:rPr>
          <w:rFonts w:ascii="GT America Lt" w:hAnsi="GT America Lt"/>
          <w:sz w:val="24"/>
          <w:szCs w:val="24"/>
        </w:rPr>
        <w:t xml:space="preserve"> </w:t>
      </w:r>
      <w:r w:rsidR="006D093C" w:rsidRPr="00B257D2">
        <w:rPr>
          <w:rFonts w:ascii="GT America Lt" w:hAnsi="GT America Lt"/>
          <w:sz w:val="24"/>
          <w:szCs w:val="24"/>
        </w:rPr>
        <w:t xml:space="preserve">the realities of how current data tools, their operators, and their </w:t>
      </w:r>
      <w:r w:rsidR="00DB547A" w:rsidRPr="00B257D2">
        <w:rPr>
          <w:rFonts w:ascii="GT America Lt" w:hAnsi="GT America Lt"/>
          <w:sz w:val="24"/>
          <w:szCs w:val="24"/>
        </w:rPr>
        <w:t>user’s</w:t>
      </w:r>
      <w:r w:rsidR="006D093C" w:rsidRPr="00B257D2">
        <w:rPr>
          <w:rFonts w:ascii="GT America Lt" w:hAnsi="GT America Lt"/>
          <w:sz w:val="24"/>
          <w:szCs w:val="24"/>
        </w:rPr>
        <w:t xml:space="preserve"> </w:t>
      </w:r>
      <w:r w:rsidR="001A3290" w:rsidRPr="00B257D2">
        <w:rPr>
          <w:rFonts w:ascii="GT America Lt" w:hAnsi="GT America Lt"/>
          <w:sz w:val="24"/>
          <w:szCs w:val="24"/>
        </w:rPr>
        <w:t>function</w:t>
      </w:r>
      <w:r w:rsidR="006D093C" w:rsidRPr="00B257D2">
        <w:rPr>
          <w:rFonts w:ascii="GT America Lt" w:hAnsi="GT America Lt"/>
          <w:sz w:val="24"/>
          <w:szCs w:val="24"/>
        </w:rPr>
        <w:t xml:space="preserve">. Obtaining </w:t>
      </w:r>
      <w:r w:rsidR="001A3290" w:rsidRPr="00B257D2">
        <w:rPr>
          <w:rFonts w:ascii="GT America Lt" w:hAnsi="GT America Lt"/>
          <w:sz w:val="24"/>
          <w:szCs w:val="24"/>
        </w:rPr>
        <w:t>consumer</w:t>
      </w:r>
      <w:r w:rsidR="006D093C" w:rsidRPr="00B257D2">
        <w:rPr>
          <w:rFonts w:ascii="GT America Lt" w:hAnsi="GT America Lt"/>
          <w:sz w:val="24"/>
          <w:szCs w:val="24"/>
        </w:rPr>
        <w:t xml:space="preserve"> data through other methods would be impossible in some instances, or so time-consuming and difficult that current data tools could not function in the same way they can today. Consumers </w:t>
      </w:r>
      <w:r w:rsidR="007F5BFF" w:rsidRPr="00B257D2">
        <w:rPr>
          <w:rFonts w:ascii="GT America Lt" w:hAnsi="GT America Lt"/>
          <w:sz w:val="24"/>
          <w:szCs w:val="24"/>
        </w:rPr>
        <w:t xml:space="preserve">would </w:t>
      </w:r>
      <w:r w:rsidR="006D093C" w:rsidRPr="00B257D2">
        <w:rPr>
          <w:rFonts w:ascii="GT America Lt" w:hAnsi="GT America Lt"/>
          <w:sz w:val="24"/>
          <w:szCs w:val="24"/>
        </w:rPr>
        <w:t>feel the impact of the loss of these essential products and services</w:t>
      </w:r>
      <w:r w:rsidR="00175D29" w:rsidRPr="00B257D2">
        <w:rPr>
          <w:rFonts w:ascii="GT America Lt" w:hAnsi="GT America Lt"/>
          <w:sz w:val="24"/>
          <w:szCs w:val="24"/>
        </w:rPr>
        <w:t>, including through increased instances of fraud, inaccurate and/or delayed identity verification, and increased cost of financial products and services</w:t>
      </w:r>
      <w:r w:rsidR="006D093C" w:rsidRPr="00B257D2">
        <w:rPr>
          <w:rFonts w:ascii="GT America Lt" w:hAnsi="GT America Lt"/>
          <w:sz w:val="24"/>
          <w:szCs w:val="24"/>
        </w:rPr>
        <w:t>.</w:t>
      </w:r>
    </w:p>
    <w:p w14:paraId="70068FF6" w14:textId="77777777" w:rsidR="00B257D2" w:rsidRPr="00B257D2" w:rsidRDefault="00B257D2" w:rsidP="00B257D2">
      <w:pPr>
        <w:spacing w:after="0" w:line="240" w:lineRule="auto"/>
        <w:ind w:firstLine="720"/>
        <w:rPr>
          <w:rFonts w:ascii="GT America Lt" w:hAnsi="GT America Lt"/>
          <w:sz w:val="24"/>
          <w:szCs w:val="24"/>
        </w:rPr>
      </w:pPr>
    </w:p>
    <w:p w14:paraId="0C3635B9" w14:textId="2E02C255" w:rsidR="00C115A0" w:rsidRDefault="00C115A0" w:rsidP="00B257D2">
      <w:pPr>
        <w:pStyle w:val="ListParagraph"/>
        <w:keepNext/>
        <w:numPr>
          <w:ilvl w:val="0"/>
          <w:numId w:val="12"/>
        </w:numPr>
        <w:spacing w:after="0"/>
        <w:rPr>
          <w:rFonts w:ascii="GT America Lt" w:hAnsi="GT America Lt"/>
          <w:sz w:val="24"/>
          <w:szCs w:val="24"/>
        </w:rPr>
      </w:pPr>
      <w:r w:rsidRPr="00B257D2">
        <w:rPr>
          <w:rFonts w:ascii="GT America Lt" w:hAnsi="GT America Lt"/>
          <w:sz w:val="24"/>
          <w:szCs w:val="24"/>
        </w:rPr>
        <w:t xml:space="preserve">The Proposed Rule </w:t>
      </w:r>
      <w:r w:rsidR="0002719D" w:rsidRPr="00B257D2">
        <w:rPr>
          <w:rFonts w:ascii="GT America Lt" w:hAnsi="GT America Lt"/>
          <w:sz w:val="24"/>
          <w:szCs w:val="24"/>
        </w:rPr>
        <w:t>will harm smaller financial institutions and small businesses</w:t>
      </w:r>
      <w:r w:rsidRPr="00B257D2">
        <w:rPr>
          <w:rFonts w:ascii="GT America Lt" w:hAnsi="GT America Lt"/>
          <w:sz w:val="24"/>
          <w:szCs w:val="24"/>
        </w:rPr>
        <w:t>.</w:t>
      </w:r>
    </w:p>
    <w:p w14:paraId="5FEFC37D" w14:textId="77777777" w:rsidR="00B257D2" w:rsidRPr="00B257D2" w:rsidRDefault="00B257D2" w:rsidP="00B257D2">
      <w:pPr>
        <w:pStyle w:val="ListParagraph"/>
        <w:keepNext/>
        <w:spacing w:after="0"/>
        <w:ind w:left="1440"/>
        <w:rPr>
          <w:rFonts w:ascii="GT America Lt" w:hAnsi="GT America Lt"/>
          <w:sz w:val="24"/>
          <w:szCs w:val="24"/>
        </w:rPr>
      </w:pPr>
    </w:p>
    <w:p w14:paraId="029A2C65" w14:textId="77777777" w:rsidR="0002719D" w:rsidRDefault="00C115A0" w:rsidP="00B257D2">
      <w:pPr>
        <w:spacing w:after="0" w:line="240" w:lineRule="auto"/>
        <w:ind w:firstLine="720"/>
        <w:rPr>
          <w:rFonts w:ascii="GT America Lt" w:hAnsi="GT America Lt"/>
          <w:sz w:val="24"/>
          <w:szCs w:val="24"/>
        </w:rPr>
      </w:pPr>
      <w:r w:rsidRPr="00B257D2">
        <w:rPr>
          <w:rFonts w:ascii="GT America Lt" w:hAnsi="GT America Lt"/>
          <w:sz w:val="24"/>
          <w:szCs w:val="24"/>
        </w:rPr>
        <w:t xml:space="preserve">The Proposed Rule fails to seriously address many concerns identified during the review required under the Small Business Regulatory Enforcement Fairness Act (“SBREFA”). The SBREFA required the CFPB to collect the advice and recommendations of small entity representatives concerning how the proposal might increase the cost of credit for small entities and if alternatives exist that might accomplish the stated objectives of applicable statutes while minimizing any such costs and burdens. The CFPB failed to consider alternatives here. Instead, the CFPB continued on its predetermined course, without serious consideration of the comments received on the costs and negative impacts. </w:t>
      </w:r>
    </w:p>
    <w:p w14:paraId="78D64591" w14:textId="77777777" w:rsidR="00B257D2" w:rsidRPr="00B257D2" w:rsidRDefault="00B257D2" w:rsidP="00B257D2">
      <w:pPr>
        <w:spacing w:after="0" w:line="240" w:lineRule="auto"/>
        <w:ind w:firstLine="720"/>
        <w:rPr>
          <w:rFonts w:ascii="GT America Lt" w:hAnsi="GT America Lt"/>
          <w:sz w:val="24"/>
          <w:szCs w:val="24"/>
        </w:rPr>
      </w:pPr>
    </w:p>
    <w:p w14:paraId="0BF89EAA" w14:textId="79293F4A" w:rsidR="00C115A0" w:rsidRDefault="00C115A0" w:rsidP="00B257D2">
      <w:pPr>
        <w:spacing w:after="0" w:line="240" w:lineRule="auto"/>
        <w:ind w:firstLine="720"/>
        <w:rPr>
          <w:rFonts w:ascii="GT America Lt" w:hAnsi="GT America Lt"/>
          <w:sz w:val="24"/>
          <w:szCs w:val="24"/>
        </w:rPr>
      </w:pPr>
      <w:r w:rsidRPr="00B257D2">
        <w:rPr>
          <w:rFonts w:ascii="GT America Lt" w:hAnsi="GT America Lt"/>
          <w:sz w:val="24"/>
          <w:szCs w:val="24"/>
        </w:rPr>
        <w:t>For example, small entities</w:t>
      </w:r>
      <w:r w:rsidR="0002719D" w:rsidRPr="00B257D2">
        <w:rPr>
          <w:rFonts w:ascii="GT America Lt" w:hAnsi="GT America Lt"/>
          <w:sz w:val="24"/>
          <w:szCs w:val="24"/>
        </w:rPr>
        <w:t xml:space="preserve"> explained during the SBREFA process</w:t>
      </w:r>
      <w:r w:rsidRPr="00B257D2">
        <w:rPr>
          <w:rFonts w:ascii="GT America Lt" w:hAnsi="GT America Lt"/>
          <w:sz w:val="24"/>
          <w:szCs w:val="24"/>
        </w:rPr>
        <w:t xml:space="preserve"> that the outlined rule would have a significant economic impact on a substantial number of small entities, including compliance costs so high that they might be forced to cease operations entirely.</w:t>
      </w:r>
      <w:r w:rsidR="005224ED" w:rsidRPr="00B257D2">
        <w:rPr>
          <w:rStyle w:val="FootnoteReference"/>
          <w:rFonts w:ascii="GT America Lt" w:hAnsi="GT America Lt"/>
          <w:sz w:val="24"/>
          <w:szCs w:val="24"/>
        </w:rPr>
        <w:footnoteReference w:id="12"/>
      </w:r>
      <w:r w:rsidRPr="00B257D2">
        <w:rPr>
          <w:rFonts w:ascii="GT America Lt" w:hAnsi="GT America Lt"/>
          <w:sz w:val="24"/>
          <w:szCs w:val="24"/>
        </w:rPr>
        <w:t xml:space="preserve"> The CFPB fails to cite any alternatives it considered to address these concerns. Instead, the Proposed Rule merely states that the CFPB does not have data to quantify these costs and requests comment. The CFPB ignore</w:t>
      </w:r>
      <w:r w:rsidR="0002719D" w:rsidRPr="00B257D2">
        <w:rPr>
          <w:rFonts w:ascii="GT America Lt" w:hAnsi="GT America Lt"/>
          <w:sz w:val="24"/>
          <w:szCs w:val="24"/>
        </w:rPr>
        <w:t>d</w:t>
      </w:r>
      <w:r w:rsidRPr="00B257D2">
        <w:rPr>
          <w:rFonts w:ascii="GT America Lt" w:hAnsi="GT America Lt"/>
          <w:sz w:val="24"/>
          <w:szCs w:val="24"/>
        </w:rPr>
        <w:t xml:space="preserve"> th</w:t>
      </w:r>
      <w:r w:rsidR="0002719D" w:rsidRPr="00B257D2">
        <w:rPr>
          <w:rFonts w:ascii="GT America Lt" w:hAnsi="GT America Lt"/>
          <w:sz w:val="24"/>
          <w:szCs w:val="24"/>
        </w:rPr>
        <w:t>e comments submitted by</w:t>
      </w:r>
      <w:r w:rsidRPr="00B257D2">
        <w:rPr>
          <w:rFonts w:ascii="GT America Lt" w:hAnsi="GT America Lt"/>
          <w:sz w:val="24"/>
          <w:szCs w:val="24"/>
        </w:rPr>
        <w:t xml:space="preserve"> small entities and others on such </w:t>
      </w:r>
      <w:r w:rsidR="00DB547A" w:rsidRPr="00B257D2">
        <w:rPr>
          <w:rFonts w:ascii="GT America Lt" w:hAnsi="GT America Lt"/>
          <w:sz w:val="24"/>
          <w:szCs w:val="24"/>
        </w:rPr>
        <w:t>costs and</w:t>
      </w:r>
      <w:r w:rsidRPr="00B257D2">
        <w:rPr>
          <w:rFonts w:ascii="GT America Lt" w:hAnsi="GT America Lt"/>
          <w:sz w:val="24"/>
          <w:szCs w:val="24"/>
        </w:rPr>
        <w:t xml:space="preserve"> cho</w:t>
      </w:r>
      <w:r w:rsidR="0002719D" w:rsidRPr="00B257D2">
        <w:rPr>
          <w:rFonts w:ascii="GT America Lt" w:hAnsi="GT America Lt"/>
          <w:sz w:val="24"/>
          <w:szCs w:val="24"/>
        </w:rPr>
        <w:t>se</w:t>
      </w:r>
      <w:r w:rsidRPr="00B257D2">
        <w:rPr>
          <w:rFonts w:ascii="GT America Lt" w:hAnsi="GT America Lt"/>
          <w:sz w:val="24"/>
          <w:szCs w:val="24"/>
        </w:rPr>
        <w:t xml:space="preserve"> not to make any adjustments or offer any alternatives in the Proposed Rule. Nor did the </w:t>
      </w:r>
      <w:r w:rsidRPr="00B257D2">
        <w:rPr>
          <w:rFonts w:ascii="GT America Lt" w:hAnsi="GT America Lt"/>
          <w:sz w:val="24"/>
          <w:szCs w:val="24"/>
        </w:rPr>
        <w:lastRenderedPageBreak/>
        <w:t xml:space="preserve">CFPB conduct any independent research on these potential costs, despite learning of them during the SBREFA process. </w:t>
      </w:r>
    </w:p>
    <w:p w14:paraId="27DAC7D7" w14:textId="77777777" w:rsidR="00B257D2" w:rsidRPr="00B257D2" w:rsidRDefault="00B257D2" w:rsidP="00B257D2">
      <w:pPr>
        <w:spacing w:after="0" w:line="240" w:lineRule="auto"/>
        <w:ind w:firstLine="720"/>
        <w:rPr>
          <w:rFonts w:ascii="GT America Lt" w:hAnsi="GT America Lt"/>
          <w:sz w:val="24"/>
          <w:szCs w:val="24"/>
        </w:rPr>
      </w:pPr>
    </w:p>
    <w:p w14:paraId="5BEB9495" w14:textId="2752D20F" w:rsidR="00C115A0" w:rsidRDefault="00C115A0" w:rsidP="00B257D2">
      <w:pPr>
        <w:spacing w:after="0" w:line="240" w:lineRule="auto"/>
        <w:ind w:firstLine="720"/>
        <w:rPr>
          <w:rFonts w:ascii="GT America Lt" w:hAnsi="GT America Lt"/>
          <w:sz w:val="24"/>
          <w:szCs w:val="24"/>
        </w:rPr>
      </w:pPr>
      <w:r w:rsidRPr="00B257D2">
        <w:rPr>
          <w:rFonts w:ascii="GT America Lt" w:hAnsi="GT America Lt"/>
          <w:sz w:val="24"/>
          <w:szCs w:val="24"/>
        </w:rPr>
        <w:t xml:space="preserve">The CFPB’s Section 1022(b) analysis also fails to meet </w:t>
      </w:r>
      <w:r w:rsidR="00034C72" w:rsidRPr="00B257D2">
        <w:rPr>
          <w:rFonts w:ascii="GT America Lt" w:hAnsi="GT America Lt"/>
          <w:sz w:val="24"/>
          <w:szCs w:val="24"/>
        </w:rPr>
        <w:t>the</w:t>
      </w:r>
      <w:r w:rsidRPr="00B257D2">
        <w:rPr>
          <w:rFonts w:ascii="GT America Lt" w:hAnsi="GT America Lt"/>
          <w:sz w:val="24"/>
          <w:szCs w:val="24"/>
        </w:rPr>
        <w:t xml:space="preserve"> statutory requirements. For one, even though the CFPB acknowledges in its Section 1022(b) analysis the numerous compliance, administrative, and litigation costs that would occur due to the Proposed Rule, the CFPB refuses to attempt to quantify them. The analysis thus fail</w:t>
      </w:r>
      <w:r w:rsidR="005E71A1" w:rsidRPr="00B257D2">
        <w:rPr>
          <w:rFonts w:ascii="GT America Lt" w:hAnsi="GT America Lt"/>
          <w:sz w:val="24"/>
          <w:szCs w:val="24"/>
        </w:rPr>
        <w:t>s</w:t>
      </w:r>
      <w:r w:rsidRPr="00B257D2">
        <w:rPr>
          <w:rFonts w:ascii="GT America Lt" w:hAnsi="GT America Lt"/>
          <w:sz w:val="24"/>
          <w:szCs w:val="24"/>
        </w:rPr>
        <w:t xml:space="preserve"> to meaningfully consider the true costs and impacts of the Proposed Rule</w:t>
      </w:r>
      <w:r w:rsidR="005E71A1" w:rsidRPr="00B257D2">
        <w:rPr>
          <w:rFonts w:ascii="GT America Lt" w:hAnsi="GT America Lt"/>
          <w:sz w:val="24"/>
          <w:szCs w:val="24"/>
        </w:rPr>
        <w:t>, much less whether those costs are outweighed by the purported benefits</w:t>
      </w:r>
      <w:r w:rsidRPr="00B257D2">
        <w:rPr>
          <w:rFonts w:ascii="GT America Lt" w:hAnsi="GT America Lt"/>
          <w:sz w:val="24"/>
          <w:szCs w:val="24"/>
        </w:rPr>
        <w:t>. These impacts were not unknown to the CFPB, which in addition to the Small Business Review Panel, received thousands of comments in response to a Request for Information and the SBREFA outline it published. Yet, the CFPB went forward with its Proposed Rule without sufficiently researching the potential costs of the Proposed Rule or considering alternatives that could mitigate costs.</w:t>
      </w:r>
    </w:p>
    <w:p w14:paraId="6E8EDDB8" w14:textId="77777777" w:rsidR="00B257D2" w:rsidRPr="00B257D2" w:rsidRDefault="00B257D2" w:rsidP="00B257D2">
      <w:pPr>
        <w:spacing w:after="0" w:line="240" w:lineRule="auto"/>
        <w:ind w:firstLine="720"/>
        <w:rPr>
          <w:rFonts w:ascii="GT America Lt" w:hAnsi="GT America Lt"/>
          <w:sz w:val="24"/>
          <w:szCs w:val="24"/>
        </w:rPr>
      </w:pPr>
    </w:p>
    <w:p w14:paraId="77AFF423" w14:textId="2F516144" w:rsidR="00C115A0" w:rsidRDefault="00C115A0" w:rsidP="00B257D2">
      <w:pPr>
        <w:spacing w:after="0" w:line="240" w:lineRule="auto"/>
        <w:ind w:firstLine="720"/>
        <w:rPr>
          <w:rFonts w:ascii="GT America Lt" w:hAnsi="GT America Lt"/>
          <w:sz w:val="24"/>
          <w:szCs w:val="24"/>
        </w:rPr>
      </w:pPr>
      <w:r w:rsidRPr="00B257D2">
        <w:rPr>
          <w:rFonts w:ascii="GT America Lt" w:hAnsi="GT America Lt"/>
          <w:sz w:val="24"/>
          <w:szCs w:val="24"/>
        </w:rPr>
        <w:t xml:space="preserve">The Section 1022(b) analysis also ignores the requirement to consider the impact of proposed rules on financial institutions with total assets of $10 billion or less and the impact on consumers in rural areas. The CFPB states that, as to financial institutions with total assets of $10 billion or less, it does not expect the Proposed Rule will have significantly different impacts from the impacts to other financial institutions. Similarly, the CFPB states that it expects that the impact to consumers in rural areas will </w:t>
      </w:r>
      <w:r w:rsidR="005E71A1" w:rsidRPr="00B257D2">
        <w:rPr>
          <w:rFonts w:ascii="GT America Lt" w:hAnsi="GT America Lt"/>
          <w:sz w:val="24"/>
          <w:szCs w:val="24"/>
        </w:rPr>
        <w:t xml:space="preserve">be </w:t>
      </w:r>
      <w:r w:rsidRPr="00B257D2">
        <w:rPr>
          <w:rFonts w:ascii="GT America Lt" w:hAnsi="GT America Lt"/>
          <w:sz w:val="24"/>
          <w:szCs w:val="24"/>
        </w:rPr>
        <w:t>the same on average</w:t>
      </w:r>
      <w:r w:rsidR="005E71A1" w:rsidRPr="00B257D2">
        <w:rPr>
          <w:rFonts w:ascii="GT America Lt" w:hAnsi="GT America Lt"/>
          <w:sz w:val="24"/>
          <w:szCs w:val="24"/>
        </w:rPr>
        <w:t xml:space="preserve"> as</w:t>
      </w:r>
      <w:r w:rsidRPr="00B257D2">
        <w:rPr>
          <w:rFonts w:ascii="GT America Lt" w:hAnsi="GT America Lt"/>
          <w:sz w:val="24"/>
          <w:szCs w:val="24"/>
        </w:rPr>
        <w:t xml:space="preserve"> to consumers that do not live in rural areas. Yet, the CFPB received comments from representatives and in response to the SBREFA outline, pointing out that small lenders, including many that serve rural and underserved communities, could face significant challenge</w:t>
      </w:r>
      <w:r w:rsidR="00034C72" w:rsidRPr="00B257D2">
        <w:rPr>
          <w:rFonts w:ascii="GT America Lt" w:hAnsi="GT America Lt"/>
          <w:sz w:val="24"/>
          <w:szCs w:val="24"/>
        </w:rPr>
        <w:t>s</w:t>
      </w:r>
      <w:r w:rsidRPr="00B257D2">
        <w:rPr>
          <w:rFonts w:ascii="GT America Lt" w:hAnsi="GT America Lt"/>
          <w:sz w:val="24"/>
          <w:szCs w:val="24"/>
        </w:rPr>
        <w:t xml:space="preserve"> in detecting fraud and meeting regulatory requirements without access to reliable credit header information.</w:t>
      </w:r>
      <w:r w:rsidRPr="00B257D2">
        <w:rPr>
          <w:rStyle w:val="FootnoteReference"/>
          <w:rFonts w:ascii="GT America Lt" w:hAnsi="GT America Lt"/>
          <w:sz w:val="24"/>
          <w:szCs w:val="24"/>
        </w:rPr>
        <w:footnoteReference w:id="13"/>
      </w:r>
      <w:r w:rsidRPr="00B257D2">
        <w:rPr>
          <w:rFonts w:ascii="GT America Lt" w:hAnsi="GT America Lt"/>
          <w:sz w:val="24"/>
          <w:szCs w:val="24"/>
        </w:rPr>
        <w:t xml:space="preserve"> Even if these lenders would be able</w:t>
      </w:r>
      <w:r w:rsidR="00F73921" w:rsidRPr="00B257D2">
        <w:rPr>
          <w:rFonts w:ascii="GT America Lt" w:hAnsi="GT America Lt"/>
          <w:sz w:val="24"/>
          <w:szCs w:val="24"/>
        </w:rPr>
        <w:t xml:space="preserve"> to</w:t>
      </w:r>
      <w:r w:rsidRPr="00B257D2">
        <w:rPr>
          <w:rFonts w:ascii="GT America Lt" w:hAnsi="GT America Lt"/>
          <w:sz w:val="24"/>
          <w:szCs w:val="24"/>
        </w:rPr>
        <w:t xml:space="preserve"> obtain credit header data pursuant to a permissible purpose under the Proposed Rule (which is not necessarily the case), they will be less able to withstand price increases and data availability issues that will arise from the compliance costs and overall impacts to the exchange of data under the Proposed Rule. </w:t>
      </w:r>
      <w:r w:rsidR="00034C72" w:rsidRPr="00B257D2">
        <w:rPr>
          <w:rFonts w:ascii="GT America Lt" w:hAnsi="GT America Lt"/>
          <w:sz w:val="24"/>
          <w:szCs w:val="24"/>
        </w:rPr>
        <w:t>The</w:t>
      </w:r>
      <w:r w:rsidRPr="00B257D2">
        <w:rPr>
          <w:rFonts w:ascii="GT America Lt" w:hAnsi="GT America Lt"/>
          <w:sz w:val="24"/>
          <w:szCs w:val="24"/>
        </w:rPr>
        <w:t xml:space="preserve"> representatives specifically requested the CFPB recognize these challenges and the legal obligations of small lenders to comply with identity theft, fraud, and KYC requirements when finalizing a rule. The CFPB failed to even acknowledge these particular concerns for small lenders and rural communities.</w:t>
      </w:r>
    </w:p>
    <w:p w14:paraId="28996E0B" w14:textId="77777777" w:rsidR="00B257D2" w:rsidRPr="00B257D2" w:rsidRDefault="00B257D2" w:rsidP="00B257D2">
      <w:pPr>
        <w:spacing w:after="0" w:line="240" w:lineRule="auto"/>
        <w:ind w:firstLine="720"/>
        <w:rPr>
          <w:rFonts w:ascii="GT America Lt" w:hAnsi="GT America Lt"/>
          <w:sz w:val="24"/>
          <w:szCs w:val="24"/>
        </w:rPr>
      </w:pPr>
    </w:p>
    <w:p w14:paraId="1A04B4F7" w14:textId="489BB6BD" w:rsidR="00900F29" w:rsidRDefault="003F132B" w:rsidP="00B257D2">
      <w:pPr>
        <w:pStyle w:val="ListParagraph"/>
        <w:keepNext/>
        <w:numPr>
          <w:ilvl w:val="0"/>
          <w:numId w:val="2"/>
        </w:numPr>
        <w:spacing w:after="0"/>
        <w:rPr>
          <w:rFonts w:ascii="GT America Lt" w:hAnsi="GT America Lt"/>
          <w:b/>
          <w:bCs/>
          <w:sz w:val="24"/>
          <w:szCs w:val="24"/>
        </w:rPr>
      </w:pPr>
      <w:r w:rsidRPr="00B257D2">
        <w:rPr>
          <w:rFonts w:ascii="GT America Lt" w:hAnsi="GT America Lt"/>
          <w:b/>
          <w:bCs/>
          <w:sz w:val="24"/>
          <w:szCs w:val="24"/>
        </w:rPr>
        <w:t xml:space="preserve">The Proposed Rule would exceed the CFPB’s </w:t>
      </w:r>
      <w:r w:rsidR="005B07FE" w:rsidRPr="00B257D2">
        <w:rPr>
          <w:rFonts w:ascii="GT America Lt" w:hAnsi="GT America Lt"/>
          <w:b/>
          <w:bCs/>
          <w:sz w:val="24"/>
          <w:szCs w:val="24"/>
        </w:rPr>
        <w:t xml:space="preserve">legal </w:t>
      </w:r>
      <w:r w:rsidRPr="00B257D2">
        <w:rPr>
          <w:rFonts w:ascii="GT America Lt" w:hAnsi="GT America Lt"/>
          <w:b/>
          <w:bCs/>
          <w:sz w:val="24"/>
          <w:szCs w:val="24"/>
        </w:rPr>
        <w:t>authority.</w:t>
      </w:r>
    </w:p>
    <w:p w14:paraId="4B10116B" w14:textId="77777777" w:rsidR="00B257D2" w:rsidRPr="00B257D2" w:rsidRDefault="00B257D2" w:rsidP="00B257D2">
      <w:pPr>
        <w:pStyle w:val="ListParagraph"/>
        <w:keepNext/>
        <w:spacing w:after="0"/>
        <w:ind w:left="1080"/>
        <w:rPr>
          <w:rFonts w:ascii="GT America Lt" w:hAnsi="GT America Lt"/>
          <w:b/>
          <w:bCs/>
          <w:sz w:val="24"/>
          <w:szCs w:val="24"/>
        </w:rPr>
      </w:pPr>
    </w:p>
    <w:p w14:paraId="5FB74D99" w14:textId="7F434D43" w:rsidR="0011589E" w:rsidRDefault="0011589E"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 xml:space="preserve">The Proposed Rule ignores the purpose of the FCRA, as established by Congress, as well as specific limitations within the </w:t>
      </w:r>
      <w:r w:rsidR="0002719D" w:rsidRPr="00B257D2">
        <w:rPr>
          <w:rFonts w:ascii="GT America Lt" w:eastAsia="Times New Roman" w:hAnsi="GT America Lt"/>
          <w:sz w:val="24"/>
          <w:szCs w:val="24"/>
        </w:rPr>
        <w:t xml:space="preserve">statute’s </w:t>
      </w:r>
      <w:r w:rsidRPr="00B257D2">
        <w:rPr>
          <w:rFonts w:ascii="GT America Lt" w:eastAsia="Times New Roman" w:hAnsi="GT America Lt"/>
          <w:sz w:val="24"/>
          <w:szCs w:val="24"/>
        </w:rPr>
        <w:t>text.</w:t>
      </w:r>
      <w:r w:rsidR="005B07FE" w:rsidRPr="00B257D2">
        <w:rPr>
          <w:rFonts w:ascii="GT America Lt" w:eastAsia="Times New Roman" w:hAnsi="GT America Lt"/>
          <w:sz w:val="24"/>
          <w:szCs w:val="24"/>
        </w:rPr>
        <w:t xml:space="preserve"> It also violates the First Amendment.</w:t>
      </w:r>
      <w:r w:rsidRPr="00B257D2">
        <w:rPr>
          <w:rFonts w:ascii="GT America Lt" w:eastAsia="Times New Roman" w:hAnsi="GT America Lt"/>
          <w:sz w:val="24"/>
          <w:szCs w:val="24"/>
        </w:rPr>
        <w:t xml:space="preserve"> </w:t>
      </w:r>
      <w:r w:rsidR="005B07FE" w:rsidRPr="00B257D2">
        <w:rPr>
          <w:rFonts w:ascii="GT America Lt" w:eastAsia="Times New Roman" w:hAnsi="GT America Lt"/>
          <w:sz w:val="24"/>
          <w:szCs w:val="24"/>
        </w:rPr>
        <w:t xml:space="preserve">As a result, </w:t>
      </w:r>
      <w:r w:rsidRPr="00B257D2">
        <w:rPr>
          <w:rFonts w:ascii="GT America Lt" w:eastAsia="Times New Roman" w:hAnsi="GT America Lt"/>
          <w:sz w:val="24"/>
          <w:szCs w:val="24"/>
        </w:rPr>
        <w:t>the Proposed Rule would be challenged successfully in court</w:t>
      </w:r>
      <w:r w:rsidR="005B07FE" w:rsidRPr="00B257D2">
        <w:rPr>
          <w:rFonts w:ascii="GT America Lt" w:eastAsia="Times New Roman" w:hAnsi="GT America Lt"/>
          <w:sz w:val="24"/>
          <w:szCs w:val="24"/>
        </w:rPr>
        <w:t xml:space="preserve"> if finalized in its proposed form</w:t>
      </w:r>
      <w:r w:rsidRPr="00B257D2">
        <w:rPr>
          <w:rFonts w:ascii="GT America Lt" w:eastAsia="Times New Roman" w:hAnsi="GT America Lt"/>
          <w:sz w:val="24"/>
          <w:szCs w:val="24"/>
        </w:rPr>
        <w:t xml:space="preserve">, leading to unnecessary cost and regulatory </w:t>
      </w:r>
      <w:r w:rsidRPr="00B257D2">
        <w:rPr>
          <w:rFonts w:ascii="GT America Lt" w:eastAsia="Times New Roman" w:hAnsi="GT America Lt"/>
          <w:sz w:val="24"/>
          <w:szCs w:val="24"/>
        </w:rPr>
        <w:lastRenderedPageBreak/>
        <w:t>uncertainty.</w:t>
      </w:r>
      <w:r w:rsidRPr="00B257D2">
        <w:rPr>
          <w:rStyle w:val="FootnoteReference"/>
          <w:rFonts w:ascii="GT America Lt" w:eastAsia="Times New Roman" w:hAnsi="GT America Lt"/>
          <w:sz w:val="24"/>
          <w:szCs w:val="24"/>
        </w:rPr>
        <w:footnoteReference w:id="14"/>
      </w:r>
      <w:r w:rsidRPr="00B257D2">
        <w:rPr>
          <w:rFonts w:ascii="GT America Lt" w:eastAsia="Times New Roman" w:hAnsi="GT America Lt"/>
          <w:sz w:val="24"/>
          <w:szCs w:val="24"/>
        </w:rPr>
        <w:t xml:space="preserve"> The CFPB consequently must not advance the Proposed Rule in its current form.</w:t>
      </w:r>
    </w:p>
    <w:p w14:paraId="3B7EB238" w14:textId="77777777" w:rsidR="00B257D2" w:rsidRPr="00B257D2" w:rsidRDefault="00B257D2" w:rsidP="00B257D2">
      <w:pPr>
        <w:spacing w:after="0" w:line="240" w:lineRule="auto"/>
        <w:ind w:firstLine="720"/>
        <w:rPr>
          <w:rFonts w:ascii="GT America Lt" w:eastAsia="Times New Roman" w:hAnsi="GT America Lt"/>
          <w:sz w:val="24"/>
          <w:szCs w:val="24"/>
        </w:rPr>
      </w:pPr>
    </w:p>
    <w:p w14:paraId="4F5365EC" w14:textId="2B85A354" w:rsidR="008B091C" w:rsidRPr="00B257D2" w:rsidRDefault="008B091C" w:rsidP="00B257D2">
      <w:pPr>
        <w:pStyle w:val="ListParagraph"/>
        <w:numPr>
          <w:ilvl w:val="1"/>
          <w:numId w:val="6"/>
        </w:numPr>
        <w:spacing w:after="0"/>
        <w:ind w:left="1440"/>
        <w:rPr>
          <w:rFonts w:ascii="GT America Lt" w:eastAsia="Times New Roman" w:hAnsi="GT America Lt"/>
          <w:b/>
          <w:bCs/>
          <w:sz w:val="24"/>
          <w:szCs w:val="24"/>
        </w:rPr>
      </w:pPr>
      <w:r w:rsidRPr="00B257D2">
        <w:rPr>
          <w:rFonts w:ascii="GT America Lt" w:eastAsia="Times New Roman" w:hAnsi="GT America Lt"/>
          <w:sz w:val="24"/>
          <w:szCs w:val="24"/>
        </w:rPr>
        <w:t>The Proposed Rule would rewrite the FCRA, ignoring Congressional intent.</w:t>
      </w:r>
    </w:p>
    <w:p w14:paraId="247640AF" w14:textId="77777777" w:rsidR="00B257D2" w:rsidRPr="00B257D2" w:rsidRDefault="00B257D2" w:rsidP="00B257D2">
      <w:pPr>
        <w:pStyle w:val="ListParagraph"/>
        <w:spacing w:after="0"/>
        <w:ind w:left="1440"/>
        <w:rPr>
          <w:rFonts w:ascii="GT America Lt" w:eastAsia="Times New Roman" w:hAnsi="GT America Lt"/>
          <w:b/>
          <w:bCs/>
          <w:sz w:val="24"/>
          <w:szCs w:val="24"/>
        </w:rPr>
      </w:pPr>
    </w:p>
    <w:p w14:paraId="0B68DB1E" w14:textId="149EDB98" w:rsidR="008B091C" w:rsidRDefault="008B091C"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 xml:space="preserve">Congress enacted </w:t>
      </w:r>
      <w:r w:rsidR="00195C44" w:rsidRPr="00B257D2">
        <w:rPr>
          <w:rFonts w:ascii="GT America Lt" w:eastAsia="Times New Roman" w:hAnsi="GT America Lt"/>
          <w:sz w:val="24"/>
          <w:szCs w:val="24"/>
        </w:rPr>
        <w:t xml:space="preserve">the </w:t>
      </w:r>
      <w:r w:rsidRPr="00B257D2">
        <w:rPr>
          <w:rFonts w:ascii="GT America Lt" w:eastAsia="Times New Roman" w:hAnsi="GT America Lt"/>
          <w:sz w:val="24"/>
          <w:szCs w:val="24"/>
        </w:rPr>
        <w:t>FCRA to apply specific rules to a particular set of entities and use cases focused on credit reporting. The statutory purpose of the FCRA is focused on credit reporting and the mechanism for investigating and evaluating the creditworthiness, credit standing, credit capacity, character, and general reputation of consumers.</w:t>
      </w:r>
      <w:r w:rsidRPr="00B257D2">
        <w:rPr>
          <w:rStyle w:val="FootnoteReference"/>
          <w:rFonts w:ascii="GT America Lt" w:eastAsia="Times New Roman" w:hAnsi="GT America Lt"/>
          <w:sz w:val="24"/>
          <w:szCs w:val="24"/>
        </w:rPr>
        <w:footnoteReference w:id="15"/>
      </w:r>
      <w:r w:rsidRPr="00B257D2">
        <w:rPr>
          <w:rFonts w:ascii="GT America Lt" w:eastAsia="Times New Roman" w:hAnsi="GT America Lt"/>
          <w:sz w:val="24"/>
          <w:szCs w:val="24"/>
        </w:rPr>
        <w:t xml:space="preserve"> In the FCRA, Congress identified its purpose as “</w:t>
      </w:r>
      <w:proofErr w:type="spellStart"/>
      <w:r w:rsidRPr="00B257D2">
        <w:rPr>
          <w:rFonts w:ascii="GT America Lt" w:eastAsia="Times New Roman" w:hAnsi="GT America Lt"/>
          <w:sz w:val="24"/>
          <w:szCs w:val="24"/>
        </w:rPr>
        <w:t>requir</w:t>
      </w:r>
      <w:proofErr w:type="spellEnd"/>
      <w:r w:rsidRPr="00B257D2">
        <w:rPr>
          <w:rFonts w:ascii="GT America Lt" w:eastAsia="Times New Roman" w:hAnsi="GT America Lt"/>
          <w:sz w:val="24"/>
          <w:szCs w:val="24"/>
        </w:rPr>
        <w:t>[</w:t>
      </w:r>
      <w:proofErr w:type="spellStart"/>
      <w:r w:rsidRPr="00B257D2">
        <w:rPr>
          <w:rFonts w:ascii="GT America Lt" w:eastAsia="Times New Roman" w:hAnsi="GT America Lt"/>
          <w:sz w:val="24"/>
          <w:szCs w:val="24"/>
        </w:rPr>
        <w:t>ing</w:t>
      </w:r>
      <w:proofErr w:type="spellEnd"/>
      <w:r w:rsidRPr="00B257D2">
        <w:rPr>
          <w:rFonts w:ascii="GT America Lt" w:eastAsia="Times New Roman" w:hAnsi="GT America Lt"/>
          <w:sz w:val="24"/>
          <w:szCs w:val="24"/>
        </w:rPr>
        <w:t>] that consumer reporting agencies adopt reasonable procedures for meeting the needs of commerce for consumer credit, personnel, insurance, and other information in a manner which is fair and equitable to the consumer.”</w:t>
      </w:r>
      <w:r w:rsidRPr="00B257D2">
        <w:rPr>
          <w:rStyle w:val="FootnoteReference"/>
          <w:rFonts w:ascii="GT America Lt" w:eastAsia="Times New Roman" w:hAnsi="GT America Lt"/>
          <w:sz w:val="24"/>
          <w:szCs w:val="24"/>
        </w:rPr>
        <w:footnoteReference w:id="16"/>
      </w:r>
      <w:r w:rsidRPr="00B257D2">
        <w:rPr>
          <w:rFonts w:ascii="GT America Lt" w:eastAsia="Times New Roman" w:hAnsi="GT America Lt"/>
          <w:sz w:val="24"/>
          <w:szCs w:val="24"/>
        </w:rPr>
        <w:t xml:space="preserve"> Congress did not intend the FCRA to apply broadly to all consumer information</w:t>
      </w:r>
      <w:r w:rsidR="009F622A" w:rsidRPr="00B257D2">
        <w:rPr>
          <w:rFonts w:ascii="GT America Lt" w:eastAsia="Times New Roman" w:hAnsi="GT America Lt"/>
          <w:sz w:val="24"/>
          <w:szCs w:val="24"/>
        </w:rPr>
        <w:t>, nor to apply to all data brokers and aggregators who may touch certain consumer information</w:t>
      </w:r>
      <w:r w:rsidRPr="00B257D2">
        <w:rPr>
          <w:rFonts w:ascii="GT America Lt" w:eastAsia="Times New Roman" w:hAnsi="GT America Lt"/>
          <w:sz w:val="24"/>
          <w:szCs w:val="24"/>
        </w:rPr>
        <w:t>.</w:t>
      </w:r>
      <w:r w:rsidR="009F622A" w:rsidRPr="00B257D2">
        <w:rPr>
          <w:rFonts w:ascii="GT America Lt" w:eastAsia="Times New Roman" w:hAnsi="GT America Lt"/>
          <w:sz w:val="24"/>
          <w:szCs w:val="24"/>
        </w:rPr>
        <w:t xml:space="preserve"> The Proposed Rule would impermissibly expand the scope of the FCRA, contrary to Congress’s intent.</w:t>
      </w:r>
    </w:p>
    <w:p w14:paraId="6E92D0B8" w14:textId="77777777" w:rsidR="00B257D2" w:rsidRPr="00B257D2" w:rsidRDefault="00B257D2" w:rsidP="00B257D2">
      <w:pPr>
        <w:spacing w:after="0" w:line="240" w:lineRule="auto"/>
        <w:ind w:firstLine="720"/>
        <w:rPr>
          <w:rFonts w:ascii="GT America Lt" w:eastAsia="Times New Roman" w:hAnsi="GT America Lt"/>
          <w:sz w:val="24"/>
          <w:szCs w:val="24"/>
        </w:rPr>
      </w:pPr>
    </w:p>
    <w:p w14:paraId="50AABD54" w14:textId="3276797A" w:rsidR="008B091C" w:rsidRDefault="008B091C"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Through the Proposed Rule, the CFPB would impermissibly expand the definition of “consumer reporting agency” to apply to persons Congress never intended to subject to the FCRA. Specifically, the Proposed Rule defines “assembling and evaluating” in the context of the definition of a “consumer reporting agency” to mean collecting, bringing together, gathering, or retaining; appraising, assessing, making a judgment regarding, determining or fixing the value of, verifying, or validating; or contributing to or altering the content of such information. This definition could be used</w:t>
      </w:r>
      <w:r w:rsidR="005E71A1" w:rsidRPr="00B257D2">
        <w:rPr>
          <w:rFonts w:ascii="GT America Lt" w:eastAsia="Times New Roman" w:hAnsi="GT America Lt"/>
          <w:sz w:val="24"/>
          <w:szCs w:val="24"/>
        </w:rPr>
        <w:t xml:space="preserve"> to</w:t>
      </w:r>
      <w:r w:rsidRPr="00B257D2">
        <w:rPr>
          <w:rFonts w:ascii="GT America Lt" w:eastAsia="Times New Roman" w:hAnsi="GT America Lt"/>
          <w:sz w:val="24"/>
          <w:szCs w:val="24"/>
        </w:rPr>
        <w:t xml:space="preserve"> assert any entity merely having possession of consumer data is a CRA if there is an associated financial benefit to the entity, including data aggregators and data warehouses.</w:t>
      </w:r>
      <w:r w:rsidR="005E71A1" w:rsidRPr="00B257D2">
        <w:rPr>
          <w:rFonts w:ascii="GT America Lt" w:eastAsia="Times New Roman" w:hAnsi="GT America Lt"/>
          <w:sz w:val="24"/>
          <w:szCs w:val="24"/>
        </w:rPr>
        <w:t xml:space="preserve"> And the CFPB asserts that an entity would “assemble or evaluate” information if it uses “algorithms” to display information, even though at least one court has concluded that a company does not assemble or evaluate information when it uses an algorithm to present information to a user in a specific order</w:t>
      </w:r>
      <w:r w:rsidR="00693368" w:rsidRPr="00B257D2">
        <w:rPr>
          <w:rFonts w:ascii="GT America Lt" w:eastAsia="Times New Roman" w:hAnsi="GT America Lt"/>
          <w:sz w:val="24"/>
          <w:szCs w:val="24"/>
        </w:rPr>
        <w:t>.</w:t>
      </w:r>
      <w:r w:rsidR="005E71A1" w:rsidRPr="00B257D2">
        <w:rPr>
          <w:rStyle w:val="FootnoteReference"/>
          <w:rFonts w:ascii="GT America Lt" w:eastAsia="Times New Roman" w:hAnsi="GT America Lt"/>
          <w:sz w:val="24"/>
          <w:szCs w:val="24"/>
        </w:rPr>
        <w:footnoteReference w:id="17"/>
      </w:r>
      <w:r w:rsidRPr="00B257D2">
        <w:rPr>
          <w:rFonts w:ascii="GT America Lt" w:eastAsia="Times New Roman" w:hAnsi="GT America Lt"/>
          <w:sz w:val="24"/>
          <w:szCs w:val="24"/>
        </w:rPr>
        <w:t xml:space="preserve"> Not only does this </w:t>
      </w:r>
      <w:r w:rsidR="0091721C" w:rsidRPr="00B257D2">
        <w:rPr>
          <w:rFonts w:ascii="GT America Lt" w:eastAsia="Times New Roman" w:hAnsi="GT America Lt"/>
          <w:sz w:val="24"/>
          <w:szCs w:val="24"/>
        </w:rPr>
        <w:t xml:space="preserve">expansion </w:t>
      </w:r>
      <w:r w:rsidRPr="00B257D2">
        <w:rPr>
          <w:rFonts w:ascii="GT America Lt" w:eastAsia="Times New Roman" w:hAnsi="GT America Lt"/>
          <w:sz w:val="24"/>
          <w:szCs w:val="24"/>
        </w:rPr>
        <w:t xml:space="preserve">contradict the </w:t>
      </w:r>
      <w:r w:rsidR="00F36F3E" w:rsidRPr="00B257D2">
        <w:rPr>
          <w:rFonts w:ascii="GT America Lt" w:eastAsia="Times New Roman" w:hAnsi="GT America Lt"/>
          <w:sz w:val="24"/>
          <w:szCs w:val="24"/>
        </w:rPr>
        <w:t xml:space="preserve">letter </w:t>
      </w:r>
      <w:r w:rsidRPr="00B257D2">
        <w:rPr>
          <w:rFonts w:ascii="GT America Lt" w:eastAsia="Times New Roman" w:hAnsi="GT America Lt"/>
          <w:sz w:val="24"/>
          <w:szCs w:val="24"/>
        </w:rPr>
        <w:t>of the FCRA, but it also poses significant practical concerns. These entities simply do not function in a way that works with the FCRA’s requirements. And the FCRA was not designed to apply to such entities.</w:t>
      </w:r>
    </w:p>
    <w:p w14:paraId="6059F8CC" w14:textId="77777777" w:rsidR="00B257D2" w:rsidRPr="00B257D2" w:rsidRDefault="00B257D2" w:rsidP="00B257D2">
      <w:pPr>
        <w:spacing w:after="0" w:line="240" w:lineRule="auto"/>
        <w:ind w:firstLine="720"/>
        <w:rPr>
          <w:rFonts w:ascii="GT America Lt" w:eastAsia="Times New Roman" w:hAnsi="GT America Lt"/>
          <w:sz w:val="24"/>
          <w:szCs w:val="24"/>
        </w:rPr>
      </w:pPr>
    </w:p>
    <w:p w14:paraId="412E1888" w14:textId="77D1F8ED" w:rsidR="008B091C" w:rsidRDefault="00CB5137"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It is also unclear whether the Proposed Rule could</w:t>
      </w:r>
      <w:r w:rsidR="008B091C" w:rsidRPr="00B257D2">
        <w:rPr>
          <w:rFonts w:ascii="GT America Lt" w:eastAsia="Times New Roman" w:hAnsi="GT America Lt"/>
          <w:sz w:val="24"/>
          <w:szCs w:val="24"/>
        </w:rPr>
        <w:t xml:space="preserve"> apply to financial service providers when enacted alongside the CFPB’s final rule on Personal Financial Data </w:t>
      </w:r>
      <w:r w:rsidR="008B091C" w:rsidRPr="00B257D2">
        <w:rPr>
          <w:rFonts w:ascii="GT America Lt" w:eastAsia="Times New Roman" w:hAnsi="GT America Lt"/>
          <w:sz w:val="24"/>
          <w:szCs w:val="24"/>
        </w:rPr>
        <w:lastRenderedPageBreak/>
        <w:t>Rights.</w:t>
      </w:r>
      <w:r w:rsidR="00CF17A3" w:rsidRPr="00B257D2">
        <w:rPr>
          <w:rStyle w:val="FootnoteReference"/>
          <w:rFonts w:ascii="GT America Lt" w:eastAsia="Times New Roman" w:hAnsi="GT America Lt"/>
          <w:sz w:val="24"/>
          <w:szCs w:val="24"/>
        </w:rPr>
        <w:footnoteReference w:id="18"/>
      </w:r>
      <w:r w:rsidR="008B091C" w:rsidRPr="00B257D2">
        <w:rPr>
          <w:rFonts w:ascii="GT America Lt" w:eastAsia="Times New Roman" w:hAnsi="GT America Lt"/>
          <w:sz w:val="24"/>
          <w:szCs w:val="24"/>
        </w:rPr>
        <w:t xml:space="preserve"> Under that rule, financial service providers will be required to make consumer data available upon request—specifically, information about transactions, costs, charges, and uses—to third parties in accordance with a consumer request for that data. Under the Proposed Rule, information about a consumer’s credit history and debt payments would be considered a consumer report. The CFPB leaves unclear whether a financial service</w:t>
      </w:r>
      <w:r w:rsidR="005E71A1" w:rsidRPr="00B257D2">
        <w:rPr>
          <w:rFonts w:ascii="GT America Lt" w:eastAsia="Times New Roman" w:hAnsi="GT America Lt"/>
          <w:sz w:val="24"/>
          <w:szCs w:val="24"/>
        </w:rPr>
        <w:t>s</w:t>
      </w:r>
      <w:r w:rsidR="008B091C" w:rsidRPr="00B257D2">
        <w:rPr>
          <w:rFonts w:ascii="GT America Lt" w:eastAsia="Times New Roman" w:hAnsi="GT America Lt"/>
          <w:sz w:val="24"/>
          <w:szCs w:val="24"/>
        </w:rPr>
        <w:t xml:space="preserve"> provider complying with the Personal Financial Data Rights rule could become a CRA under the Proposed Rule. Expanding the FCRA to apply so broadly that financial service providers acting in the normal course of their business would become CRAs was certainly not the intent of Congress in enacting the FCRA.</w:t>
      </w:r>
    </w:p>
    <w:p w14:paraId="0B493CC4" w14:textId="77777777" w:rsidR="00B257D2" w:rsidRPr="00B257D2" w:rsidRDefault="00B257D2" w:rsidP="00B257D2">
      <w:pPr>
        <w:spacing w:after="0" w:line="240" w:lineRule="auto"/>
        <w:ind w:firstLine="720"/>
        <w:rPr>
          <w:rFonts w:ascii="GT America Lt" w:eastAsia="Times New Roman" w:hAnsi="GT America Lt"/>
          <w:sz w:val="24"/>
          <w:szCs w:val="24"/>
        </w:rPr>
      </w:pPr>
    </w:p>
    <w:p w14:paraId="206FEB28" w14:textId="4D478692" w:rsidR="008B091C" w:rsidRDefault="008B091C"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The Proposed Rule also mischaracterizes the FCRA as a far-reaching data privacy law. T</w:t>
      </w:r>
      <w:r w:rsidR="00BD0D1B" w:rsidRPr="00B257D2">
        <w:rPr>
          <w:rFonts w:ascii="GT America Lt" w:eastAsia="Times New Roman" w:hAnsi="GT America Lt"/>
          <w:sz w:val="24"/>
          <w:szCs w:val="24"/>
        </w:rPr>
        <w:t>o be sure, t</w:t>
      </w:r>
      <w:r w:rsidRPr="00B257D2">
        <w:rPr>
          <w:rFonts w:ascii="GT America Lt" w:eastAsia="Times New Roman" w:hAnsi="GT America Lt"/>
          <w:sz w:val="24"/>
          <w:szCs w:val="24"/>
        </w:rPr>
        <w:t xml:space="preserve">he FCRA has a data privacy component, but it is narrowly focused on consumer reporting that impacts a consumer’s eligibility for credit, insurance, employment, and other permissible purposes under the FCRA. The CFPB has not been vested with general authority by Congress to broadly regulate privacy. Establishing broadly applicable privacy </w:t>
      </w:r>
      <w:r w:rsidR="00BD0D1B" w:rsidRPr="00B257D2">
        <w:rPr>
          <w:rFonts w:ascii="GT America Lt" w:eastAsia="Times New Roman" w:hAnsi="GT America Lt"/>
          <w:sz w:val="24"/>
          <w:szCs w:val="24"/>
        </w:rPr>
        <w:t>requirements</w:t>
      </w:r>
      <w:r w:rsidRPr="00B257D2">
        <w:rPr>
          <w:rFonts w:ascii="GT America Lt" w:eastAsia="Times New Roman" w:hAnsi="GT America Lt"/>
          <w:sz w:val="24"/>
          <w:szCs w:val="24"/>
        </w:rPr>
        <w:t xml:space="preserve"> is </w:t>
      </w:r>
      <w:r w:rsidR="00BD0D1B" w:rsidRPr="00B257D2">
        <w:rPr>
          <w:rFonts w:ascii="GT America Lt" w:eastAsia="Times New Roman" w:hAnsi="GT America Lt"/>
          <w:sz w:val="24"/>
          <w:szCs w:val="24"/>
        </w:rPr>
        <w:t xml:space="preserve">a </w:t>
      </w:r>
      <w:r w:rsidRPr="00B257D2">
        <w:rPr>
          <w:rFonts w:ascii="GT America Lt" w:eastAsia="Times New Roman" w:hAnsi="GT America Lt"/>
          <w:sz w:val="24"/>
          <w:szCs w:val="24"/>
        </w:rPr>
        <w:t>major question reserved for Congress. The CFPB should not attempt to apply such a specifically targeted statute beyond its bounds, both because it lack</w:t>
      </w:r>
      <w:r w:rsidR="005E71A1" w:rsidRPr="00B257D2">
        <w:rPr>
          <w:rFonts w:ascii="GT America Lt" w:eastAsia="Times New Roman" w:hAnsi="GT America Lt"/>
          <w:sz w:val="24"/>
          <w:szCs w:val="24"/>
        </w:rPr>
        <w:t>s</w:t>
      </w:r>
      <w:r w:rsidRPr="00B257D2">
        <w:rPr>
          <w:rFonts w:ascii="GT America Lt" w:eastAsia="Times New Roman" w:hAnsi="GT America Lt"/>
          <w:sz w:val="24"/>
          <w:szCs w:val="24"/>
        </w:rPr>
        <w:t xml:space="preserve"> legal authority to do so and because poor policy outcomes are sure to follow any attempt to impose the highly tailored FCRA framework as a rule of more general application. </w:t>
      </w:r>
    </w:p>
    <w:p w14:paraId="69CACC2C" w14:textId="77777777" w:rsidR="00B257D2" w:rsidRPr="00B257D2" w:rsidRDefault="00B257D2" w:rsidP="00B257D2">
      <w:pPr>
        <w:spacing w:after="0" w:line="240" w:lineRule="auto"/>
        <w:ind w:firstLine="720"/>
        <w:rPr>
          <w:rFonts w:ascii="GT America Lt" w:eastAsia="Times New Roman" w:hAnsi="GT America Lt"/>
          <w:sz w:val="24"/>
          <w:szCs w:val="24"/>
        </w:rPr>
      </w:pPr>
    </w:p>
    <w:p w14:paraId="3090B387" w14:textId="53AFBEDF" w:rsidR="00F33ADA" w:rsidRDefault="00F33ADA"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The data broker industry is highly regulated, subject to the authority of multiple federal and state regulators.</w:t>
      </w:r>
      <w:r w:rsidRPr="00B257D2">
        <w:rPr>
          <w:rFonts w:ascii="GT America Lt" w:hAnsi="GT America Lt"/>
          <w:sz w:val="24"/>
          <w:szCs w:val="24"/>
        </w:rPr>
        <w:t xml:space="preserve"> </w:t>
      </w:r>
      <w:r w:rsidRPr="00B257D2">
        <w:rPr>
          <w:rFonts w:ascii="GT America Lt" w:eastAsia="Times New Roman" w:hAnsi="GT America Lt"/>
          <w:sz w:val="24"/>
          <w:szCs w:val="24"/>
        </w:rPr>
        <w:t>The CFPB plays an important, but limited, role in the regulation of certain segments of the data broker industry given its responsibility to implement</w:t>
      </w:r>
      <w:r w:rsidR="00195C44" w:rsidRPr="00B257D2">
        <w:rPr>
          <w:rFonts w:ascii="GT America Lt" w:eastAsia="Times New Roman" w:hAnsi="GT America Lt"/>
          <w:sz w:val="24"/>
          <w:szCs w:val="24"/>
        </w:rPr>
        <w:t xml:space="preserve"> the</w:t>
      </w:r>
      <w:r w:rsidRPr="00B257D2">
        <w:rPr>
          <w:rFonts w:ascii="GT America Lt" w:eastAsia="Times New Roman" w:hAnsi="GT America Lt"/>
          <w:sz w:val="24"/>
          <w:szCs w:val="24"/>
        </w:rPr>
        <w:t xml:space="preserve"> FCRA and the CFPA. However, the CFPB’s authority under</w:t>
      </w:r>
      <w:r w:rsidR="00195C44" w:rsidRPr="00B257D2">
        <w:rPr>
          <w:rFonts w:ascii="GT America Lt" w:eastAsia="Times New Roman" w:hAnsi="GT America Lt"/>
          <w:sz w:val="24"/>
          <w:szCs w:val="24"/>
        </w:rPr>
        <w:t xml:space="preserve"> the</w:t>
      </w:r>
      <w:r w:rsidRPr="00B257D2">
        <w:rPr>
          <w:rFonts w:ascii="GT America Lt" w:eastAsia="Times New Roman" w:hAnsi="GT America Lt"/>
          <w:sz w:val="24"/>
          <w:szCs w:val="24"/>
        </w:rPr>
        <w:t xml:space="preserve"> FCRA and the CFPA does not reach every company that sells any consumer data for any purpose.</w:t>
      </w:r>
      <w:r w:rsidR="0002719D" w:rsidRPr="00B257D2">
        <w:rPr>
          <w:rFonts w:ascii="GT America Lt" w:eastAsia="Times New Roman" w:hAnsi="GT America Lt"/>
          <w:sz w:val="24"/>
          <w:szCs w:val="24"/>
        </w:rPr>
        <w:t xml:space="preserve"> Indeed, Congress has declined to expand the CFPB’s authority in this manner despite having numerous opportunities to do so. The CFPB should respect this congressional intent.</w:t>
      </w:r>
    </w:p>
    <w:p w14:paraId="56F462F8" w14:textId="77777777" w:rsidR="00B257D2" w:rsidRPr="00B257D2" w:rsidRDefault="00B257D2" w:rsidP="00B257D2">
      <w:pPr>
        <w:spacing w:after="0" w:line="240" w:lineRule="auto"/>
        <w:ind w:firstLine="720"/>
        <w:rPr>
          <w:rFonts w:ascii="GT America Lt" w:eastAsia="Times New Roman" w:hAnsi="GT America Lt"/>
          <w:sz w:val="24"/>
          <w:szCs w:val="24"/>
        </w:rPr>
      </w:pPr>
    </w:p>
    <w:p w14:paraId="00AB84F1" w14:textId="6C85B05C" w:rsidR="00712C91" w:rsidRDefault="008B091C" w:rsidP="00B257D2">
      <w:pPr>
        <w:pStyle w:val="ListParagraph"/>
        <w:numPr>
          <w:ilvl w:val="1"/>
          <w:numId w:val="6"/>
        </w:numPr>
        <w:spacing w:after="0"/>
        <w:ind w:left="1440"/>
        <w:rPr>
          <w:rFonts w:ascii="GT America Lt" w:eastAsia="Times New Roman" w:hAnsi="GT America Lt"/>
          <w:sz w:val="24"/>
          <w:szCs w:val="24"/>
        </w:rPr>
      </w:pPr>
      <w:r w:rsidRPr="00B257D2">
        <w:rPr>
          <w:rFonts w:ascii="GT America Lt" w:eastAsia="Times New Roman" w:hAnsi="GT America Lt"/>
          <w:sz w:val="24"/>
          <w:szCs w:val="24"/>
        </w:rPr>
        <w:t xml:space="preserve">The Proposed Rule would ignore clear textual limitations Congress imposed in the FCRA. </w:t>
      </w:r>
    </w:p>
    <w:p w14:paraId="3C334707" w14:textId="77777777" w:rsidR="00B257D2" w:rsidRPr="00B257D2" w:rsidRDefault="00B257D2" w:rsidP="00B257D2">
      <w:pPr>
        <w:pStyle w:val="ListParagraph"/>
        <w:spacing w:after="0"/>
        <w:ind w:left="1440"/>
        <w:rPr>
          <w:rFonts w:ascii="GT America Lt" w:eastAsia="Times New Roman" w:hAnsi="GT America Lt"/>
          <w:sz w:val="24"/>
          <w:szCs w:val="24"/>
        </w:rPr>
      </w:pPr>
    </w:p>
    <w:p w14:paraId="4E19F760" w14:textId="1F349AB1" w:rsidR="00F46CAE" w:rsidRDefault="00900F29"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The CFPB</w:t>
      </w:r>
      <w:r w:rsidR="001D5687" w:rsidRPr="00B257D2">
        <w:rPr>
          <w:rFonts w:ascii="GT America Lt" w:eastAsia="Times New Roman" w:hAnsi="GT America Lt"/>
          <w:sz w:val="24"/>
          <w:szCs w:val="24"/>
        </w:rPr>
        <w:t>’s departure from the purpose of the FCRA is reflected in the Proposed Rule’s conflict with key provisions of the FCRA. For example, instead of following the statutory elements of the interrelated definitions of “consumer report” and “consumer reporting agency,” the CFPB selectively interprets certain words and phrases used in these definitions, without giving meaning or effect to other statutory language. This cherry</w:t>
      </w:r>
      <w:r w:rsidR="0048159B" w:rsidRPr="00B257D2">
        <w:rPr>
          <w:rFonts w:ascii="GT America Lt" w:eastAsia="Times New Roman" w:hAnsi="GT America Lt"/>
          <w:sz w:val="24"/>
          <w:szCs w:val="24"/>
        </w:rPr>
        <w:t>-</w:t>
      </w:r>
      <w:r w:rsidR="001D5687" w:rsidRPr="00B257D2">
        <w:rPr>
          <w:rFonts w:ascii="GT America Lt" w:eastAsia="Times New Roman" w:hAnsi="GT America Lt"/>
          <w:sz w:val="24"/>
          <w:szCs w:val="24"/>
        </w:rPr>
        <w:t xml:space="preserve">picking of the statutory language results in a Proposed Rule that </w:t>
      </w:r>
      <w:r w:rsidR="001D5687" w:rsidRPr="00B257D2">
        <w:rPr>
          <w:rFonts w:ascii="GT America Lt" w:eastAsia="Times New Roman" w:hAnsi="GT America Lt"/>
          <w:sz w:val="24"/>
          <w:szCs w:val="24"/>
        </w:rPr>
        <w:lastRenderedPageBreak/>
        <w:t xml:space="preserve">is arbitrary and capricious and contrary to established judicial interpretations of the FCRA. </w:t>
      </w:r>
      <w:r w:rsidR="003A48E2" w:rsidRPr="00B257D2">
        <w:rPr>
          <w:rFonts w:ascii="GT America Lt" w:eastAsia="Times New Roman" w:hAnsi="GT America Lt"/>
          <w:sz w:val="24"/>
          <w:szCs w:val="24"/>
        </w:rPr>
        <w:t xml:space="preserve">While the CFPB has general rulemaking authority </w:t>
      </w:r>
      <w:r w:rsidR="003A48E2" w:rsidRPr="00B257D2">
        <w:rPr>
          <w:rFonts w:ascii="GT America Lt" w:hAnsi="GT America Lt"/>
          <w:sz w:val="24"/>
          <w:szCs w:val="24"/>
        </w:rPr>
        <w:t>to prescribe rules “as may be necessary or appropriate to enable the [CFPB] to administer and carry out the purposes and objectives of” the FCRA,</w:t>
      </w:r>
      <w:r w:rsidR="003A48E2" w:rsidRPr="00B257D2">
        <w:rPr>
          <w:rStyle w:val="FootnoteReference"/>
          <w:rFonts w:ascii="GT America Lt" w:hAnsi="GT America Lt"/>
          <w:sz w:val="24"/>
          <w:szCs w:val="24"/>
        </w:rPr>
        <w:footnoteReference w:id="19"/>
      </w:r>
      <w:r w:rsidR="003A48E2" w:rsidRPr="00B257D2">
        <w:rPr>
          <w:rFonts w:ascii="GT America Lt" w:hAnsi="GT America Lt"/>
          <w:sz w:val="24"/>
          <w:szCs w:val="24"/>
        </w:rPr>
        <w:t xml:space="preserve"> </w:t>
      </w:r>
      <w:r w:rsidR="001D5687" w:rsidRPr="00B257D2">
        <w:rPr>
          <w:rFonts w:ascii="GT America Lt" w:hAnsi="GT America Lt"/>
          <w:sz w:val="24"/>
          <w:szCs w:val="24"/>
        </w:rPr>
        <w:t>that authority</w:t>
      </w:r>
      <w:r w:rsidR="003A48E2" w:rsidRPr="00B257D2">
        <w:rPr>
          <w:rFonts w:ascii="GT America Lt" w:hAnsi="GT America Lt"/>
          <w:sz w:val="24"/>
          <w:szCs w:val="24"/>
        </w:rPr>
        <w:t xml:space="preserve"> does not </w:t>
      </w:r>
      <w:r w:rsidR="001043F5" w:rsidRPr="00B257D2">
        <w:rPr>
          <w:rFonts w:ascii="GT America Lt" w:hAnsi="GT America Lt"/>
          <w:sz w:val="24"/>
          <w:szCs w:val="24"/>
        </w:rPr>
        <w:t xml:space="preserve">extend to </w:t>
      </w:r>
      <w:r w:rsidR="001D5687" w:rsidRPr="00B257D2">
        <w:rPr>
          <w:rFonts w:ascii="GT America Lt" w:hAnsi="GT America Lt"/>
          <w:sz w:val="24"/>
          <w:szCs w:val="24"/>
        </w:rPr>
        <w:t>rewriting the FCRA</w:t>
      </w:r>
      <w:r w:rsidR="003A48E2" w:rsidRPr="00B257D2">
        <w:rPr>
          <w:rFonts w:ascii="GT America Lt" w:hAnsi="GT America Lt"/>
          <w:sz w:val="24"/>
          <w:szCs w:val="24"/>
        </w:rPr>
        <w:t>.</w:t>
      </w:r>
      <w:r w:rsidR="003A48E2" w:rsidRPr="00B257D2">
        <w:rPr>
          <w:rStyle w:val="FootnoteReference"/>
          <w:rFonts w:ascii="GT America Lt" w:hAnsi="GT America Lt"/>
          <w:sz w:val="24"/>
          <w:szCs w:val="24"/>
        </w:rPr>
        <w:footnoteReference w:id="20"/>
      </w:r>
      <w:r w:rsidR="003A48E2" w:rsidRPr="00B257D2">
        <w:rPr>
          <w:rFonts w:ascii="GT America Lt" w:hAnsi="GT America Lt"/>
          <w:sz w:val="24"/>
          <w:szCs w:val="24"/>
        </w:rPr>
        <w:t xml:space="preserve"> The Proposed Rule </w:t>
      </w:r>
      <w:r w:rsidR="001D5687" w:rsidRPr="00B257D2">
        <w:rPr>
          <w:rFonts w:ascii="GT America Lt" w:hAnsi="GT America Lt"/>
          <w:sz w:val="24"/>
          <w:szCs w:val="24"/>
        </w:rPr>
        <w:t xml:space="preserve">consequently </w:t>
      </w:r>
      <w:r w:rsidR="003A48E2" w:rsidRPr="00B257D2">
        <w:rPr>
          <w:rFonts w:ascii="GT America Lt" w:hAnsi="GT America Lt"/>
          <w:sz w:val="24"/>
          <w:szCs w:val="24"/>
        </w:rPr>
        <w:t xml:space="preserve">would exceed the CFPB’s authority to promulgate regulations implementing the FCRA. </w:t>
      </w:r>
      <w:r w:rsidR="00536C90" w:rsidRPr="00B257D2">
        <w:rPr>
          <w:rFonts w:ascii="GT America Lt" w:eastAsia="Times New Roman" w:hAnsi="GT America Lt"/>
          <w:sz w:val="24"/>
          <w:szCs w:val="24"/>
        </w:rPr>
        <w:t xml:space="preserve"> </w:t>
      </w:r>
    </w:p>
    <w:p w14:paraId="16396273" w14:textId="77777777" w:rsidR="00B257D2" w:rsidRPr="00B257D2" w:rsidRDefault="00B257D2" w:rsidP="00B257D2">
      <w:pPr>
        <w:spacing w:after="0" w:line="240" w:lineRule="auto"/>
        <w:ind w:firstLine="720"/>
        <w:rPr>
          <w:rFonts w:ascii="GT America Lt" w:eastAsia="Times New Roman" w:hAnsi="GT America Lt"/>
          <w:sz w:val="24"/>
          <w:szCs w:val="24"/>
        </w:rPr>
      </w:pPr>
    </w:p>
    <w:p w14:paraId="79A81AA0" w14:textId="07876E1D" w:rsidR="007572BC" w:rsidRPr="00215756" w:rsidRDefault="004517C6" w:rsidP="00215756">
      <w:pPr>
        <w:pStyle w:val="ListParagraph"/>
        <w:numPr>
          <w:ilvl w:val="2"/>
          <w:numId w:val="2"/>
        </w:numPr>
        <w:spacing w:after="0"/>
        <w:rPr>
          <w:rFonts w:ascii="GT America Lt" w:eastAsia="Times New Roman" w:hAnsi="GT America Lt"/>
          <w:sz w:val="24"/>
          <w:szCs w:val="24"/>
        </w:rPr>
      </w:pPr>
      <w:r w:rsidRPr="00215756">
        <w:rPr>
          <w:rFonts w:ascii="GT America Lt" w:eastAsia="Times New Roman" w:hAnsi="GT America Lt"/>
          <w:sz w:val="24"/>
          <w:szCs w:val="24"/>
        </w:rPr>
        <w:t xml:space="preserve">The Proposed Rule </w:t>
      </w:r>
      <w:r w:rsidR="00923863" w:rsidRPr="00215756">
        <w:rPr>
          <w:rFonts w:ascii="GT America Lt" w:eastAsia="Times New Roman" w:hAnsi="GT America Lt"/>
          <w:sz w:val="24"/>
          <w:szCs w:val="24"/>
        </w:rPr>
        <w:t>would rewrite t</w:t>
      </w:r>
      <w:r w:rsidR="0011589E" w:rsidRPr="00215756">
        <w:rPr>
          <w:rFonts w:ascii="GT America Lt" w:eastAsia="Times New Roman" w:hAnsi="GT America Lt"/>
          <w:sz w:val="24"/>
          <w:szCs w:val="24"/>
        </w:rPr>
        <w:t xml:space="preserve">he </w:t>
      </w:r>
      <w:r w:rsidRPr="00215756">
        <w:rPr>
          <w:rFonts w:ascii="GT America Lt" w:eastAsia="Times New Roman" w:hAnsi="GT America Lt"/>
          <w:sz w:val="24"/>
          <w:szCs w:val="24"/>
        </w:rPr>
        <w:t>statutory definition of “c</w:t>
      </w:r>
      <w:r w:rsidR="007572BC" w:rsidRPr="00215756">
        <w:rPr>
          <w:rFonts w:ascii="GT America Lt" w:eastAsia="Times New Roman" w:hAnsi="GT America Lt"/>
          <w:sz w:val="24"/>
          <w:szCs w:val="24"/>
        </w:rPr>
        <w:t>onsumer report</w:t>
      </w:r>
      <w:r w:rsidRPr="00215756">
        <w:rPr>
          <w:rFonts w:ascii="GT America Lt" w:eastAsia="Times New Roman" w:hAnsi="GT America Lt"/>
          <w:sz w:val="24"/>
          <w:szCs w:val="24"/>
        </w:rPr>
        <w:t>.”</w:t>
      </w:r>
    </w:p>
    <w:p w14:paraId="592262E2" w14:textId="77777777" w:rsidR="00B257D2" w:rsidRPr="00B257D2" w:rsidRDefault="00B257D2" w:rsidP="00B257D2">
      <w:pPr>
        <w:pStyle w:val="ListParagraph"/>
        <w:spacing w:after="0"/>
        <w:ind w:left="2340"/>
        <w:rPr>
          <w:rFonts w:ascii="GT America Lt" w:eastAsia="Times New Roman" w:hAnsi="GT America Lt"/>
          <w:sz w:val="24"/>
          <w:szCs w:val="24"/>
        </w:rPr>
      </w:pPr>
    </w:p>
    <w:p w14:paraId="3DBB1254" w14:textId="12689975" w:rsidR="004935C6" w:rsidRDefault="00536C90"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 xml:space="preserve">A “consumer report” is defined in the FCRA as “communication of any information by a consumer reporting agency bearing on a consumer’s credit worthiness, credit standing, credit capacity, character, general reputation, personal characteristics, or mode of living </w:t>
      </w:r>
      <w:r w:rsidR="005224ED" w:rsidRPr="00B257D2">
        <w:rPr>
          <w:rFonts w:ascii="GT America Lt" w:eastAsia="Times New Roman" w:hAnsi="GT America Lt"/>
          <w:sz w:val="24"/>
          <w:szCs w:val="24"/>
        </w:rPr>
        <w:t xml:space="preserve">(the “enumerated factors”) </w:t>
      </w:r>
      <w:r w:rsidRPr="00B257D2">
        <w:rPr>
          <w:rFonts w:ascii="GT America Lt" w:eastAsia="Times New Roman" w:hAnsi="GT America Lt"/>
          <w:sz w:val="24"/>
          <w:szCs w:val="24"/>
        </w:rPr>
        <w:t>which is used or expected to be used or collected in whole or in part for</w:t>
      </w:r>
      <w:r w:rsidR="001D5687" w:rsidRPr="00B257D2">
        <w:rPr>
          <w:rFonts w:ascii="GT America Lt" w:eastAsia="Times New Roman" w:hAnsi="GT America Lt"/>
          <w:sz w:val="24"/>
          <w:szCs w:val="24"/>
        </w:rPr>
        <w:t>” a permissible purpose—i.e., “</w:t>
      </w:r>
      <w:r w:rsidRPr="00B257D2">
        <w:rPr>
          <w:rFonts w:ascii="GT America Lt" w:eastAsia="Times New Roman" w:hAnsi="GT America Lt"/>
          <w:sz w:val="24"/>
          <w:szCs w:val="24"/>
        </w:rPr>
        <w:t>the purpose of serving as a factor in establishing the consumer’s eligibility for—(A) credit or insurance to be used primarily for personal, family, or household purposes; (B) employment purposes; or (C) any other purpose authorized under section 1681b.”</w:t>
      </w:r>
      <w:r w:rsidRPr="00B257D2">
        <w:rPr>
          <w:rStyle w:val="FootnoteReference"/>
          <w:rFonts w:ascii="GT America Lt" w:eastAsia="Times New Roman" w:hAnsi="GT America Lt"/>
          <w:sz w:val="24"/>
          <w:szCs w:val="24"/>
        </w:rPr>
        <w:footnoteReference w:id="21"/>
      </w:r>
      <w:r w:rsidRPr="00B257D2">
        <w:rPr>
          <w:rFonts w:ascii="GT America Lt" w:eastAsia="Times New Roman" w:hAnsi="GT America Lt"/>
          <w:sz w:val="24"/>
          <w:szCs w:val="24"/>
        </w:rPr>
        <w:t xml:space="preserve"> </w:t>
      </w:r>
    </w:p>
    <w:p w14:paraId="66675F53" w14:textId="77777777" w:rsidR="00B257D2" w:rsidRPr="00B257D2" w:rsidRDefault="00B257D2" w:rsidP="00B257D2">
      <w:pPr>
        <w:spacing w:after="0" w:line="240" w:lineRule="auto"/>
        <w:ind w:firstLine="720"/>
        <w:rPr>
          <w:rFonts w:ascii="GT America Lt" w:eastAsia="Times New Roman" w:hAnsi="GT America Lt"/>
          <w:sz w:val="24"/>
          <w:szCs w:val="24"/>
        </w:rPr>
      </w:pPr>
    </w:p>
    <w:p w14:paraId="656E4FAA" w14:textId="417A1D39" w:rsidR="00F0133B" w:rsidRDefault="00536C90"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The Proposed Rule disregards the limitation in the definition of “consumer report” that the communication of the information must be collected</w:t>
      </w:r>
      <w:r w:rsidR="00F46CAE" w:rsidRPr="00B257D2">
        <w:rPr>
          <w:rFonts w:ascii="GT America Lt" w:eastAsia="Times New Roman" w:hAnsi="GT America Lt"/>
          <w:sz w:val="24"/>
          <w:szCs w:val="24"/>
        </w:rPr>
        <w:t xml:space="preserve">, </w:t>
      </w:r>
      <w:r w:rsidRPr="00B257D2">
        <w:rPr>
          <w:rFonts w:ascii="GT America Lt" w:eastAsia="Times New Roman" w:hAnsi="GT America Lt"/>
          <w:sz w:val="24"/>
          <w:szCs w:val="24"/>
        </w:rPr>
        <w:t>used</w:t>
      </w:r>
      <w:r w:rsidR="00F46CAE" w:rsidRPr="00B257D2">
        <w:rPr>
          <w:rFonts w:ascii="GT America Lt" w:eastAsia="Times New Roman" w:hAnsi="GT America Lt"/>
          <w:sz w:val="24"/>
          <w:szCs w:val="24"/>
        </w:rPr>
        <w:t>, or expected to be used</w:t>
      </w:r>
      <w:r w:rsidRPr="00B257D2">
        <w:rPr>
          <w:rFonts w:ascii="GT America Lt" w:eastAsia="Times New Roman" w:hAnsi="GT America Lt"/>
          <w:sz w:val="24"/>
          <w:szCs w:val="24"/>
        </w:rPr>
        <w:t xml:space="preserve"> for a permissible purpose</w:t>
      </w:r>
      <w:r w:rsidR="001043F5" w:rsidRPr="00B257D2">
        <w:rPr>
          <w:rFonts w:ascii="GT America Lt" w:eastAsia="Times New Roman" w:hAnsi="GT America Lt"/>
          <w:sz w:val="24"/>
          <w:szCs w:val="24"/>
        </w:rPr>
        <w:t>.</w:t>
      </w:r>
      <w:r w:rsidR="00F0133B" w:rsidRPr="00B257D2">
        <w:rPr>
          <w:rFonts w:ascii="GT America Lt" w:eastAsia="Times New Roman" w:hAnsi="GT America Lt"/>
          <w:sz w:val="24"/>
          <w:szCs w:val="24"/>
        </w:rPr>
        <w:t xml:space="preserve"> </w:t>
      </w:r>
      <w:r w:rsidR="001043F5" w:rsidRPr="00B257D2">
        <w:rPr>
          <w:rFonts w:ascii="GT America Lt" w:eastAsia="Times New Roman" w:hAnsi="GT America Lt"/>
          <w:sz w:val="24"/>
          <w:szCs w:val="24"/>
        </w:rPr>
        <w:t xml:space="preserve">The Proposed Rule </w:t>
      </w:r>
      <w:r w:rsidR="007F48E3" w:rsidRPr="00B257D2">
        <w:rPr>
          <w:rFonts w:ascii="GT America Lt" w:eastAsia="Times New Roman" w:hAnsi="GT America Lt"/>
          <w:sz w:val="24"/>
          <w:szCs w:val="24"/>
        </w:rPr>
        <w:t xml:space="preserve">instead </w:t>
      </w:r>
      <w:r w:rsidR="001043F5" w:rsidRPr="00B257D2">
        <w:rPr>
          <w:rFonts w:ascii="GT America Lt" w:eastAsia="Times New Roman" w:hAnsi="GT America Lt"/>
          <w:sz w:val="24"/>
          <w:szCs w:val="24"/>
        </w:rPr>
        <w:t>mandates</w:t>
      </w:r>
      <w:r w:rsidR="00F0133B" w:rsidRPr="00B257D2">
        <w:rPr>
          <w:rFonts w:ascii="GT America Lt" w:eastAsia="Times New Roman" w:hAnsi="GT America Lt"/>
          <w:sz w:val="24"/>
          <w:szCs w:val="24"/>
        </w:rPr>
        <w:t xml:space="preserve"> that four categories of information (credit history, credit score, debt payments, or income or financial tier) are </w:t>
      </w:r>
      <w:r w:rsidR="00F0133B" w:rsidRPr="00B257D2">
        <w:rPr>
          <w:rFonts w:ascii="GT America Lt" w:eastAsia="Times New Roman" w:hAnsi="GT America Lt"/>
          <w:i/>
          <w:iCs/>
          <w:sz w:val="24"/>
          <w:szCs w:val="24"/>
        </w:rPr>
        <w:t>always</w:t>
      </w:r>
      <w:r w:rsidR="00F0133B" w:rsidRPr="00B257D2">
        <w:rPr>
          <w:rFonts w:ascii="GT America Lt" w:eastAsia="Times New Roman" w:hAnsi="GT America Lt"/>
          <w:sz w:val="24"/>
          <w:szCs w:val="24"/>
        </w:rPr>
        <w:t xml:space="preserve"> consumer reports, regardless of the actual purpose for which the information was collected, used, or expected to be used. </w:t>
      </w:r>
      <w:r w:rsidR="007F48E3" w:rsidRPr="00B257D2">
        <w:rPr>
          <w:rFonts w:ascii="GT America Lt" w:eastAsia="Times New Roman" w:hAnsi="GT America Lt"/>
          <w:sz w:val="24"/>
          <w:szCs w:val="24"/>
        </w:rPr>
        <w:t>The CFPB may not ignore the limitations in t</w:t>
      </w:r>
      <w:r w:rsidRPr="00B257D2">
        <w:rPr>
          <w:rFonts w:ascii="GT America Lt" w:eastAsia="Times New Roman" w:hAnsi="GT America Lt"/>
          <w:sz w:val="24"/>
          <w:szCs w:val="24"/>
        </w:rPr>
        <w:t xml:space="preserve">he statutory definition </w:t>
      </w:r>
      <w:r w:rsidR="00F0133B" w:rsidRPr="00B257D2">
        <w:rPr>
          <w:rFonts w:ascii="GT America Lt" w:eastAsia="Times New Roman" w:hAnsi="GT America Lt"/>
          <w:sz w:val="24"/>
          <w:szCs w:val="24"/>
        </w:rPr>
        <w:t xml:space="preserve">of “consumer report” </w:t>
      </w:r>
      <w:r w:rsidR="007F48E3" w:rsidRPr="00B257D2">
        <w:rPr>
          <w:rFonts w:ascii="GT America Lt" w:eastAsia="Times New Roman" w:hAnsi="GT America Lt"/>
          <w:sz w:val="24"/>
          <w:szCs w:val="24"/>
        </w:rPr>
        <w:t>in this manner</w:t>
      </w:r>
      <w:r w:rsidRPr="00B257D2">
        <w:rPr>
          <w:rFonts w:ascii="GT America Lt" w:eastAsia="Times New Roman" w:hAnsi="GT America Lt"/>
          <w:sz w:val="24"/>
          <w:szCs w:val="24"/>
        </w:rPr>
        <w:t>.</w:t>
      </w:r>
      <w:r w:rsidR="00F46CAE" w:rsidRPr="00B257D2">
        <w:rPr>
          <w:rFonts w:ascii="GT America Lt" w:eastAsia="Times New Roman" w:hAnsi="GT America Lt"/>
          <w:sz w:val="24"/>
          <w:szCs w:val="24"/>
        </w:rPr>
        <w:t xml:space="preserve"> </w:t>
      </w:r>
    </w:p>
    <w:p w14:paraId="50C69871" w14:textId="77777777" w:rsidR="00B257D2" w:rsidRPr="00B257D2" w:rsidRDefault="00B257D2" w:rsidP="00B257D2">
      <w:pPr>
        <w:spacing w:after="0" w:line="240" w:lineRule="auto"/>
        <w:ind w:firstLine="720"/>
        <w:rPr>
          <w:rFonts w:ascii="GT America Lt" w:eastAsia="Times New Roman" w:hAnsi="GT America Lt"/>
          <w:sz w:val="24"/>
          <w:szCs w:val="24"/>
        </w:rPr>
      </w:pPr>
    </w:p>
    <w:p w14:paraId="0CEAD473" w14:textId="142509EA" w:rsidR="00F0133B" w:rsidRDefault="00F0133B" w:rsidP="00B257D2">
      <w:pPr>
        <w:widowControl w:val="0"/>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 xml:space="preserve">The CFPB similarly </w:t>
      </w:r>
      <w:r w:rsidR="007F48E3" w:rsidRPr="00B257D2">
        <w:rPr>
          <w:rFonts w:ascii="GT America Lt" w:eastAsia="Times New Roman" w:hAnsi="GT America Lt"/>
          <w:sz w:val="24"/>
          <w:szCs w:val="24"/>
        </w:rPr>
        <w:t>ignores limitations imposed by the</w:t>
      </w:r>
      <w:r w:rsidRPr="00B257D2">
        <w:rPr>
          <w:rFonts w:ascii="GT America Lt" w:eastAsia="Times New Roman" w:hAnsi="GT America Lt"/>
          <w:sz w:val="24"/>
          <w:szCs w:val="24"/>
        </w:rPr>
        <w:t xml:space="preserve"> FCRA by mandating that credit header data collected by a CRA in whole or in part for the purpose of preparing a consumer report is a consumer report, regardless of whether the information is used or expected to be used for FCRA permissible purposes and whether the data bears on any of the enumerated factors. </w:t>
      </w:r>
      <w:r w:rsidR="007F48E3" w:rsidRPr="00B257D2">
        <w:rPr>
          <w:rFonts w:ascii="GT America Lt" w:eastAsia="Times New Roman" w:hAnsi="GT America Lt"/>
          <w:sz w:val="24"/>
          <w:szCs w:val="24"/>
        </w:rPr>
        <w:t>In doing so, t</w:t>
      </w:r>
      <w:r w:rsidR="001043F5" w:rsidRPr="00B257D2">
        <w:rPr>
          <w:rFonts w:ascii="GT America Lt" w:eastAsia="Times New Roman" w:hAnsi="GT America Lt"/>
          <w:sz w:val="24"/>
          <w:szCs w:val="24"/>
        </w:rPr>
        <w:t>he Proposed Rule contradicts decades of guidance</w:t>
      </w:r>
      <w:r w:rsidR="00A04E74" w:rsidRPr="00B257D2">
        <w:rPr>
          <w:rFonts w:ascii="GT America Lt" w:eastAsia="Times New Roman" w:hAnsi="GT America Lt"/>
          <w:sz w:val="24"/>
          <w:szCs w:val="24"/>
        </w:rPr>
        <w:t xml:space="preserve"> from t</w:t>
      </w:r>
      <w:r w:rsidRPr="00B257D2">
        <w:rPr>
          <w:rFonts w:ascii="GT America Lt" w:eastAsia="Times New Roman" w:hAnsi="GT America Lt"/>
          <w:sz w:val="24"/>
          <w:szCs w:val="24"/>
        </w:rPr>
        <w:t xml:space="preserve">he Federal Trade Commission (“FTC”), which implemented Regulation V prior to the </w:t>
      </w:r>
      <w:r w:rsidR="00A04E74" w:rsidRPr="00B257D2">
        <w:rPr>
          <w:rFonts w:ascii="GT America Lt" w:eastAsia="Times New Roman" w:hAnsi="GT America Lt"/>
          <w:sz w:val="24"/>
          <w:szCs w:val="24"/>
        </w:rPr>
        <w:t>creation of the CFPB</w:t>
      </w:r>
      <w:r w:rsidR="001043F5" w:rsidRPr="00B257D2">
        <w:rPr>
          <w:rFonts w:ascii="GT America Lt" w:eastAsia="Times New Roman" w:hAnsi="GT America Lt"/>
          <w:sz w:val="24"/>
          <w:szCs w:val="24"/>
        </w:rPr>
        <w:t>,</w:t>
      </w:r>
      <w:r w:rsidR="00A04E74" w:rsidRPr="00B257D2">
        <w:rPr>
          <w:rFonts w:ascii="GT America Lt" w:eastAsia="Times New Roman" w:hAnsi="GT America Lt"/>
          <w:sz w:val="24"/>
          <w:szCs w:val="24"/>
        </w:rPr>
        <w:t xml:space="preserve"> and </w:t>
      </w:r>
      <w:r w:rsidR="001043F5" w:rsidRPr="00B257D2">
        <w:rPr>
          <w:rFonts w:ascii="GT America Lt" w:eastAsia="Times New Roman" w:hAnsi="GT America Lt"/>
          <w:sz w:val="24"/>
          <w:szCs w:val="24"/>
        </w:rPr>
        <w:t>prior court decisions</w:t>
      </w:r>
      <w:r w:rsidR="00A04E74" w:rsidRPr="00B257D2">
        <w:rPr>
          <w:rFonts w:ascii="GT America Lt" w:eastAsia="Times New Roman" w:hAnsi="GT America Lt"/>
          <w:sz w:val="24"/>
          <w:szCs w:val="24"/>
        </w:rPr>
        <w:t xml:space="preserve">. Notably, the FTC </w:t>
      </w:r>
      <w:r w:rsidR="001043F5" w:rsidRPr="00B257D2">
        <w:rPr>
          <w:rFonts w:ascii="GT America Lt" w:eastAsia="Times New Roman" w:hAnsi="GT America Lt"/>
          <w:sz w:val="24"/>
          <w:szCs w:val="24"/>
        </w:rPr>
        <w:t>guidance provides</w:t>
      </w:r>
      <w:r w:rsidR="00D0103E" w:rsidRPr="00B257D2">
        <w:rPr>
          <w:rFonts w:ascii="GT America Lt" w:eastAsia="Times New Roman" w:hAnsi="GT America Lt"/>
          <w:sz w:val="24"/>
          <w:szCs w:val="24"/>
        </w:rPr>
        <w:t>:</w:t>
      </w:r>
      <w:r w:rsidR="00A04E74" w:rsidRPr="00B257D2">
        <w:rPr>
          <w:rFonts w:ascii="GT America Lt" w:eastAsia="Times New Roman" w:hAnsi="GT America Lt"/>
          <w:sz w:val="24"/>
          <w:szCs w:val="24"/>
        </w:rPr>
        <w:t xml:space="preserve"> “When viewed against the FCRA’s statutory purpose of protecting the privacy of personal credit information, we find that the ‘bearing on’ limitation, set forth in Section 603(d) excludes from the FCRA’s definition of consumer report certain predominantly identifying information including: name, mother’s maiden name, </w:t>
      </w:r>
      <w:r w:rsidR="00A04E74" w:rsidRPr="00B257D2">
        <w:rPr>
          <w:rFonts w:ascii="GT America Lt" w:eastAsia="Times New Roman" w:hAnsi="GT America Lt"/>
          <w:sz w:val="24"/>
          <w:szCs w:val="24"/>
        </w:rPr>
        <w:lastRenderedPageBreak/>
        <w:t>generational designator, telephone number, and social security number.”</w:t>
      </w:r>
      <w:r w:rsidR="00A04E74" w:rsidRPr="00B257D2">
        <w:rPr>
          <w:rStyle w:val="FootnoteReference"/>
          <w:rFonts w:ascii="GT America Lt" w:eastAsia="Times New Roman" w:hAnsi="GT America Lt"/>
          <w:sz w:val="24"/>
          <w:szCs w:val="24"/>
        </w:rPr>
        <w:footnoteReference w:id="22"/>
      </w:r>
      <w:r w:rsidR="00A04E74" w:rsidRPr="00B257D2">
        <w:rPr>
          <w:rFonts w:ascii="GT America Lt" w:eastAsia="Times New Roman" w:hAnsi="GT America Lt"/>
          <w:sz w:val="24"/>
          <w:szCs w:val="24"/>
        </w:rPr>
        <w:t xml:space="preserve"> </w:t>
      </w:r>
      <w:r w:rsidR="005B0E7F" w:rsidRPr="00B257D2">
        <w:rPr>
          <w:rFonts w:ascii="GT America Lt" w:eastAsia="Times New Roman" w:hAnsi="GT America Lt"/>
          <w:sz w:val="24"/>
          <w:szCs w:val="24"/>
        </w:rPr>
        <w:t>Courts</w:t>
      </w:r>
      <w:r w:rsidR="00A04E74" w:rsidRPr="00B257D2">
        <w:rPr>
          <w:rFonts w:ascii="GT America Lt" w:eastAsia="Times New Roman" w:hAnsi="GT America Lt"/>
          <w:sz w:val="24"/>
          <w:szCs w:val="24"/>
        </w:rPr>
        <w:t xml:space="preserve"> have </w:t>
      </w:r>
      <w:r w:rsidR="00BD0D1B" w:rsidRPr="00B257D2">
        <w:rPr>
          <w:rFonts w:ascii="GT America Lt" w:eastAsia="Times New Roman" w:hAnsi="GT America Lt"/>
          <w:sz w:val="24"/>
          <w:szCs w:val="24"/>
        </w:rPr>
        <w:t xml:space="preserve">agreed </w:t>
      </w:r>
      <w:r w:rsidR="005B0E7F" w:rsidRPr="00B257D2">
        <w:rPr>
          <w:rFonts w:ascii="GT America Lt" w:eastAsia="Times New Roman" w:hAnsi="GT America Lt"/>
          <w:sz w:val="24"/>
          <w:szCs w:val="24"/>
        </w:rPr>
        <w:t>with this guidance for decades</w:t>
      </w:r>
      <w:r w:rsidR="00A04E74" w:rsidRPr="00B257D2">
        <w:rPr>
          <w:rFonts w:ascii="GT America Lt" w:eastAsia="Times New Roman" w:hAnsi="GT America Lt"/>
          <w:sz w:val="24"/>
          <w:szCs w:val="24"/>
        </w:rPr>
        <w:t>.</w:t>
      </w:r>
      <w:r w:rsidR="00A04E74" w:rsidRPr="00B257D2">
        <w:rPr>
          <w:rStyle w:val="FootnoteReference"/>
          <w:rFonts w:ascii="GT America Lt" w:eastAsia="Times New Roman" w:hAnsi="GT America Lt"/>
          <w:sz w:val="24"/>
          <w:szCs w:val="24"/>
        </w:rPr>
        <w:footnoteReference w:id="23"/>
      </w:r>
      <w:r w:rsidR="001043F5" w:rsidRPr="00B257D2">
        <w:rPr>
          <w:rFonts w:ascii="GT America Lt" w:eastAsia="Times New Roman" w:hAnsi="GT America Lt"/>
          <w:sz w:val="24"/>
          <w:szCs w:val="24"/>
        </w:rPr>
        <w:t xml:space="preserve"> </w:t>
      </w:r>
      <w:r w:rsidR="0070289B" w:rsidRPr="00B257D2">
        <w:rPr>
          <w:rFonts w:ascii="GT America Lt" w:eastAsia="Times New Roman" w:hAnsi="GT America Lt"/>
          <w:sz w:val="24"/>
          <w:szCs w:val="24"/>
        </w:rPr>
        <w:t xml:space="preserve">The definition of “consumer report” </w:t>
      </w:r>
      <w:r w:rsidR="0037076B" w:rsidRPr="00B257D2">
        <w:rPr>
          <w:rFonts w:ascii="GT America Lt" w:eastAsia="Times New Roman" w:hAnsi="GT America Lt"/>
          <w:sz w:val="24"/>
          <w:szCs w:val="24"/>
        </w:rPr>
        <w:t>put forward by</w:t>
      </w:r>
      <w:r w:rsidR="0070289B" w:rsidRPr="00B257D2">
        <w:rPr>
          <w:rFonts w:ascii="GT America Lt" w:eastAsia="Times New Roman" w:hAnsi="GT America Lt"/>
          <w:sz w:val="24"/>
          <w:szCs w:val="24"/>
        </w:rPr>
        <w:t xml:space="preserve"> the Proposed Rule </w:t>
      </w:r>
      <w:r w:rsidR="0037076B" w:rsidRPr="00B257D2">
        <w:rPr>
          <w:rFonts w:ascii="GT America Lt" w:eastAsia="Times New Roman" w:hAnsi="GT America Lt"/>
          <w:sz w:val="24"/>
          <w:szCs w:val="24"/>
        </w:rPr>
        <w:t>clearly</w:t>
      </w:r>
      <w:r w:rsidR="000E0203" w:rsidRPr="00B257D2">
        <w:rPr>
          <w:rFonts w:ascii="GT America Lt" w:eastAsia="Times New Roman" w:hAnsi="GT America Lt"/>
          <w:sz w:val="24"/>
          <w:szCs w:val="24"/>
        </w:rPr>
        <w:t xml:space="preserve"> </w:t>
      </w:r>
      <w:r w:rsidR="0070289B" w:rsidRPr="00B257D2">
        <w:rPr>
          <w:rFonts w:ascii="GT America Lt" w:eastAsia="Times New Roman" w:hAnsi="GT America Lt"/>
          <w:sz w:val="24"/>
          <w:szCs w:val="24"/>
        </w:rPr>
        <w:t xml:space="preserve">contradicts the FCRA. However, even if the </w:t>
      </w:r>
      <w:r w:rsidR="000E0203" w:rsidRPr="00B257D2">
        <w:rPr>
          <w:rFonts w:ascii="GT America Lt" w:eastAsia="Times New Roman" w:hAnsi="GT America Lt"/>
          <w:sz w:val="24"/>
          <w:szCs w:val="24"/>
        </w:rPr>
        <w:t>definition of “consumer report” in the FCRA was ambiguous, the CFPB’s interpretation in the Proposed Rule is not the best reading of the statute, particularly when compared to interpretations in court decisions and FTC guidance</w:t>
      </w:r>
      <w:r w:rsidR="008233E1" w:rsidRPr="00B257D2">
        <w:rPr>
          <w:rFonts w:ascii="GT America Lt" w:eastAsia="Times New Roman" w:hAnsi="GT America Lt"/>
          <w:sz w:val="24"/>
          <w:szCs w:val="24"/>
        </w:rPr>
        <w:t>. As a result, the CFPB’s interpretation will not be afforded deference</w:t>
      </w:r>
      <w:r w:rsidR="00195134" w:rsidRPr="00B257D2">
        <w:rPr>
          <w:rFonts w:ascii="GT America Lt" w:eastAsia="Times New Roman" w:hAnsi="GT America Lt"/>
          <w:sz w:val="24"/>
          <w:szCs w:val="24"/>
        </w:rPr>
        <w:t xml:space="preserve">. Rather, </w:t>
      </w:r>
      <w:r w:rsidR="008233E1" w:rsidRPr="00B257D2">
        <w:rPr>
          <w:rFonts w:ascii="GT America Lt" w:eastAsia="Times New Roman" w:hAnsi="GT America Lt"/>
          <w:sz w:val="24"/>
          <w:szCs w:val="24"/>
        </w:rPr>
        <w:t xml:space="preserve">courts would likely </w:t>
      </w:r>
      <w:r w:rsidR="00AC0339" w:rsidRPr="00B257D2">
        <w:rPr>
          <w:rFonts w:ascii="GT America Lt" w:eastAsia="Times New Roman" w:hAnsi="GT America Lt"/>
          <w:sz w:val="24"/>
          <w:szCs w:val="24"/>
        </w:rPr>
        <w:t>concur with prior court decisions and FTC guidance on the definition</w:t>
      </w:r>
      <w:r w:rsidR="000E0203" w:rsidRPr="00B257D2">
        <w:rPr>
          <w:rFonts w:ascii="GT America Lt" w:eastAsia="Times New Roman" w:hAnsi="GT America Lt"/>
          <w:sz w:val="24"/>
          <w:szCs w:val="24"/>
        </w:rPr>
        <w:t xml:space="preserve"> </w:t>
      </w:r>
      <w:r w:rsidR="00195134" w:rsidRPr="00B257D2">
        <w:rPr>
          <w:rFonts w:ascii="GT America Lt" w:eastAsia="Times New Roman" w:hAnsi="GT America Lt"/>
          <w:sz w:val="24"/>
          <w:szCs w:val="24"/>
        </w:rPr>
        <w:t>and</w:t>
      </w:r>
      <w:r w:rsidR="000E0203" w:rsidRPr="00B257D2">
        <w:rPr>
          <w:rFonts w:ascii="GT America Lt" w:eastAsia="Times New Roman" w:hAnsi="GT America Lt"/>
          <w:sz w:val="24"/>
          <w:szCs w:val="24"/>
        </w:rPr>
        <w:t xml:space="preserve"> overturn</w:t>
      </w:r>
      <w:r w:rsidR="008233E1" w:rsidRPr="00B257D2">
        <w:rPr>
          <w:rFonts w:ascii="GT America Lt" w:eastAsia="Times New Roman" w:hAnsi="GT America Lt"/>
          <w:sz w:val="24"/>
          <w:szCs w:val="24"/>
        </w:rPr>
        <w:t xml:space="preserve"> the Proposed Rule.</w:t>
      </w:r>
      <w:r w:rsidR="00AC0339" w:rsidRPr="00B257D2">
        <w:rPr>
          <w:rStyle w:val="FootnoteReference"/>
          <w:rFonts w:ascii="GT America Lt" w:eastAsia="Times New Roman" w:hAnsi="GT America Lt"/>
          <w:sz w:val="24"/>
          <w:szCs w:val="24"/>
        </w:rPr>
        <w:footnoteReference w:id="24"/>
      </w:r>
    </w:p>
    <w:p w14:paraId="51E4875D" w14:textId="77777777" w:rsidR="00B257D2" w:rsidRPr="00B257D2" w:rsidRDefault="00B257D2" w:rsidP="00B257D2">
      <w:pPr>
        <w:widowControl w:val="0"/>
        <w:spacing w:after="0" w:line="240" w:lineRule="auto"/>
        <w:ind w:firstLine="720"/>
        <w:rPr>
          <w:rFonts w:ascii="GT America Lt" w:eastAsia="Times New Roman" w:hAnsi="GT America Lt"/>
          <w:sz w:val="24"/>
          <w:szCs w:val="24"/>
        </w:rPr>
      </w:pPr>
    </w:p>
    <w:p w14:paraId="5C9F6C9A" w14:textId="1D76CC49" w:rsidR="004517C6" w:rsidRDefault="004517C6"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 xml:space="preserve">The three alternatives proposed with respect to de-identified data </w:t>
      </w:r>
      <w:r w:rsidR="001A3290" w:rsidRPr="00B257D2">
        <w:rPr>
          <w:rFonts w:ascii="GT America Lt" w:eastAsia="Times New Roman" w:hAnsi="GT America Lt"/>
          <w:sz w:val="24"/>
          <w:szCs w:val="24"/>
        </w:rPr>
        <w:t xml:space="preserve">also </w:t>
      </w:r>
      <w:r w:rsidR="007F48E3" w:rsidRPr="00B257D2">
        <w:rPr>
          <w:rFonts w:ascii="GT America Lt" w:eastAsia="Times New Roman" w:hAnsi="GT America Lt"/>
          <w:sz w:val="24"/>
          <w:szCs w:val="24"/>
        </w:rPr>
        <w:t>would rewrite how</w:t>
      </w:r>
      <w:r w:rsidRPr="00B257D2">
        <w:rPr>
          <w:rFonts w:ascii="GT America Lt" w:eastAsia="Times New Roman" w:hAnsi="GT America Lt"/>
          <w:sz w:val="24"/>
          <w:szCs w:val="24"/>
        </w:rPr>
        <w:t xml:space="preserve"> “consumer report</w:t>
      </w:r>
      <w:r w:rsidR="007F48E3" w:rsidRPr="00B257D2">
        <w:rPr>
          <w:rFonts w:ascii="GT America Lt" w:eastAsia="Times New Roman" w:hAnsi="GT America Lt"/>
          <w:sz w:val="24"/>
          <w:szCs w:val="24"/>
        </w:rPr>
        <w:t>s</w:t>
      </w:r>
      <w:r w:rsidRPr="00B257D2">
        <w:rPr>
          <w:rFonts w:ascii="GT America Lt" w:eastAsia="Times New Roman" w:hAnsi="GT America Lt"/>
          <w:sz w:val="24"/>
          <w:szCs w:val="24"/>
        </w:rPr>
        <w:t xml:space="preserve">” </w:t>
      </w:r>
      <w:r w:rsidR="007F48E3" w:rsidRPr="00B257D2">
        <w:rPr>
          <w:rFonts w:ascii="GT America Lt" w:eastAsia="Times New Roman" w:hAnsi="GT America Lt"/>
          <w:sz w:val="24"/>
          <w:szCs w:val="24"/>
        </w:rPr>
        <w:t xml:space="preserve">are treated by </w:t>
      </w:r>
      <w:r w:rsidRPr="00B257D2">
        <w:rPr>
          <w:rFonts w:ascii="GT America Lt" w:eastAsia="Times New Roman" w:hAnsi="GT America Lt"/>
          <w:sz w:val="24"/>
          <w:szCs w:val="24"/>
        </w:rPr>
        <w:t xml:space="preserve">the FCRA. </w:t>
      </w:r>
      <w:r w:rsidR="006B4783" w:rsidRPr="00B257D2">
        <w:rPr>
          <w:rFonts w:ascii="GT America Lt" w:eastAsia="Times New Roman" w:hAnsi="GT America Lt"/>
          <w:sz w:val="24"/>
          <w:szCs w:val="24"/>
        </w:rPr>
        <w:t xml:space="preserve">As one option, the </w:t>
      </w:r>
      <w:r w:rsidRPr="00B257D2">
        <w:rPr>
          <w:rFonts w:ascii="GT America Lt" w:eastAsia="Times New Roman" w:hAnsi="GT America Lt"/>
          <w:sz w:val="24"/>
          <w:szCs w:val="24"/>
        </w:rPr>
        <w:t xml:space="preserve">CFPB proposes to treat </w:t>
      </w:r>
      <w:r w:rsidR="006B4783" w:rsidRPr="00B257D2">
        <w:rPr>
          <w:rFonts w:ascii="GT America Lt" w:eastAsia="Times New Roman" w:hAnsi="GT America Lt"/>
          <w:sz w:val="24"/>
          <w:szCs w:val="24"/>
        </w:rPr>
        <w:t xml:space="preserve">all </w:t>
      </w:r>
      <w:r w:rsidRPr="00B257D2">
        <w:rPr>
          <w:rFonts w:ascii="GT America Lt" w:eastAsia="Times New Roman" w:hAnsi="GT America Lt"/>
          <w:sz w:val="24"/>
          <w:szCs w:val="24"/>
        </w:rPr>
        <w:t xml:space="preserve">de-identified consumer report data as a consumer report if it </w:t>
      </w:r>
      <w:r w:rsidR="006B4783" w:rsidRPr="00B257D2">
        <w:rPr>
          <w:rFonts w:ascii="GT America Lt" w:eastAsia="Times New Roman" w:hAnsi="GT America Lt"/>
          <w:sz w:val="24"/>
          <w:szCs w:val="24"/>
        </w:rPr>
        <w:t>was collected for the purpose of preparing a consumer report</w:t>
      </w:r>
      <w:r w:rsidRPr="00B257D2">
        <w:rPr>
          <w:rFonts w:ascii="GT America Lt" w:eastAsia="Times New Roman" w:hAnsi="GT America Lt"/>
          <w:sz w:val="24"/>
          <w:szCs w:val="24"/>
        </w:rPr>
        <w:t xml:space="preserve">. This proposal to treat de-identified consumer report data as a consumer report contradicts the </w:t>
      </w:r>
      <w:r w:rsidR="007F48E3" w:rsidRPr="00B257D2">
        <w:rPr>
          <w:rFonts w:ascii="GT America Lt" w:eastAsia="Times New Roman" w:hAnsi="GT America Lt"/>
          <w:sz w:val="24"/>
          <w:szCs w:val="24"/>
        </w:rPr>
        <w:t xml:space="preserve">FCRA’s </w:t>
      </w:r>
      <w:r w:rsidRPr="00B257D2">
        <w:rPr>
          <w:rFonts w:ascii="GT America Lt" w:eastAsia="Times New Roman" w:hAnsi="GT America Lt"/>
          <w:sz w:val="24"/>
          <w:szCs w:val="24"/>
        </w:rPr>
        <w:t xml:space="preserve">requirement that a consumer report must relate to a specific consumer. </w:t>
      </w:r>
      <w:r w:rsidR="005E71A1" w:rsidRPr="00B257D2">
        <w:rPr>
          <w:rFonts w:ascii="GT America Lt" w:eastAsia="Times New Roman" w:hAnsi="GT America Lt"/>
          <w:sz w:val="24"/>
          <w:szCs w:val="24"/>
        </w:rPr>
        <w:t xml:space="preserve">The CFPB does not have authority to excise statutory elements to expand the scope of the </w:t>
      </w:r>
      <w:r w:rsidR="005E71A1" w:rsidRPr="00B257D2">
        <w:rPr>
          <w:rFonts w:ascii="GT America Lt" w:eastAsia="Times New Roman" w:hAnsi="GT America Lt"/>
          <w:sz w:val="24"/>
          <w:szCs w:val="24"/>
        </w:rPr>
        <w:lastRenderedPageBreak/>
        <w:t xml:space="preserve">regulation far beyond what Congress intended to regulate with the FCRA. </w:t>
      </w:r>
      <w:r w:rsidRPr="00B257D2">
        <w:rPr>
          <w:rFonts w:ascii="GT America Lt" w:eastAsia="Times New Roman" w:hAnsi="GT America Lt"/>
          <w:sz w:val="24"/>
          <w:szCs w:val="24"/>
        </w:rPr>
        <w:t>A</w:t>
      </w:r>
      <w:r w:rsidR="005E71A1" w:rsidRPr="00B257D2">
        <w:rPr>
          <w:rFonts w:ascii="GT America Lt" w:eastAsia="Times New Roman" w:hAnsi="GT America Lt"/>
          <w:sz w:val="24"/>
          <w:szCs w:val="24"/>
        </w:rPr>
        <w:t>nd a</w:t>
      </w:r>
      <w:r w:rsidRPr="00B257D2">
        <w:rPr>
          <w:rFonts w:ascii="GT America Lt" w:eastAsia="Times New Roman" w:hAnsi="GT America Lt"/>
          <w:sz w:val="24"/>
          <w:szCs w:val="24"/>
        </w:rPr>
        <w:t xml:space="preserve">gain, the Proposed Rule contradicts established FTC guidance </w:t>
      </w:r>
      <w:r w:rsidR="00923863" w:rsidRPr="00B257D2">
        <w:rPr>
          <w:rFonts w:ascii="GT America Lt" w:eastAsia="Times New Roman" w:hAnsi="GT America Lt"/>
          <w:sz w:val="24"/>
          <w:szCs w:val="24"/>
        </w:rPr>
        <w:t>that</w:t>
      </w:r>
      <w:r w:rsidRPr="00B257D2">
        <w:rPr>
          <w:rFonts w:ascii="GT America Lt" w:eastAsia="Times New Roman" w:hAnsi="GT America Lt"/>
          <w:sz w:val="24"/>
          <w:szCs w:val="24"/>
        </w:rPr>
        <w:t xml:space="preserve"> de-identified data is not a consumer report if it is not reasonably linkable to the consumer.</w:t>
      </w:r>
      <w:r w:rsidRPr="00B257D2">
        <w:rPr>
          <w:rStyle w:val="FootnoteReference"/>
          <w:rFonts w:ascii="GT America Lt" w:eastAsia="Times New Roman" w:hAnsi="GT America Lt"/>
          <w:sz w:val="24"/>
          <w:szCs w:val="24"/>
        </w:rPr>
        <w:footnoteReference w:id="25"/>
      </w:r>
    </w:p>
    <w:p w14:paraId="2AE5CEC4" w14:textId="77777777" w:rsidR="00B257D2" w:rsidRPr="00B257D2" w:rsidRDefault="00B257D2" w:rsidP="00B257D2">
      <w:pPr>
        <w:spacing w:after="0" w:line="240" w:lineRule="auto"/>
        <w:ind w:firstLine="720"/>
        <w:rPr>
          <w:rFonts w:ascii="GT America Lt" w:eastAsia="Times New Roman" w:hAnsi="GT America Lt"/>
          <w:sz w:val="24"/>
          <w:szCs w:val="24"/>
        </w:rPr>
      </w:pPr>
    </w:p>
    <w:p w14:paraId="48DDE26B" w14:textId="319619C7" w:rsidR="007572BC" w:rsidRDefault="007572BC"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The CFPB also proposes to treat consumer reporting agencies as “furnish[</w:t>
      </w:r>
      <w:proofErr w:type="spellStart"/>
      <w:r w:rsidRPr="00B257D2">
        <w:rPr>
          <w:rFonts w:ascii="GT America Lt" w:eastAsia="Times New Roman" w:hAnsi="GT America Lt"/>
          <w:sz w:val="24"/>
          <w:szCs w:val="24"/>
        </w:rPr>
        <w:t>ing</w:t>
      </w:r>
      <w:proofErr w:type="spellEnd"/>
      <w:r w:rsidRPr="00B257D2">
        <w:rPr>
          <w:rFonts w:ascii="GT America Lt" w:eastAsia="Times New Roman" w:hAnsi="GT America Lt"/>
          <w:sz w:val="24"/>
          <w:szCs w:val="24"/>
        </w:rPr>
        <w:t>]” a consumer report even when an agency does not communicate any consumer data to a third party. This proposal ignores the requirement that a “consumer report” must involve a “communication” of information by a consumer reporting agency.</w:t>
      </w:r>
      <w:r w:rsidR="006B4783" w:rsidRPr="00B257D2">
        <w:rPr>
          <w:rFonts w:ascii="GT America Lt" w:eastAsia="Times New Roman" w:hAnsi="GT America Lt"/>
          <w:sz w:val="24"/>
          <w:szCs w:val="24"/>
        </w:rPr>
        <w:t xml:space="preserve"> It also ignores the ordinary meaning of “furnish”: to “supply” or “provide” something.</w:t>
      </w:r>
      <w:r w:rsidR="006B4783" w:rsidRPr="00B257D2">
        <w:rPr>
          <w:rStyle w:val="FootnoteReference"/>
          <w:rFonts w:ascii="GT America Lt" w:eastAsia="Times New Roman" w:hAnsi="GT America Lt"/>
          <w:sz w:val="24"/>
          <w:szCs w:val="24"/>
        </w:rPr>
        <w:footnoteReference w:id="26"/>
      </w:r>
      <w:r w:rsidR="006B4783" w:rsidRPr="00B257D2">
        <w:rPr>
          <w:rFonts w:ascii="GT America Lt" w:eastAsia="Times New Roman" w:hAnsi="GT America Lt"/>
          <w:sz w:val="24"/>
          <w:szCs w:val="24"/>
        </w:rPr>
        <w:t xml:space="preserve"> When an entity “facilitates a person’s use of the consumer report for that person’s financial gain” but does not actually transfer information, the entity has not supplied or provided the consumer report at all</w:t>
      </w:r>
      <w:r w:rsidR="00F73921" w:rsidRPr="00B257D2">
        <w:rPr>
          <w:rFonts w:ascii="GT America Lt" w:eastAsia="Times New Roman" w:hAnsi="GT America Lt"/>
          <w:sz w:val="24"/>
          <w:szCs w:val="24"/>
        </w:rPr>
        <w:t>—and therefore has not furnish</w:t>
      </w:r>
      <w:r w:rsidR="000E0203" w:rsidRPr="00B257D2">
        <w:rPr>
          <w:rFonts w:ascii="GT America Lt" w:eastAsia="Times New Roman" w:hAnsi="GT America Lt"/>
          <w:sz w:val="24"/>
          <w:szCs w:val="24"/>
        </w:rPr>
        <w:t>ed</w:t>
      </w:r>
      <w:r w:rsidR="00F73921" w:rsidRPr="00B257D2">
        <w:rPr>
          <w:rFonts w:ascii="GT America Lt" w:eastAsia="Times New Roman" w:hAnsi="GT America Lt"/>
          <w:sz w:val="24"/>
          <w:szCs w:val="24"/>
        </w:rPr>
        <w:t xml:space="preserve"> it, contrary to the </w:t>
      </w:r>
      <w:r w:rsidR="000E0203" w:rsidRPr="00B257D2">
        <w:rPr>
          <w:rFonts w:ascii="GT America Lt" w:eastAsia="Times New Roman" w:hAnsi="GT America Lt"/>
          <w:sz w:val="24"/>
          <w:szCs w:val="24"/>
        </w:rPr>
        <w:t>P</w:t>
      </w:r>
      <w:r w:rsidR="00F73921" w:rsidRPr="00B257D2">
        <w:rPr>
          <w:rFonts w:ascii="GT America Lt" w:eastAsia="Times New Roman" w:hAnsi="GT America Lt"/>
          <w:sz w:val="24"/>
          <w:szCs w:val="24"/>
        </w:rPr>
        <w:t xml:space="preserve">roposed </w:t>
      </w:r>
      <w:r w:rsidR="000E0203" w:rsidRPr="00B257D2">
        <w:rPr>
          <w:rFonts w:ascii="GT America Lt" w:eastAsia="Times New Roman" w:hAnsi="GT America Lt"/>
          <w:sz w:val="24"/>
          <w:szCs w:val="24"/>
        </w:rPr>
        <w:t>R</w:t>
      </w:r>
      <w:r w:rsidR="00F73921" w:rsidRPr="00B257D2">
        <w:rPr>
          <w:rFonts w:ascii="GT America Lt" w:eastAsia="Times New Roman" w:hAnsi="GT America Lt"/>
          <w:sz w:val="24"/>
          <w:szCs w:val="24"/>
        </w:rPr>
        <w:t>ule.</w:t>
      </w:r>
    </w:p>
    <w:p w14:paraId="425DE459" w14:textId="77777777" w:rsidR="00B257D2" w:rsidRPr="00B257D2" w:rsidRDefault="00B257D2" w:rsidP="00B257D2">
      <w:pPr>
        <w:spacing w:after="0" w:line="240" w:lineRule="auto"/>
        <w:ind w:firstLine="720"/>
        <w:rPr>
          <w:rFonts w:ascii="GT America Lt" w:eastAsia="Times New Roman" w:hAnsi="GT America Lt"/>
          <w:sz w:val="24"/>
          <w:szCs w:val="24"/>
        </w:rPr>
      </w:pPr>
    </w:p>
    <w:p w14:paraId="70826361" w14:textId="1460A19B" w:rsidR="007572BC" w:rsidRDefault="004517C6" w:rsidP="00B257D2">
      <w:pPr>
        <w:pStyle w:val="ListParagraph"/>
        <w:numPr>
          <w:ilvl w:val="2"/>
          <w:numId w:val="2"/>
        </w:numPr>
        <w:spacing w:after="0"/>
        <w:rPr>
          <w:rFonts w:ascii="GT America Lt" w:eastAsia="Times New Roman" w:hAnsi="GT America Lt"/>
          <w:sz w:val="24"/>
          <w:szCs w:val="24"/>
        </w:rPr>
      </w:pPr>
      <w:r w:rsidRPr="00B257D2">
        <w:rPr>
          <w:rFonts w:ascii="GT America Lt" w:eastAsia="Times New Roman" w:hAnsi="GT America Lt"/>
          <w:sz w:val="24"/>
          <w:szCs w:val="24"/>
        </w:rPr>
        <w:t xml:space="preserve">The Proposed Rule </w:t>
      </w:r>
      <w:r w:rsidR="00923863" w:rsidRPr="00B257D2">
        <w:rPr>
          <w:rFonts w:ascii="GT America Lt" w:eastAsia="Times New Roman" w:hAnsi="GT America Lt"/>
          <w:sz w:val="24"/>
          <w:szCs w:val="24"/>
        </w:rPr>
        <w:t xml:space="preserve">would rewrite </w:t>
      </w:r>
      <w:r w:rsidR="0011589E" w:rsidRPr="00B257D2">
        <w:rPr>
          <w:rFonts w:ascii="GT America Lt" w:eastAsia="Times New Roman" w:hAnsi="GT America Lt"/>
          <w:sz w:val="24"/>
          <w:szCs w:val="24"/>
        </w:rPr>
        <w:t xml:space="preserve">the </w:t>
      </w:r>
      <w:r w:rsidRPr="00B257D2">
        <w:rPr>
          <w:rFonts w:ascii="GT America Lt" w:eastAsia="Times New Roman" w:hAnsi="GT America Lt"/>
          <w:sz w:val="24"/>
          <w:szCs w:val="24"/>
        </w:rPr>
        <w:t>statutory definition of “c</w:t>
      </w:r>
      <w:r w:rsidR="007572BC" w:rsidRPr="00B257D2">
        <w:rPr>
          <w:rFonts w:ascii="GT America Lt" w:eastAsia="Times New Roman" w:hAnsi="GT America Lt"/>
          <w:sz w:val="24"/>
          <w:szCs w:val="24"/>
        </w:rPr>
        <w:t>onsumer reporting agency</w:t>
      </w:r>
      <w:r w:rsidRPr="00B257D2">
        <w:rPr>
          <w:rFonts w:ascii="GT America Lt" w:eastAsia="Times New Roman" w:hAnsi="GT America Lt"/>
          <w:sz w:val="24"/>
          <w:szCs w:val="24"/>
        </w:rPr>
        <w:t>.”</w:t>
      </w:r>
    </w:p>
    <w:p w14:paraId="5F2D6461" w14:textId="77777777" w:rsidR="00B257D2" w:rsidRPr="00B257D2" w:rsidRDefault="00B257D2" w:rsidP="00B257D2">
      <w:pPr>
        <w:pStyle w:val="ListParagraph"/>
        <w:spacing w:after="0"/>
        <w:ind w:left="2340"/>
        <w:rPr>
          <w:rFonts w:ascii="GT America Lt" w:eastAsia="Times New Roman" w:hAnsi="GT America Lt"/>
          <w:sz w:val="24"/>
          <w:szCs w:val="24"/>
        </w:rPr>
      </w:pPr>
    </w:p>
    <w:p w14:paraId="6D35E95B" w14:textId="4219F233" w:rsidR="001043F5" w:rsidRDefault="00536C90"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 xml:space="preserve">A </w:t>
      </w:r>
      <w:r w:rsidR="005E71A1" w:rsidRPr="00B257D2">
        <w:rPr>
          <w:rFonts w:ascii="GT America Lt" w:eastAsia="Times New Roman" w:hAnsi="GT America Lt"/>
          <w:sz w:val="24"/>
          <w:szCs w:val="24"/>
        </w:rPr>
        <w:t>“</w:t>
      </w:r>
      <w:r w:rsidRPr="00B257D2">
        <w:rPr>
          <w:rFonts w:ascii="GT America Lt" w:eastAsia="Times New Roman" w:hAnsi="GT America Lt"/>
          <w:sz w:val="24"/>
          <w:szCs w:val="24"/>
        </w:rPr>
        <w:t>consumer reporting agency</w:t>
      </w:r>
      <w:r w:rsidR="005E71A1" w:rsidRPr="00B257D2">
        <w:rPr>
          <w:rFonts w:ascii="GT America Lt" w:eastAsia="Times New Roman" w:hAnsi="GT America Lt"/>
          <w:sz w:val="24"/>
          <w:szCs w:val="24"/>
        </w:rPr>
        <w:t>” is defined in the FCRA as a person</w:t>
      </w:r>
      <w:r w:rsidRPr="00B257D2">
        <w:rPr>
          <w:rFonts w:ascii="GT America Lt" w:eastAsia="Times New Roman" w:hAnsi="GT America Lt"/>
          <w:sz w:val="24"/>
          <w:szCs w:val="24"/>
        </w:rPr>
        <w:t xml:space="preserve"> who “</w:t>
      </w:r>
      <w:r w:rsidRPr="00B257D2">
        <w:rPr>
          <w:rFonts w:ascii="GT America Lt" w:eastAsia="Times New Roman" w:hAnsi="GT America Lt"/>
          <w:i/>
          <w:iCs/>
          <w:sz w:val="24"/>
          <w:szCs w:val="24"/>
        </w:rPr>
        <w:t>regularly</w:t>
      </w:r>
      <w:r w:rsidRPr="00B257D2">
        <w:rPr>
          <w:rFonts w:ascii="GT America Lt" w:eastAsia="Times New Roman" w:hAnsi="GT America Lt"/>
          <w:sz w:val="24"/>
          <w:szCs w:val="24"/>
        </w:rPr>
        <w:t xml:space="preserve"> engages in whole or in part in the practice of assembling or evaluating consumer credit information or other information on consumers </w:t>
      </w:r>
      <w:r w:rsidRPr="00B257D2">
        <w:rPr>
          <w:rFonts w:ascii="GT America Lt" w:eastAsia="Times New Roman" w:hAnsi="GT America Lt"/>
          <w:i/>
          <w:iCs/>
          <w:sz w:val="24"/>
          <w:szCs w:val="24"/>
        </w:rPr>
        <w:t>for the purpose</w:t>
      </w:r>
      <w:r w:rsidRPr="00B257D2">
        <w:rPr>
          <w:rFonts w:ascii="GT America Lt" w:eastAsia="Times New Roman" w:hAnsi="GT America Lt"/>
          <w:sz w:val="24"/>
          <w:szCs w:val="24"/>
        </w:rPr>
        <w:t xml:space="preserve"> of furnishing consumer reports to third parties.”</w:t>
      </w:r>
      <w:r w:rsidRPr="00B257D2">
        <w:rPr>
          <w:rStyle w:val="FootnoteReference"/>
          <w:rFonts w:ascii="GT America Lt" w:eastAsia="Times New Roman" w:hAnsi="GT America Lt"/>
          <w:sz w:val="24"/>
          <w:szCs w:val="24"/>
        </w:rPr>
        <w:footnoteReference w:id="27"/>
      </w:r>
      <w:r w:rsidR="00EE10C4" w:rsidRPr="00B257D2">
        <w:rPr>
          <w:rFonts w:ascii="GT America Lt" w:eastAsia="Times New Roman" w:hAnsi="GT America Lt"/>
          <w:sz w:val="24"/>
          <w:szCs w:val="24"/>
        </w:rPr>
        <w:t xml:space="preserve"> The Proposed Rule ignores the qualifiers that a CRA must regularly engage in such activities for the purpose of furnishing consumer reports. Rather, the CFPB proposes to treat data brokers </w:t>
      </w:r>
      <w:r w:rsidR="00EE2DCC" w:rsidRPr="00B257D2">
        <w:rPr>
          <w:rFonts w:ascii="GT America Lt" w:eastAsia="Times New Roman" w:hAnsi="GT America Lt"/>
          <w:sz w:val="24"/>
          <w:szCs w:val="24"/>
        </w:rPr>
        <w:t>as CRAs</w:t>
      </w:r>
      <w:r w:rsidR="00EE10C4" w:rsidRPr="00B257D2">
        <w:rPr>
          <w:rFonts w:ascii="GT America Lt" w:eastAsia="Times New Roman" w:hAnsi="GT America Lt"/>
          <w:sz w:val="24"/>
          <w:szCs w:val="24"/>
        </w:rPr>
        <w:t xml:space="preserve"> based on a single misuse of data by a single recipient for a</w:t>
      </w:r>
      <w:r w:rsidR="00E31BC7" w:rsidRPr="00B257D2">
        <w:rPr>
          <w:rFonts w:ascii="GT America Lt" w:eastAsia="Times New Roman" w:hAnsi="GT America Lt"/>
          <w:sz w:val="24"/>
          <w:szCs w:val="24"/>
        </w:rPr>
        <w:t>n</w:t>
      </w:r>
      <w:r w:rsidR="00EE10C4" w:rsidRPr="00B257D2">
        <w:rPr>
          <w:rFonts w:ascii="GT America Lt" w:eastAsia="Times New Roman" w:hAnsi="GT America Lt"/>
          <w:sz w:val="24"/>
          <w:szCs w:val="24"/>
        </w:rPr>
        <w:t xml:space="preserve"> FCRA permissible purpose</w:t>
      </w:r>
      <w:r w:rsidR="003E3D0E" w:rsidRPr="00B257D2">
        <w:rPr>
          <w:rFonts w:ascii="GT America Lt" w:eastAsia="Times New Roman" w:hAnsi="GT America Lt"/>
          <w:sz w:val="24"/>
          <w:szCs w:val="24"/>
        </w:rPr>
        <w:t>, regardless of whether the data broker intended or even knew that the information would be used for such a purpose</w:t>
      </w:r>
      <w:r w:rsidR="00EE10C4" w:rsidRPr="00B257D2">
        <w:rPr>
          <w:rFonts w:ascii="GT America Lt" w:eastAsia="Times New Roman" w:hAnsi="GT America Lt"/>
          <w:sz w:val="24"/>
          <w:szCs w:val="24"/>
        </w:rPr>
        <w:t xml:space="preserve">. </w:t>
      </w:r>
    </w:p>
    <w:p w14:paraId="617965EA" w14:textId="77777777" w:rsidR="00B257D2" w:rsidRPr="00B257D2" w:rsidRDefault="00B257D2" w:rsidP="00B257D2">
      <w:pPr>
        <w:spacing w:after="0" w:line="240" w:lineRule="auto"/>
        <w:ind w:firstLine="720"/>
        <w:rPr>
          <w:rFonts w:ascii="GT America Lt" w:eastAsia="Times New Roman" w:hAnsi="GT America Lt"/>
          <w:sz w:val="24"/>
          <w:szCs w:val="24"/>
        </w:rPr>
      </w:pPr>
    </w:p>
    <w:p w14:paraId="000905DA" w14:textId="419DE194" w:rsidR="00923863" w:rsidRDefault="001043F5" w:rsidP="00B257D2">
      <w:pPr>
        <w:spacing w:after="0" w:line="240" w:lineRule="auto"/>
        <w:ind w:firstLine="720"/>
        <w:rPr>
          <w:rFonts w:ascii="GT America Lt" w:eastAsia="Times New Roman" w:hAnsi="GT America Lt"/>
          <w:sz w:val="24"/>
          <w:szCs w:val="24"/>
        </w:rPr>
      </w:pPr>
      <w:r w:rsidRPr="00B257D2">
        <w:rPr>
          <w:rFonts w:ascii="GT America Lt" w:eastAsia="Times New Roman" w:hAnsi="GT America Lt"/>
          <w:sz w:val="24"/>
          <w:szCs w:val="24"/>
        </w:rPr>
        <w:t>T</w:t>
      </w:r>
      <w:r w:rsidR="00923863" w:rsidRPr="00B257D2">
        <w:rPr>
          <w:rFonts w:ascii="GT America Lt" w:eastAsia="Times New Roman" w:hAnsi="GT America Lt"/>
          <w:sz w:val="24"/>
          <w:szCs w:val="24"/>
        </w:rPr>
        <w:t>he CFPB’s approach contradicts settled case law</w:t>
      </w:r>
      <w:r w:rsidR="004935C6" w:rsidRPr="00B257D2">
        <w:rPr>
          <w:rFonts w:ascii="GT America Lt" w:eastAsia="Times New Roman" w:hAnsi="GT America Lt"/>
          <w:sz w:val="24"/>
          <w:szCs w:val="24"/>
        </w:rPr>
        <w:t xml:space="preserve">. </w:t>
      </w:r>
      <w:r w:rsidRPr="00B257D2">
        <w:rPr>
          <w:rFonts w:ascii="GT America Lt" w:eastAsia="Times New Roman" w:hAnsi="GT America Lt"/>
          <w:sz w:val="24"/>
          <w:szCs w:val="24"/>
        </w:rPr>
        <w:t>C</w:t>
      </w:r>
      <w:r w:rsidR="003E3D0E" w:rsidRPr="00B257D2">
        <w:rPr>
          <w:rFonts w:ascii="GT America Lt" w:eastAsia="Times New Roman" w:hAnsi="GT America Lt"/>
          <w:sz w:val="24"/>
          <w:szCs w:val="24"/>
        </w:rPr>
        <w:t xml:space="preserve">ourts have considered the statutory definition of “consumer reporting agency” and confirmed that, per the ordinary meaning of the statutory text, “[a] ‘consumer reporting agency’ is an entity that </w:t>
      </w:r>
      <w:r w:rsidR="003E3D0E" w:rsidRPr="00B257D2">
        <w:rPr>
          <w:rFonts w:ascii="GT America Lt" w:eastAsia="Times New Roman" w:hAnsi="GT America Lt"/>
          <w:i/>
          <w:iCs/>
          <w:sz w:val="24"/>
          <w:szCs w:val="24"/>
        </w:rPr>
        <w:t xml:space="preserve">intends </w:t>
      </w:r>
      <w:r w:rsidR="003E3D0E" w:rsidRPr="00B257D2">
        <w:rPr>
          <w:rFonts w:ascii="GT America Lt" w:eastAsia="Times New Roman" w:hAnsi="GT America Lt"/>
          <w:sz w:val="24"/>
          <w:szCs w:val="24"/>
        </w:rPr>
        <w:t>the information it furnishes to constitute a ‘consumer report.</w:t>
      </w:r>
      <w:r w:rsidR="00693368" w:rsidRPr="00B257D2">
        <w:rPr>
          <w:rFonts w:ascii="GT America Lt" w:eastAsia="Times New Roman" w:hAnsi="GT America Lt"/>
          <w:sz w:val="24"/>
          <w:szCs w:val="24"/>
        </w:rPr>
        <w:t>’”</w:t>
      </w:r>
      <w:r w:rsidR="003E3D0E" w:rsidRPr="00B257D2">
        <w:rPr>
          <w:rStyle w:val="FootnoteReference"/>
          <w:rFonts w:ascii="GT America Lt" w:eastAsia="Times New Roman" w:hAnsi="GT America Lt"/>
          <w:sz w:val="24"/>
          <w:szCs w:val="24"/>
        </w:rPr>
        <w:footnoteReference w:id="28"/>
      </w:r>
      <w:r w:rsidR="003E3D0E" w:rsidRPr="00B257D2">
        <w:rPr>
          <w:rFonts w:ascii="GT America Lt" w:eastAsia="Times New Roman" w:hAnsi="GT America Lt"/>
          <w:sz w:val="24"/>
          <w:szCs w:val="24"/>
        </w:rPr>
        <w:t xml:space="preserve"> </w:t>
      </w:r>
      <w:r w:rsidR="009C10FA" w:rsidRPr="00B257D2">
        <w:rPr>
          <w:rFonts w:ascii="GT America Lt" w:eastAsia="Times New Roman" w:hAnsi="GT America Lt"/>
          <w:sz w:val="24"/>
          <w:szCs w:val="24"/>
        </w:rPr>
        <w:t>T</w:t>
      </w:r>
      <w:r w:rsidR="005B0E7F" w:rsidRPr="00B257D2">
        <w:rPr>
          <w:rFonts w:ascii="GT America Lt" w:eastAsia="Times New Roman" w:hAnsi="GT America Lt"/>
          <w:sz w:val="24"/>
          <w:szCs w:val="24"/>
        </w:rPr>
        <w:t>h</w:t>
      </w:r>
      <w:r w:rsidR="00EE2DCC" w:rsidRPr="00B257D2">
        <w:rPr>
          <w:rFonts w:ascii="GT America Lt" w:eastAsia="Times New Roman" w:hAnsi="GT America Lt"/>
          <w:sz w:val="24"/>
          <w:szCs w:val="24"/>
        </w:rPr>
        <w:t>e</w:t>
      </w:r>
      <w:r w:rsidR="003E3D0E" w:rsidRPr="00B257D2">
        <w:rPr>
          <w:rFonts w:ascii="GT America Lt" w:eastAsia="Times New Roman" w:hAnsi="GT America Lt"/>
          <w:sz w:val="24"/>
          <w:szCs w:val="24"/>
        </w:rPr>
        <w:t xml:space="preserve"> Ninth Circuit</w:t>
      </w:r>
      <w:r w:rsidR="005B0E7F" w:rsidRPr="00B257D2">
        <w:rPr>
          <w:rFonts w:ascii="GT America Lt" w:eastAsia="Times New Roman" w:hAnsi="GT America Lt"/>
          <w:sz w:val="24"/>
          <w:szCs w:val="24"/>
        </w:rPr>
        <w:t xml:space="preserve"> has specifically held that </w:t>
      </w:r>
      <w:r w:rsidR="009C10FA" w:rsidRPr="00B257D2">
        <w:rPr>
          <w:rFonts w:ascii="GT America Lt" w:eastAsia="Times New Roman" w:hAnsi="GT America Lt"/>
          <w:sz w:val="24"/>
          <w:szCs w:val="24"/>
        </w:rPr>
        <w:t>the fact lenders use a proprietary software in eligibility determinations does not make the data in the software a consumer report or the software provider a CRA under the plain text of</w:t>
      </w:r>
      <w:r w:rsidR="00195C44" w:rsidRPr="00B257D2">
        <w:rPr>
          <w:rFonts w:ascii="GT America Lt" w:eastAsia="Times New Roman" w:hAnsi="GT America Lt"/>
          <w:sz w:val="24"/>
          <w:szCs w:val="24"/>
        </w:rPr>
        <w:t xml:space="preserve"> the</w:t>
      </w:r>
      <w:r w:rsidR="009C10FA" w:rsidRPr="00B257D2">
        <w:rPr>
          <w:rFonts w:ascii="GT America Lt" w:eastAsia="Times New Roman" w:hAnsi="GT America Lt"/>
          <w:sz w:val="24"/>
          <w:szCs w:val="24"/>
        </w:rPr>
        <w:t xml:space="preserve"> FCRA</w:t>
      </w:r>
      <w:r w:rsidR="005B0E7F" w:rsidRPr="00B257D2">
        <w:rPr>
          <w:rFonts w:ascii="GT America Lt" w:eastAsia="Times New Roman" w:hAnsi="GT America Lt"/>
          <w:sz w:val="24"/>
          <w:szCs w:val="24"/>
        </w:rPr>
        <w:t>.</w:t>
      </w:r>
      <w:r w:rsidR="005B0E7F" w:rsidRPr="00B257D2">
        <w:rPr>
          <w:rStyle w:val="FootnoteReference"/>
          <w:rFonts w:ascii="GT America Lt" w:eastAsia="Times New Roman" w:hAnsi="GT America Lt"/>
          <w:sz w:val="24"/>
          <w:szCs w:val="24"/>
        </w:rPr>
        <w:footnoteReference w:id="29"/>
      </w:r>
      <w:r w:rsidR="005B0E7F" w:rsidRPr="00B257D2">
        <w:rPr>
          <w:rFonts w:ascii="GT America Lt" w:eastAsia="Times New Roman" w:hAnsi="GT America Lt"/>
          <w:sz w:val="24"/>
          <w:szCs w:val="24"/>
        </w:rPr>
        <w:t xml:space="preserve"> </w:t>
      </w:r>
      <w:r w:rsidR="009C10FA" w:rsidRPr="00B257D2">
        <w:rPr>
          <w:rFonts w:ascii="GT America Lt" w:eastAsia="Times New Roman" w:hAnsi="GT America Lt"/>
          <w:sz w:val="24"/>
          <w:szCs w:val="24"/>
        </w:rPr>
        <w:t xml:space="preserve">The court confirmed </w:t>
      </w:r>
      <w:r w:rsidR="009C10FA" w:rsidRPr="00B257D2">
        <w:rPr>
          <w:rFonts w:ascii="GT America Lt" w:eastAsia="Times New Roman" w:hAnsi="GT America Lt"/>
          <w:sz w:val="24"/>
          <w:szCs w:val="24"/>
        </w:rPr>
        <w:lastRenderedPageBreak/>
        <w:t xml:space="preserve">that an </w:t>
      </w:r>
      <w:r w:rsidR="003E3D0E" w:rsidRPr="00B257D2">
        <w:rPr>
          <w:rFonts w:ascii="GT America Lt" w:eastAsia="Times New Roman" w:hAnsi="GT America Lt"/>
          <w:sz w:val="24"/>
          <w:szCs w:val="24"/>
        </w:rPr>
        <w:t xml:space="preserve">entity that assembles or evaluates consumer information is only a </w:t>
      </w:r>
      <w:r w:rsidR="009C10FA" w:rsidRPr="00B257D2">
        <w:rPr>
          <w:rFonts w:ascii="GT America Lt" w:eastAsia="Times New Roman" w:hAnsi="GT America Lt"/>
          <w:sz w:val="24"/>
          <w:szCs w:val="24"/>
        </w:rPr>
        <w:t>CRA</w:t>
      </w:r>
      <w:r w:rsidR="003E3D0E" w:rsidRPr="00B257D2">
        <w:rPr>
          <w:rFonts w:ascii="GT America Lt" w:eastAsia="Times New Roman" w:hAnsi="GT America Lt"/>
          <w:sz w:val="24"/>
          <w:szCs w:val="24"/>
        </w:rPr>
        <w:t xml:space="preserve"> if it did so </w:t>
      </w:r>
      <w:r w:rsidR="00EE2DCC" w:rsidRPr="00B257D2">
        <w:rPr>
          <w:rFonts w:ascii="GT America Lt" w:eastAsia="Times New Roman" w:hAnsi="GT America Lt"/>
          <w:sz w:val="24"/>
          <w:szCs w:val="24"/>
        </w:rPr>
        <w:t>with the intention</w:t>
      </w:r>
      <w:r w:rsidR="003E3D0E" w:rsidRPr="00B257D2">
        <w:rPr>
          <w:rFonts w:ascii="GT America Lt" w:eastAsia="Times New Roman" w:hAnsi="GT America Lt"/>
          <w:sz w:val="24"/>
          <w:szCs w:val="24"/>
        </w:rPr>
        <w:t xml:space="preserve"> of furnishing consumer reports to third parties.</w:t>
      </w:r>
      <w:r w:rsidR="005B0E7F" w:rsidRPr="00B257D2">
        <w:rPr>
          <w:rStyle w:val="FootnoteReference"/>
          <w:rFonts w:ascii="GT America Lt" w:eastAsia="Times New Roman" w:hAnsi="GT America Lt"/>
          <w:sz w:val="24"/>
          <w:szCs w:val="24"/>
        </w:rPr>
        <w:footnoteReference w:id="30"/>
      </w:r>
    </w:p>
    <w:p w14:paraId="1D888A9B" w14:textId="77777777" w:rsidR="00B257D2" w:rsidRPr="00B257D2" w:rsidRDefault="00B257D2" w:rsidP="00B257D2">
      <w:pPr>
        <w:spacing w:after="0" w:line="240" w:lineRule="auto"/>
        <w:ind w:firstLine="720"/>
        <w:rPr>
          <w:rFonts w:ascii="GT America Lt" w:eastAsia="Times New Roman" w:hAnsi="GT America Lt"/>
          <w:sz w:val="24"/>
          <w:szCs w:val="24"/>
        </w:rPr>
      </w:pPr>
    </w:p>
    <w:p w14:paraId="0EEDB90D" w14:textId="7347FB5E" w:rsidR="005B07FE" w:rsidRDefault="005B07FE" w:rsidP="00B257D2">
      <w:pPr>
        <w:pStyle w:val="ListParagraph"/>
        <w:numPr>
          <w:ilvl w:val="0"/>
          <w:numId w:val="18"/>
        </w:numPr>
        <w:spacing w:after="0"/>
        <w:rPr>
          <w:rFonts w:ascii="GT America Lt" w:eastAsia="Times New Roman" w:hAnsi="GT America Lt"/>
          <w:sz w:val="24"/>
          <w:szCs w:val="24"/>
        </w:rPr>
      </w:pPr>
      <w:r w:rsidRPr="00B257D2">
        <w:rPr>
          <w:rFonts w:ascii="GT America Lt" w:eastAsia="Times New Roman" w:hAnsi="GT America Lt"/>
          <w:sz w:val="24"/>
          <w:szCs w:val="24"/>
        </w:rPr>
        <w:t>The Proposed Rule would violate the First Amendment.</w:t>
      </w:r>
    </w:p>
    <w:p w14:paraId="4430F904" w14:textId="77777777" w:rsidR="00B257D2" w:rsidRPr="00B257D2" w:rsidRDefault="00B257D2" w:rsidP="00B257D2">
      <w:pPr>
        <w:pStyle w:val="ListParagraph"/>
        <w:spacing w:after="0"/>
        <w:ind w:left="1440"/>
        <w:rPr>
          <w:rFonts w:ascii="GT America Lt" w:eastAsia="Times New Roman" w:hAnsi="GT America Lt"/>
          <w:sz w:val="24"/>
          <w:szCs w:val="24"/>
        </w:rPr>
      </w:pPr>
    </w:p>
    <w:p w14:paraId="0CCB7E45" w14:textId="4D857405" w:rsidR="005B07FE" w:rsidRDefault="005B07FE" w:rsidP="00B257D2">
      <w:pPr>
        <w:spacing w:after="0" w:line="240" w:lineRule="auto"/>
        <w:ind w:firstLine="720"/>
        <w:rPr>
          <w:rFonts w:ascii="GT America Lt" w:hAnsi="GT America Lt"/>
          <w:sz w:val="24"/>
          <w:szCs w:val="24"/>
        </w:rPr>
      </w:pPr>
      <w:r w:rsidRPr="00B257D2">
        <w:rPr>
          <w:rFonts w:ascii="GT America Lt" w:hAnsi="GT America Lt"/>
          <w:sz w:val="24"/>
          <w:szCs w:val="24"/>
        </w:rPr>
        <w:t>The Proposed Rule would violate First Amendment protections that apply to free speech. As explained in the Software Information Industry Association’s comment letter responding to the CFPB’s earlier Request for Information, data brokers undertake a range of activities that are protected by the First Amendment.</w:t>
      </w:r>
      <w:r w:rsidRPr="00B257D2">
        <w:rPr>
          <w:rStyle w:val="FootnoteReference"/>
          <w:rFonts w:ascii="GT America Lt" w:hAnsi="GT America Lt"/>
          <w:sz w:val="24"/>
          <w:szCs w:val="24"/>
        </w:rPr>
        <w:footnoteReference w:id="31"/>
      </w:r>
      <w:r w:rsidRPr="00B257D2">
        <w:rPr>
          <w:rFonts w:ascii="GT America Lt" w:hAnsi="GT America Lt"/>
          <w:sz w:val="24"/>
          <w:szCs w:val="24"/>
        </w:rPr>
        <w:t xml:space="preserve"> Notably, the Supreme Court has explained that “the creation and dissemination of information is speech for First Amendment purposes.”</w:t>
      </w:r>
      <w:r w:rsidRPr="00B257D2">
        <w:rPr>
          <w:rFonts w:ascii="GT America Lt" w:hAnsi="GT America Lt"/>
          <w:sz w:val="24"/>
          <w:szCs w:val="24"/>
          <w:vertAlign w:val="superscript"/>
        </w:rPr>
        <w:footnoteReference w:id="32"/>
      </w:r>
      <w:r w:rsidRPr="00B257D2">
        <w:rPr>
          <w:rFonts w:ascii="GT America Lt" w:hAnsi="GT America Lt"/>
          <w:sz w:val="24"/>
          <w:szCs w:val="24"/>
        </w:rPr>
        <w:t xml:space="preserve"> For that reason, states have recognized that information in the public domain is protected speech under the First Amendment when enacting privacy laws. </w:t>
      </w:r>
    </w:p>
    <w:p w14:paraId="64AEF570" w14:textId="77777777" w:rsidR="00B257D2" w:rsidRPr="00B257D2" w:rsidRDefault="00B257D2" w:rsidP="00B257D2">
      <w:pPr>
        <w:spacing w:after="0" w:line="240" w:lineRule="auto"/>
        <w:ind w:firstLine="720"/>
        <w:rPr>
          <w:rFonts w:ascii="GT America Lt" w:hAnsi="GT America Lt"/>
          <w:sz w:val="24"/>
          <w:szCs w:val="24"/>
        </w:rPr>
      </w:pPr>
    </w:p>
    <w:p w14:paraId="75B7C201" w14:textId="13C0B68A" w:rsidR="005B07FE" w:rsidRDefault="005B07FE" w:rsidP="00B257D2">
      <w:pPr>
        <w:spacing w:after="0" w:line="240" w:lineRule="auto"/>
        <w:ind w:firstLine="720"/>
        <w:rPr>
          <w:rFonts w:ascii="GT America Lt" w:hAnsi="GT America Lt"/>
          <w:sz w:val="24"/>
          <w:szCs w:val="24"/>
        </w:rPr>
      </w:pPr>
      <w:r w:rsidRPr="00B257D2">
        <w:rPr>
          <w:rFonts w:ascii="GT America Lt" w:hAnsi="GT America Lt"/>
          <w:sz w:val="24"/>
          <w:szCs w:val="24"/>
        </w:rPr>
        <w:t xml:space="preserve">The CFPB similarly may not impose statutory restrictions upon the collection and dissemination of information that is in the public domain. The Proposed Rule would take this impermissible step, however, by making credit header data a “consumer report” subject to certain restrictions under the FCRA. Similarly, the Proposed Rule would provide that </w:t>
      </w:r>
      <w:r w:rsidRPr="00B257D2">
        <w:rPr>
          <w:rFonts w:ascii="GT America Lt" w:eastAsia="Times New Roman" w:hAnsi="GT America Lt"/>
          <w:sz w:val="24"/>
          <w:szCs w:val="24"/>
        </w:rPr>
        <w:t>credit history, credit score, debt payments, or income or financial tier</w:t>
      </w:r>
      <w:r w:rsidRPr="00B257D2">
        <w:rPr>
          <w:rFonts w:ascii="GT America Lt" w:hAnsi="GT America Lt"/>
          <w:sz w:val="24"/>
          <w:szCs w:val="24"/>
        </w:rPr>
        <w:t xml:space="preserve"> are always consumer reports when communicated by CRAs. These provisions would apply regardless of whether the information is in the public domain or from where the CRA obtained the information. As currently drafted, the CFPB’s Proposed Rule consequently would run afoul of the First Amendment.</w:t>
      </w:r>
    </w:p>
    <w:p w14:paraId="60246D36" w14:textId="77777777" w:rsidR="00B257D2" w:rsidRPr="00B257D2" w:rsidRDefault="00B257D2" w:rsidP="00B257D2">
      <w:pPr>
        <w:spacing w:after="0" w:line="240" w:lineRule="auto"/>
        <w:ind w:firstLine="720"/>
        <w:rPr>
          <w:rFonts w:ascii="GT America Lt" w:hAnsi="GT America Lt"/>
          <w:sz w:val="24"/>
          <w:szCs w:val="24"/>
        </w:rPr>
      </w:pPr>
    </w:p>
    <w:p w14:paraId="6323F699" w14:textId="1DDDE11E" w:rsidR="00900F29" w:rsidRDefault="003F132B" w:rsidP="00B257D2">
      <w:pPr>
        <w:pStyle w:val="ListParagraph"/>
        <w:keepNext/>
        <w:numPr>
          <w:ilvl w:val="0"/>
          <w:numId w:val="2"/>
        </w:numPr>
        <w:spacing w:after="0"/>
        <w:rPr>
          <w:rFonts w:ascii="GT America Lt" w:hAnsi="GT America Lt"/>
          <w:b/>
          <w:bCs/>
          <w:sz w:val="24"/>
          <w:szCs w:val="24"/>
        </w:rPr>
      </w:pPr>
      <w:r w:rsidRPr="00B257D2">
        <w:rPr>
          <w:rFonts w:ascii="GT America Lt" w:hAnsi="GT America Lt"/>
          <w:b/>
          <w:bCs/>
          <w:sz w:val="24"/>
          <w:szCs w:val="24"/>
        </w:rPr>
        <w:t xml:space="preserve">The CFPB </w:t>
      </w:r>
      <w:r w:rsidR="00923863" w:rsidRPr="00B257D2">
        <w:rPr>
          <w:rFonts w:ascii="GT America Lt" w:hAnsi="GT America Lt"/>
          <w:b/>
          <w:bCs/>
          <w:sz w:val="24"/>
          <w:szCs w:val="24"/>
        </w:rPr>
        <w:t xml:space="preserve">should work with its regulatory partners to </w:t>
      </w:r>
      <w:r w:rsidRPr="00B257D2">
        <w:rPr>
          <w:rFonts w:ascii="GT America Lt" w:hAnsi="GT America Lt"/>
          <w:b/>
          <w:bCs/>
          <w:sz w:val="24"/>
          <w:szCs w:val="24"/>
        </w:rPr>
        <w:t xml:space="preserve">achieve </w:t>
      </w:r>
      <w:r w:rsidR="00923863" w:rsidRPr="00B257D2">
        <w:rPr>
          <w:rFonts w:ascii="GT America Lt" w:hAnsi="GT America Lt"/>
          <w:b/>
          <w:bCs/>
          <w:sz w:val="24"/>
          <w:szCs w:val="24"/>
        </w:rPr>
        <w:t>its goals</w:t>
      </w:r>
      <w:r w:rsidR="00FE7CC1" w:rsidRPr="00B257D2">
        <w:rPr>
          <w:rFonts w:ascii="GT America Lt" w:hAnsi="GT America Lt"/>
          <w:b/>
          <w:bCs/>
          <w:sz w:val="24"/>
          <w:szCs w:val="24"/>
        </w:rPr>
        <w:t xml:space="preserve"> in this field</w:t>
      </w:r>
      <w:r w:rsidR="00923863" w:rsidRPr="00B257D2">
        <w:rPr>
          <w:rFonts w:ascii="GT America Lt" w:hAnsi="GT America Lt"/>
          <w:b/>
          <w:bCs/>
          <w:sz w:val="24"/>
          <w:szCs w:val="24"/>
        </w:rPr>
        <w:t xml:space="preserve"> </w:t>
      </w:r>
      <w:r w:rsidRPr="00B257D2">
        <w:rPr>
          <w:rFonts w:ascii="GT America Lt" w:hAnsi="GT America Lt"/>
          <w:b/>
          <w:bCs/>
          <w:sz w:val="24"/>
          <w:szCs w:val="24"/>
        </w:rPr>
        <w:t>through</w:t>
      </w:r>
      <w:r w:rsidR="00923863" w:rsidRPr="00B257D2">
        <w:rPr>
          <w:rFonts w:ascii="GT America Lt" w:hAnsi="GT America Lt"/>
          <w:b/>
          <w:bCs/>
          <w:sz w:val="24"/>
          <w:szCs w:val="24"/>
        </w:rPr>
        <w:t xml:space="preserve"> the enforcement of</w:t>
      </w:r>
      <w:r w:rsidRPr="00B257D2">
        <w:rPr>
          <w:rFonts w:ascii="GT America Lt" w:hAnsi="GT America Lt"/>
          <w:b/>
          <w:bCs/>
          <w:sz w:val="24"/>
          <w:szCs w:val="24"/>
        </w:rPr>
        <w:t xml:space="preserve"> existing laws and regulations.</w:t>
      </w:r>
    </w:p>
    <w:p w14:paraId="43476885" w14:textId="77777777" w:rsidR="00B257D2" w:rsidRPr="00B257D2" w:rsidRDefault="00B257D2" w:rsidP="00B257D2">
      <w:pPr>
        <w:pStyle w:val="ListParagraph"/>
        <w:keepNext/>
        <w:spacing w:after="0"/>
        <w:ind w:left="1080"/>
        <w:rPr>
          <w:rFonts w:ascii="GT America Lt" w:hAnsi="GT America Lt"/>
          <w:b/>
          <w:bCs/>
          <w:sz w:val="24"/>
          <w:szCs w:val="24"/>
        </w:rPr>
      </w:pPr>
    </w:p>
    <w:p w14:paraId="245E253D" w14:textId="29922DC0" w:rsidR="00900F29" w:rsidRDefault="00923863" w:rsidP="00B257D2">
      <w:pPr>
        <w:spacing w:after="0" w:line="240" w:lineRule="auto"/>
        <w:ind w:firstLine="720"/>
        <w:rPr>
          <w:rFonts w:ascii="GT America Lt" w:hAnsi="GT America Lt"/>
          <w:sz w:val="24"/>
          <w:szCs w:val="24"/>
        </w:rPr>
      </w:pPr>
      <w:r w:rsidRPr="00B257D2">
        <w:rPr>
          <w:rFonts w:ascii="GT America Lt" w:hAnsi="GT America Lt"/>
          <w:sz w:val="24"/>
          <w:szCs w:val="24"/>
        </w:rPr>
        <w:t>To justify the Proposed Rule, the</w:t>
      </w:r>
      <w:r w:rsidR="00BC5DEE" w:rsidRPr="00B257D2">
        <w:rPr>
          <w:rFonts w:ascii="GT America Lt" w:hAnsi="GT America Lt"/>
          <w:sz w:val="24"/>
          <w:szCs w:val="24"/>
        </w:rPr>
        <w:t xml:space="preserve"> CFPB</w:t>
      </w:r>
      <w:r w:rsidRPr="00B257D2">
        <w:rPr>
          <w:rFonts w:ascii="GT America Lt" w:hAnsi="GT America Lt"/>
          <w:sz w:val="24"/>
          <w:szCs w:val="24"/>
        </w:rPr>
        <w:t xml:space="preserve"> has claimed </w:t>
      </w:r>
      <w:r w:rsidR="00BC5DEE" w:rsidRPr="00B257D2">
        <w:rPr>
          <w:rFonts w:ascii="GT America Lt" w:hAnsi="GT America Lt"/>
          <w:sz w:val="24"/>
          <w:szCs w:val="24"/>
        </w:rPr>
        <w:t xml:space="preserve">that data brokers and information about consumers </w:t>
      </w:r>
      <w:r w:rsidRPr="00B257D2">
        <w:rPr>
          <w:rFonts w:ascii="GT America Lt" w:hAnsi="GT America Lt"/>
          <w:sz w:val="24"/>
          <w:szCs w:val="24"/>
        </w:rPr>
        <w:t xml:space="preserve">are </w:t>
      </w:r>
      <w:r w:rsidR="00BC5DEE" w:rsidRPr="00B257D2">
        <w:rPr>
          <w:rFonts w:ascii="GT America Lt" w:hAnsi="GT America Lt"/>
          <w:sz w:val="24"/>
          <w:szCs w:val="24"/>
        </w:rPr>
        <w:t xml:space="preserve">largely unregulated. This characterization is misleading. </w:t>
      </w:r>
      <w:r w:rsidRPr="00B257D2">
        <w:rPr>
          <w:rFonts w:ascii="GT America Lt" w:hAnsi="GT America Lt"/>
          <w:sz w:val="24"/>
          <w:szCs w:val="24"/>
        </w:rPr>
        <w:t>D</w:t>
      </w:r>
      <w:r w:rsidR="00BC5DEE" w:rsidRPr="00B257D2">
        <w:rPr>
          <w:rFonts w:ascii="GT America Lt" w:hAnsi="GT America Lt"/>
          <w:sz w:val="24"/>
          <w:szCs w:val="24"/>
        </w:rPr>
        <w:t xml:space="preserve">ata brokers are already subject to numerous legal requirements. While business models and relevant legal frameworks differ across the data broker industry, laws governing data brokers include the FCRA, the FTC Act, the CFPA, and the GLBA at the federal level, as well as </w:t>
      </w:r>
      <w:r w:rsidR="00CC1372" w:rsidRPr="00B257D2">
        <w:rPr>
          <w:rFonts w:ascii="GT America Lt" w:hAnsi="GT America Lt"/>
          <w:sz w:val="24"/>
          <w:szCs w:val="24"/>
        </w:rPr>
        <w:t xml:space="preserve">privacy and other </w:t>
      </w:r>
      <w:r w:rsidR="00BC5DEE" w:rsidRPr="00B257D2">
        <w:rPr>
          <w:rFonts w:ascii="GT America Lt" w:hAnsi="GT America Lt"/>
          <w:sz w:val="24"/>
          <w:szCs w:val="24"/>
        </w:rPr>
        <w:t>statutes in the individual states.</w:t>
      </w:r>
      <w:r w:rsidR="00900F29" w:rsidRPr="00B257D2">
        <w:rPr>
          <w:rFonts w:ascii="GT America Lt" w:hAnsi="GT America Lt"/>
          <w:sz w:val="24"/>
          <w:szCs w:val="24"/>
        </w:rPr>
        <w:t xml:space="preserve"> </w:t>
      </w:r>
      <w:r w:rsidR="00BC5DEE" w:rsidRPr="00B257D2">
        <w:rPr>
          <w:rFonts w:ascii="GT America Lt" w:hAnsi="GT America Lt"/>
          <w:sz w:val="24"/>
          <w:szCs w:val="24"/>
        </w:rPr>
        <w:t xml:space="preserve">Credit header data, for example, are already subject to clear regulation under the </w:t>
      </w:r>
      <w:r w:rsidR="00EE2DCC" w:rsidRPr="00B257D2">
        <w:rPr>
          <w:rFonts w:ascii="GT America Lt" w:hAnsi="GT America Lt"/>
          <w:sz w:val="24"/>
          <w:szCs w:val="24"/>
        </w:rPr>
        <w:t>GLBA</w:t>
      </w:r>
      <w:r w:rsidR="00BC5DEE" w:rsidRPr="00B257D2">
        <w:rPr>
          <w:rFonts w:ascii="GT America Lt" w:hAnsi="GT America Lt"/>
          <w:sz w:val="24"/>
          <w:szCs w:val="24"/>
        </w:rPr>
        <w:t xml:space="preserve"> and Regulation P. Separately, there are national security legal requirements that govern transfers of data outside the U.S. </w:t>
      </w:r>
    </w:p>
    <w:p w14:paraId="7495B672" w14:textId="77777777" w:rsidR="00B257D2" w:rsidRPr="00B257D2" w:rsidRDefault="00B257D2" w:rsidP="00B257D2">
      <w:pPr>
        <w:spacing w:after="0" w:line="240" w:lineRule="auto"/>
        <w:ind w:firstLine="720"/>
        <w:rPr>
          <w:rFonts w:ascii="GT America Lt" w:hAnsi="GT America Lt"/>
          <w:sz w:val="24"/>
          <w:szCs w:val="24"/>
        </w:rPr>
      </w:pPr>
    </w:p>
    <w:p w14:paraId="2DAC5855" w14:textId="60E3D2EA" w:rsidR="00BC5DEE" w:rsidRDefault="00BC5DEE" w:rsidP="00B257D2">
      <w:pPr>
        <w:spacing w:after="0" w:line="240" w:lineRule="auto"/>
        <w:ind w:firstLine="720"/>
        <w:rPr>
          <w:rFonts w:ascii="GT America Lt" w:eastAsia="Times New Roman" w:hAnsi="GT America Lt"/>
          <w:sz w:val="24"/>
          <w:szCs w:val="24"/>
        </w:rPr>
      </w:pPr>
      <w:r w:rsidRPr="00B257D2">
        <w:rPr>
          <w:rFonts w:ascii="GT America Lt" w:hAnsi="GT America Lt"/>
          <w:sz w:val="24"/>
          <w:szCs w:val="24"/>
        </w:rPr>
        <w:lastRenderedPageBreak/>
        <w:t xml:space="preserve">Similarly, existing guidance on de-identified data is reasonably implemented to prevent violations of consumer privacy. This guidance provides that </w:t>
      </w:r>
      <w:r w:rsidRPr="00B257D2">
        <w:rPr>
          <w:rFonts w:ascii="GT America Lt" w:eastAsia="Times New Roman" w:hAnsi="GT America Lt"/>
          <w:sz w:val="24"/>
          <w:szCs w:val="24"/>
        </w:rPr>
        <w:t>de-identified data is not a consumer report if it is not reasonably linkable to the consumer.</w:t>
      </w:r>
      <w:r w:rsidRPr="00B257D2">
        <w:rPr>
          <w:rStyle w:val="FootnoteReference"/>
          <w:rFonts w:ascii="GT America Lt" w:eastAsia="Times New Roman" w:hAnsi="GT America Lt"/>
          <w:sz w:val="24"/>
          <w:szCs w:val="24"/>
        </w:rPr>
        <w:footnoteReference w:id="33"/>
      </w:r>
      <w:r w:rsidRPr="00B257D2">
        <w:rPr>
          <w:rFonts w:ascii="GT America Lt" w:eastAsia="Times New Roman" w:hAnsi="GT America Lt"/>
          <w:sz w:val="24"/>
          <w:szCs w:val="24"/>
        </w:rPr>
        <w:t xml:space="preserve"> The guidance further provides data is not reasonably linkable if a company “(1) takes reasonable measures to ensure that the data is de-identified; (2) publicly commits not to try to reidentify the data; and (3) contractually prohibits downstream recipients from trying to re-identify the data.”</w:t>
      </w:r>
      <w:r w:rsidRPr="00B257D2">
        <w:rPr>
          <w:rStyle w:val="FootnoteReference"/>
          <w:rFonts w:ascii="GT America Lt" w:eastAsia="Times New Roman" w:hAnsi="GT America Lt"/>
          <w:sz w:val="24"/>
          <w:szCs w:val="24"/>
        </w:rPr>
        <w:footnoteReference w:id="34"/>
      </w:r>
      <w:r w:rsidRPr="00B257D2">
        <w:rPr>
          <w:rFonts w:ascii="GT America Lt" w:eastAsia="Times New Roman" w:hAnsi="GT America Lt"/>
          <w:sz w:val="24"/>
          <w:szCs w:val="24"/>
        </w:rPr>
        <w:t xml:space="preserve"> These are workable standards that appropriately balance the interests between consumer privacy and the beneficial uses of de-identified data.</w:t>
      </w:r>
    </w:p>
    <w:p w14:paraId="44066995" w14:textId="77777777" w:rsidR="00B257D2" w:rsidRPr="00B257D2" w:rsidRDefault="00B257D2" w:rsidP="00B257D2">
      <w:pPr>
        <w:spacing w:after="0" w:line="240" w:lineRule="auto"/>
        <w:ind w:firstLine="720"/>
        <w:rPr>
          <w:rFonts w:ascii="GT America Lt" w:eastAsia="Times New Roman" w:hAnsi="GT America Lt"/>
          <w:sz w:val="24"/>
          <w:szCs w:val="24"/>
        </w:rPr>
      </w:pPr>
    </w:p>
    <w:p w14:paraId="0CBE7AC3" w14:textId="19FEB940" w:rsidR="00F33ADA" w:rsidRDefault="0086214B" w:rsidP="00B257D2">
      <w:pPr>
        <w:spacing w:after="0" w:line="240" w:lineRule="auto"/>
        <w:ind w:firstLine="720"/>
        <w:rPr>
          <w:rFonts w:ascii="GT America Lt" w:hAnsi="GT America Lt"/>
          <w:sz w:val="24"/>
          <w:szCs w:val="24"/>
        </w:rPr>
      </w:pPr>
      <w:r w:rsidRPr="00B257D2">
        <w:rPr>
          <w:rFonts w:ascii="GT America Lt" w:hAnsi="GT America Lt"/>
          <w:sz w:val="24"/>
          <w:szCs w:val="24"/>
        </w:rPr>
        <w:t xml:space="preserve">The CFPB should </w:t>
      </w:r>
      <w:r w:rsidR="00923863" w:rsidRPr="00B257D2">
        <w:rPr>
          <w:rFonts w:ascii="GT America Lt" w:hAnsi="GT America Lt"/>
          <w:sz w:val="24"/>
          <w:szCs w:val="24"/>
        </w:rPr>
        <w:t xml:space="preserve">work with its regulatory partners to </w:t>
      </w:r>
      <w:r w:rsidRPr="00B257D2">
        <w:rPr>
          <w:rFonts w:ascii="GT America Lt" w:hAnsi="GT America Lt"/>
          <w:sz w:val="24"/>
          <w:szCs w:val="24"/>
        </w:rPr>
        <w:t>enforce existing law</w:t>
      </w:r>
      <w:r w:rsidRPr="00B257D2" w:rsidDel="0086214B">
        <w:rPr>
          <w:rFonts w:ascii="GT America Lt" w:hAnsi="GT America Lt"/>
          <w:sz w:val="24"/>
          <w:szCs w:val="24"/>
        </w:rPr>
        <w:t xml:space="preserve"> </w:t>
      </w:r>
      <w:r w:rsidRPr="00B257D2">
        <w:rPr>
          <w:rFonts w:ascii="GT America Lt" w:hAnsi="GT America Lt"/>
          <w:sz w:val="24"/>
          <w:szCs w:val="24"/>
        </w:rPr>
        <w:t>i</w:t>
      </w:r>
      <w:r w:rsidR="00BC5DEE" w:rsidRPr="00B257D2">
        <w:rPr>
          <w:rFonts w:ascii="GT America Lt" w:hAnsi="GT America Lt"/>
          <w:sz w:val="24"/>
          <w:szCs w:val="24"/>
        </w:rPr>
        <w:t xml:space="preserve">f </w:t>
      </w:r>
      <w:r w:rsidRPr="00B257D2">
        <w:rPr>
          <w:rFonts w:ascii="GT America Lt" w:hAnsi="GT America Lt"/>
          <w:sz w:val="24"/>
          <w:szCs w:val="24"/>
        </w:rPr>
        <w:t>it</w:t>
      </w:r>
      <w:r w:rsidR="00BC5DEE" w:rsidRPr="00B257D2">
        <w:rPr>
          <w:rFonts w:ascii="GT America Lt" w:hAnsi="GT America Lt"/>
          <w:sz w:val="24"/>
          <w:szCs w:val="24"/>
        </w:rPr>
        <w:t xml:space="preserve"> believes that data brokers are illegally using consumer reports for impermissible purposes. </w:t>
      </w:r>
      <w:r w:rsidR="00923863" w:rsidRPr="00B257D2">
        <w:rPr>
          <w:rFonts w:ascii="GT America Lt" w:hAnsi="GT America Lt"/>
          <w:sz w:val="24"/>
          <w:szCs w:val="24"/>
        </w:rPr>
        <w:t>While it is true that the CFPB does not alone have authority over all data brokers, that limitation does not justify t</w:t>
      </w:r>
      <w:r w:rsidR="00BC5DEE" w:rsidRPr="00B257D2">
        <w:rPr>
          <w:rFonts w:ascii="GT America Lt" w:hAnsi="GT America Lt"/>
          <w:sz w:val="24"/>
          <w:szCs w:val="24"/>
        </w:rPr>
        <w:t xml:space="preserve">he CFPB </w:t>
      </w:r>
      <w:r w:rsidR="00923863" w:rsidRPr="00B257D2">
        <w:rPr>
          <w:rFonts w:ascii="GT America Lt" w:hAnsi="GT America Lt"/>
          <w:sz w:val="24"/>
          <w:szCs w:val="24"/>
        </w:rPr>
        <w:t>amending</w:t>
      </w:r>
      <w:r w:rsidR="00BC5DEE" w:rsidRPr="00B257D2">
        <w:rPr>
          <w:rFonts w:ascii="GT America Lt" w:hAnsi="GT America Lt"/>
          <w:sz w:val="24"/>
          <w:szCs w:val="24"/>
        </w:rPr>
        <w:t xml:space="preserve"> Regulation V </w:t>
      </w:r>
      <w:r w:rsidR="00923863" w:rsidRPr="00B257D2">
        <w:rPr>
          <w:rFonts w:ascii="GT America Lt" w:hAnsi="GT America Lt"/>
          <w:sz w:val="24"/>
          <w:szCs w:val="24"/>
        </w:rPr>
        <w:t xml:space="preserve">in ways </w:t>
      </w:r>
      <w:r w:rsidR="00BC5DEE" w:rsidRPr="00B257D2">
        <w:rPr>
          <w:rFonts w:ascii="GT America Lt" w:hAnsi="GT America Lt"/>
          <w:sz w:val="24"/>
          <w:szCs w:val="24"/>
        </w:rPr>
        <w:t xml:space="preserve">that would fundamentally and irrevocably change the markets and how data </w:t>
      </w:r>
      <w:r w:rsidR="00EE2DCC" w:rsidRPr="00B257D2">
        <w:rPr>
          <w:rFonts w:ascii="GT America Lt" w:hAnsi="GT America Lt"/>
          <w:sz w:val="24"/>
          <w:szCs w:val="24"/>
        </w:rPr>
        <w:t xml:space="preserve">are </w:t>
      </w:r>
      <w:r w:rsidR="00BC5DEE" w:rsidRPr="00B257D2">
        <w:rPr>
          <w:rFonts w:ascii="GT America Lt" w:hAnsi="GT America Lt"/>
          <w:sz w:val="24"/>
          <w:szCs w:val="24"/>
        </w:rPr>
        <w:t xml:space="preserve">used and exchanged. </w:t>
      </w:r>
      <w:r w:rsidR="00845861" w:rsidRPr="00B257D2">
        <w:rPr>
          <w:rFonts w:ascii="GT America Lt" w:hAnsi="GT America Lt"/>
          <w:sz w:val="24"/>
          <w:szCs w:val="24"/>
        </w:rPr>
        <w:t>Rather than finalize a rule that would have</w:t>
      </w:r>
      <w:r w:rsidR="00923863" w:rsidRPr="00B257D2">
        <w:rPr>
          <w:rFonts w:ascii="GT America Lt" w:hAnsi="GT America Lt"/>
          <w:sz w:val="24"/>
          <w:szCs w:val="24"/>
        </w:rPr>
        <w:t xml:space="preserve"> numerous negative consequences</w:t>
      </w:r>
      <w:r w:rsidR="00845861" w:rsidRPr="00B257D2">
        <w:rPr>
          <w:rFonts w:ascii="GT America Lt" w:hAnsi="GT America Lt"/>
          <w:sz w:val="24"/>
          <w:szCs w:val="24"/>
        </w:rPr>
        <w:t xml:space="preserve">, the CFPB should </w:t>
      </w:r>
      <w:r w:rsidR="009439C2" w:rsidRPr="00B257D2">
        <w:rPr>
          <w:rFonts w:ascii="GT America Lt" w:hAnsi="GT America Lt"/>
          <w:sz w:val="24"/>
          <w:szCs w:val="24"/>
        </w:rPr>
        <w:t xml:space="preserve">withdraw the Proposed Rule and </w:t>
      </w:r>
      <w:r w:rsidR="00923863" w:rsidRPr="00B257D2">
        <w:rPr>
          <w:rFonts w:ascii="GT America Lt" w:hAnsi="GT America Lt"/>
          <w:sz w:val="24"/>
          <w:szCs w:val="24"/>
        </w:rPr>
        <w:t xml:space="preserve">work with its regulatory partners to </w:t>
      </w:r>
      <w:r w:rsidR="00845861" w:rsidRPr="00B257D2">
        <w:rPr>
          <w:rFonts w:ascii="GT America Lt" w:hAnsi="GT America Lt"/>
          <w:sz w:val="24"/>
          <w:szCs w:val="24"/>
        </w:rPr>
        <w:t xml:space="preserve">use existing laws, regulations, and guidance to enforce the law against bad actors.  </w:t>
      </w:r>
    </w:p>
    <w:p w14:paraId="28ED4005" w14:textId="77777777" w:rsidR="00B257D2" w:rsidRPr="00B257D2" w:rsidRDefault="00B257D2" w:rsidP="00B257D2">
      <w:pPr>
        <w:spacing w:after="0" w:line="240" w:lineRule="auto"/>
        <w:ind w:firstLine="720"/>
        <w:rPr>
          <w:rFonts w:ascii="GT America Lt" w:hAnsi="GT America Lt"/>
          <w:sz w:val="24"/>
          <w:szCs w:val="24"/>
        </w:rPr>
      </w:pPr>
    </w:p>
    <w:p w14:paraId="4AC74AA9" w14:textId="77777777" w:rsidR="00900F29" w:rsidRDefault="00900F29" w:rsidP="00B257D2">
      <w:pPr>
        <w:spacing w:after="0" w:line="240" w:lineRule="auto"/>
        <w:jc w:val="center"/>
        <w:rPr>
          <w:rFonts w:ascii="GT America Lt" w:hAnsi="GT America Lt"/>
          <w:sz w:val="24"/>
          <w:szCs w:val="24"/>
        </w:rPr>
      </w:pPr>
      <w:r w:rsidRPr="00B257D2">
        <w:rPr>
          <w:rFonts w:ascii="GT America Lt" w:hAnsi="GT America Lt"/>
          <w:sz w:val="24"/>
          <w:szCs w:val="24"/>
        </w:rPr>
        <w:t>* * * * *</w:t>
      </w:r>
    </w:p>
    <w:p w14:paraId="7D260147" w14:textId="77777777" w:rsidR="00B257D2" w:rsidRPr="00B257D2" w:rsidRDefault="00B257D2" w:rsidP="00B257D2">
      <w:pPr>
        <w:spacing w:after="0" w:line="240" w:lineRule="auto"/>
        <w:jc w:val="center"/>
        <w:rPr>
          <w:rFonts w:ascii="GT America Lt" w:hAnsi="GT America Lt"/>
          <w:sz w:val="24"/>
          <w:szCs w:val="24"/>
        </w:rPr>
      </w:pPr>
    </w:p>
    <w:p w14:paraId="37858D79" w14:textId="6D32EAFF" w:rsidR="00215756" w:rsidRPr="00B257D2" w:rsidRDefault="00900F29" w:rsidP="00B257D2">
      <w:pPr>
        <w:spacing w:after="0" w:line="240" w:lineRule="auto"/>
        <w:jc w:val="both"/>
        <w:rPr>
          <w:rFonts w:ascii="GT America Lt" w:hAnsi="GT America Lt"/>
          <w:sz w:val="24"/>
          <w:szCs w:val="24"/>
        </w:rPr>
      </w:pPr>
      <w:r w:rsidRPr="00B257D2">
        <w:rPr>
          <w:rFonts w:ascii="GT America Lt" w:hAnsi="GT America Lt"/>
          <w:sz w:val="24"/>
          <w:szCs w:val="24"/>
        </w:rPr>
        <w:tab/>
        <w:t>We thank you for your consideration of these comments and would be happy to discuss these issues further.</w:t>
      </w:r>
    </w:p>
    <w:p w14:paraId="3E79A9EA" w14:textId="77777777" w:rsidR="0036319C" w:rsidRDefault="0036319C" w:rsidP="00B257D2">
      <w:pPr>
        <w:spacing w:after="0" w:line="240" w:lineRule="auto"/>
        <w:rPr>
          <w:rFonts w:ascii="GT America Lt" w:hAnsi="GT America Lt"/>
          <w:sz w:val="24"/>
          <w:szCs w:val="24"/>
        </w:rPr>
      </w:pPr>
    </w:p>
    <w:p w14:paraId="5C6E7413" w14:textId="77777777" w:rsidR="00215756" w:rsidRDefault="00215756" w:rsidP="00B257D2">
      <w:pPr>
        <w:spacing w:after="0" w:line="240" w:lineRule="auto"/>
        <w:rPr>
          <w:rFonts w:ascii="GT America Lt" w:hAnsi="GT America Lt"/>
          <w:sz w:val="24"/>
          <w:szCs w:val="24"/>
        </w:rPr>
      </w:pPr>
    </w:p>
    <w:p w14:paraId="23B9830A" w14:textId="7F407C0E" w:rsidR="00215756" w:rsidRDefault="00215756" w:rsidP="00B257D2">
      <w:pPr>
        <w:spacing w:after="0" w:line="240" w:lineRule="auto"/>
        <w:rPr>
          <w:rFonts w:ascii="GT America Lt" w:hAnsi="GT America Lt"/>
          <w:sz w:val="24"/>
          <w:szCs w:val="24"/>
        </w:rPr>
      </w:pPr>
      <w:r>
        <w:rPr>
          <w:rFonts w:ascii="GT America Lt" w:hAnsi="GT America Lt"/>
          <w:sz w:val="24"/>
          <w:szCs w:val="24"/>
        </w:rPr>
        <w:tab/>
      </w:r>
      <w:r>
        <w:rPr>
          <w:rFonts w:ascii="GT America Lt" w:hAnsi="GT America Lt"/>
          <w:sz w:val="24"/>
          <w:szCs w:val="24"/>
        </w:rPr>
        <w:tab/>
      </w:r>
      <w:r>
        <w:rPr>
          <w:rFonts w:ascii="GT America Lt" w:hAnsi="GT America Lt"/>
          <w:sz w:val="24"/>
          <w:szCs w:val="24"/>
        </w:rPr>
        <w:tab/>
      </w:r>
      <w:r>
        <w:rPr>
          <w:rFonts w:ascii="GT America Lt" w:hAnsi="GT America Lt"/>
          <w:sz w:val="24"/>
          <w:szCs w:val="24"/>
        </w:rPr>
        <w:tab/>
      </w:r>
      <w:r>
        <w:rPr>
          <w:rFonts w:ascii="GT America Lt" w:hAnsi="GT America Lt"/>
          <w:sz w:val="24"/>
          <w:szCs w:val="24"/>
        </w:rPr>
        <w:tab/>
      </w:r>
      <w:r>
        <w:rPr>
          <w:rFonts w:ascii="GT America Lt" w:hAnsi="GT America Lt"/>
          <w:sz w:val="24"/>
          <w:szCs w:val="24"/>
        </w:rPr>
        <w:tab/>
        <w:t>Sincerely,</w:t>
      </w:r>
    </w:p>
    <w:p w14:paraId="566FCD42" w14:textId="7B099776" w:rsidR="000F6A41" w:rsidRPr="000F6A41" w:rsidRDefault="000F6A41" w:rsidP="000F6A41">
      <w:pPr>
        <w:spacing w:after="0" w:line="240" w:lineRule="auto"/>
        <w:rPr>
          <w:rFonts w:ascii="GT America Lt" w:hAnsi="GT America Lt"/>
        </w:rPr>
      </w:pPr>
      <w:r>
        <w:rPr>
          <w:rFonts w:ascii="GT America Lt" w:hAnsi="GT America Lt"/>
          <w:sz w:val="24"/>
          <w:szCs w:val="24"/>
        </w:rPr>
        <w:tab/>
      </w:r>
      <w:r>
        <w:rPr>
          <w:rFonts w:ascii="GT America Lt" w:hAnsi="GT America Lt"/>
          <w:sz w:val="24"/>
          <w:szCs w:val="24"/>
        </w:rPr>
        <w:tab/>
      </w:r>
      <w:r>
        <w:rPr>
          <w:rFonts w:ascii="GT America Lt" w:hAnsi="GT America Lt"/>
          <w:sz w:val="24"/>
          <w:szCs w:val="24"/>
        </w:rPr>
        <w:tab/>
      </w:r>
      <w:r>
        <w:rPr>
          <w:rFonts w:ascii="GT America Lt" w:hAnsi="GT America Lt"/>
          <w:sz w:val="24"/>
          <w:szCs w:val="24"/>
        </w:rPr>
        <w:tab/>
      </w:r>
      <w:r>
        <w:rPr>
          <w:rFonts w:ascii="GT America Lt" w:hAnsi="GT America Lt"/>
          <w:sz w:val="24"/>
          <w:szCs w:val="24"/>
        </w:rPr>
        <w:tab/>
      </w:r>
      <w:r>
        <w:rPr>
          <w:rFonts w:ascii="GT America Lt" w:hAnsi="GT America Lt"/>
          <w:sz w:val="24"/>
          <w:szCs w:val="24"/>
        </w:rPr>
        <w:tab/>
      </w:r>
      <w:r w:rsidRPr="000F6A41">
        <w:rPr>
          <w:rFonts w:ascii="GT America Lt" w:hAnsi="GT America Lt"/>
          <w:noProof/>
        </w:rPr>
        <w:drawing>
          <wp:inline distT="0" distB="0" distL="0" distR="0" wp14:anchorId="4B8F6057" wp14:editId="0101EA05">
            <wp:extent cx="2552700" cy="854011"/>
            <wp:effectExtent l="0" t="0" r="0" b="3810"/>
            <wp:docPr id="1920051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8673" cy="856009"/>
                    </a:xfrm>
                    <a:prstGeom prst="rect">
                      <a:avLst/>
                    </a:prstGeom>
                    <a:noFill/>
                    <a:ln>
                      <a:noFill/>
                    </a:ln>
                  </pic:spPr>
                </pic:pic>
              </a:graphicData>
            </a:graphic>
          </wp:inline>
        </w:drawing>
      </w:r>
    </w:p>
    <w:p w14:paraId="11BA6241" w14:textId="35CBACE4" w:rsidR="00215756" w:rsidRDefault="00215756" w:rsidP="000F6A41">
      <w:pPr>
        <w:spacing w:after="0" w:line="240" w:lineRule="auto"/>
        <w:rPr>
          <w:rFonts w:ascii="GT America Lt" w:hAnsi="GT America Lt"/>
          <w:sz w:val="24"/>
          <w:szCs w:val="24"/>
        </w:rPr>
      </w:pPr>
      <w:r>
        <w:rPr>
          <w:rFonts w:ascii="GT America Lt" w:hAnsi="GT America Lt"/>
          <w:sz w:val="24"/>
          <w:szCs w:val="24"/>
        </w:rPr>
        <w:tab/>
      </w:r>
      <w:r>
        <w:rPr>
          <w:rFonts w:ascii="GT America Lt" w:hAnsi="GT America Lt"/>
          <w:sz w:val="24"/>
          <w:szCs w:val="24"/>
        </w:rPr>
        <w:tab/>
      </w:r>
      <w:r>
        <w:rPr>
          <w:rFonts w:ascii="GT America Lt" w:hAnsi="GT America Lt"/>
          <w:sz w:val="24"/>
          <w:szCs w:val="24"/>
        </w:rPr>
        <w:tab/>
      </w:r>
      <w:r>
        <w:rPr>
          <w:rFonts w:ascii="GT America Lt" w:hAnsi="GT America Lt"/>
          <w:sz w:val="24"/>
          <w:szCs w:val="24"/>
        </w:rPr>
        <w:tab/>
      </w:r>
      <w:r>
        <w:rPr>
          <w:rFonts w:ascii="GT America Lt" w:hAnsi="GT America Lt"/>
          <w:sz w:val="24"/>
          <w:szCs w:val="24"/>
        </w:rPr>
        <w:tab/>
      </w:r>
      <w:r>
        <w:rPr>
          <w:rFonts w:ascii="GT America Lt" w:hAnsi="GT America Lt"/>
          <w:sz w:val="24"/>
          <w:szCs w:val="24"/>
        </w:rPr>
        <w:tab/>
        <w:t>Bill Hulse</w:t>
      </w:r>
    </w:p>
    <w:p w14:paraId="2F338BD1" w14:textId="7E0A1058" w:rsidR="00215756" w:rsidRDefault="00215756" w:rsidP="00215756">
      <w:pPr>
        <w:spacing w:after="0" w:line="240" w:lineRule="auto"/>
        <w:ind w:left="3600" w:firstLine="720"/>
        <w:rPr>
          <w:rFonts w:ascii="GT America Lt" w:hAnsi="GT America Lt"/>
          <w:sz w:val="24"/>
          <w:szCs w:val="24"/>
        </w:rPr>
      </w:pPr>
      <w:r>
        <w:rPr>
          <w:rFonts w:ascii="GT America Lt" w:hAnsi="GT America Lt"/>
          <w:sz w:val="24"/>
          <w:szCs w:val="24"/>
        </w:rPr>
        <w:t>Senior Vice President</w:t>
      </w:r>
    </w:p>
    <w:p w14:paraId="1763983C" w14:textId="59EB0F6D" w:rsidR="00215756" w:rsidRDefault="00215756" w:rsidP="00215756">
      <w:pPr>
        <w:spacing w:after="0" w:line="240" w:lineRule="auto"/>
        <w:ind w:left="3600" w:firstLine="720"/>
        <w:rPr>
          <w:rFonts w:ascii="GT America Lt" w:hAnsi="GT America Lt"/>
          <w:sz w:val="24"/>
          <w:szCs w:val="24"/>
        </w:rPr>
      </w:pPr>
      <w:r>
        <w:rPr>
          <w:rFonts w:ascii="GT America Lt" w:hAnsi="GT America Lt"/>
          <w:sz w:val="24"/>
          <w:szCs w:val="24"/>
        </w:rPr>
        <w:t xml:space="preserve">Center for Capital Markets Competitiveness </w:t>
      </w:r>
    </w:p>
    <w:p w14:paraId="217B3005" w14:textId="2E7C9FC5" w:rsidR="00215756" w:rsidRDefault="00215756" w:rsidP="00215756">
      <w:pPr>
        <w:spacing w:after="0" w:line="240" w:lineRule="auto"/>
        <w:ind w:left="4320"/>
        <w:rPr>
          <w:rFonts w:ascii="GT America Lt" w:hAnsi="GT America Lt"/>
          <w:sz w:val="24"/>
          <w:szCs w:val="24"/>
        </w:rPr>
      </w:pPr>
      <w:r>
        <w:rPr>
          <w:rFonts w:ascii="GT America Lt" w:hAnsi="GT America Lt"/>
          <w:sz w:val="24"/>
          <w:szCs w:val="24"/>
        </w:rPr>
        <w:t>U.S. Chamber of Commerce</w:t>
      </w:r>
    </w:p>
    <w:p w14:paraId="57E95050" w14:textId="01E2E9F5" w:rsidR="00B257D2" w:rsidRPr="00B257D2" w:rsidRDefault="00B257D2" w:rsidP="00B257D2">
      <w:pPr>
        <w:spacing w:after="0" w:line="240" w:lineRule="auto"/>
        <w:rPr>
          <w:rFonts w:ascii="GT America Lt" w:hAnsi="GT America Lt"/>
          <w:sz w:val="24"/>
          <w:szCs w:val="24"/>
        </w:rPr>
      </w:pPr>
    </w:p>
    <w:sectPr w:rsidR="00B257D2" w:rsidRPr="00B257D2" w:rsidSect="000C1B7D">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79EE" w14:textId="77777777" w:rsidR="004A2D58" w:rsidRDefault="004A2D58" w:rsidP="00900F29">
      <w:pPr>
        <w:spacing w:after="0" w:line="240" w:lineRule="auto"/>
      </w:pPr>
      <w:r>
        <w:separator/>
      </w:r>
    </w:p>
  </w:endnote>
  <w:endnote w:type="continuationSeparator" w:id="0">
    <w:p w14:paraId="0AF0D877" w14:textId="77777777" w:rsidR="004A2D58" w:rsidRDefault="004A2D58" w:rsidP="00900F29">
      <w:pPr>
        <w:spacing w:after="0" w:line="240" w:lineRule="auto"/>
      </w:pPr>
      <w:r>
        <w:continuationSeparator/>
      </w:r>
    </w:p>
  </w:endnote>
  <w:endnote w:type="continuationNotice" w:id="1">
    <w:p w14:paraId="0B6E5806" w14:textId="77777777" w:rsidR="004A2D58" w:rsidRDefault="004A2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America Lt">
    <w:panose1 w:val="00000400000000000000"/>
    <w:charset w:val="00"/>
    <w:family w:val="modern"/>
    <w:notTrueType/>
    <w:pitch w:val="variable"/>
    <w:sig w:usb0="20000007" w:usb1="02000001" w:usb2="00000000" w:usb3="00000000" w:csb0="000001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96BA" w14:textId="12299F79" w:rsidR="00900F29" w:rsidRDefault="00B465F2">
    <w:pPr>
      <w:pStyle w:val="FooterReference"/>
    </w:pPr>
    <w:r>
      <w:fldChar w:fldCharType="begin"/>
    </w:r>
    <w:r>
      <w:instrText xml:space="preserve"> DOCVARIABLE #DNDocID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780175"/>
      <w:docPartObj>
        <w:docPartGallery w:val="Page Numbers (Bottom of Page)"/>
        <w:docPartUnique/>
      </w:docPartObj>
    </w:sdtPr>
    <w:sdtEndPr>
      <w:rPr>
        <w:rFonts w:ascii="Garamond" w:hAnsi="Garamond"/>
        <w:noProof/>
      </w:rPr>
    </w:sdtEndPr>
    <w:sdtContent>
      <w:p w14:paraId="7F497739" w14:textId="77777777" w:rsidR="00900F29" w:rsidRPr="00933AA3" w:rsidRDefault="00900F29">
        <w:pPr>
          <w:pStyle w:val="Footer"/>
          <w:jc w:val="center"/>
          <w:rPr>
            <w:rFonts w:ascii="Garamond" w:hAnsi="Garamond"/>
          </w:rPr>
        </w:pPr>
        <w:r w:rsidRPr="000B7FCB">
          <w:rPr>
            <w:rFonts w:ascii="GT America Lt" w:hAnsi="GT America Lt"/>
          </w:rPr>
          <w:fldChar w:fldCharType="begin"/>
        </w:r>
        <w:r w:rsidRPr="000B7FCB">
          <w:rPr>
            <w:rFonts w:ascii="GT America Lt" w:hAnsi="GT America Lt"/>
          </w:rPr>
          <w:instrText xml:space="preserve"> PAGE   \* MERGEFORMAT </w:instrText>
        </w:r>
        <w:r w:rsidRPr="000B7FCB">
          <w:rPr>
            <w:rFonts w:ascii="GT America Lt" w:hAnsi="GT America Lt"/>
          </w:rPr>
          <w:fldChar w:fldCharType="separate"/>
        </w:r>
        <w:r w:rsidRPr="000B7FCB">
          <w:rPr>
            <w:rFonts w:ascii="GT America Lt" w:hAnsi="GT America Lt"/>
            <w:noProof/>
          </w:rPr>
          <w:t>2</w:t>
        </w:r>
        <w:r w:rsidRPr="000B7FCB">
          <w:rPr>
            <w:rFonts w:ascii="GT America Lt" w:hAnsi="GT America Lt"/>
            <w:noProof/>
          </w:rPr>
          <w:fldChar w:fldCharType="end"/>
        </w:r>
      </w:p>
    </w:sdtContent>
  </w:sdt>
  <w:p w14:paraId="406FD472" w14:textId="5540B7C8" w:rsidR="00900F29" w:rsidRDefault="00900F29">
    <w:pPr>
      <w:pStyle w:val="FooterReferen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26B5" w14:textId="61D79582" w:rsidR="00900F29" w:rsidRDefault="00B465F2">
    <w:pPr>
      <w:pStyle w:val="FooterReference"/>
    </w:pPr>
    <w:r>
      <w:fldChar w:fldCharType="begin"/>
    </w:r>
    <w:r>
      <w:instrText xml:space="preserve"> DOCVARIABLE #DNDocID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6927" w14:textId="77777777" w:rsidR="004A2D58" w:rsidRDefault="004A2D58" w:rsidP="00900F29">
      <w:pPr>
        <w:spacing w:after="0" w:line="240" w:lineRule="auto"/>
      </w:pPr>
      <w:r>
        <w:separator/>
      </w:r>
    </w:p>
  </w:footnote>
  <w:footnote w:type="continuationSeparator" w:id="0">
    <w:p w14:paraId="30EC3966" w14:textId="77777777" w:rsidR="004A2D58" w:rsidRDefault="004A2D58" w:rsidP="00900F29">
      <w:pPr>
        <w:spacing w:after="0" w:line="240" w:lineRule="auto"/>
      </w:pPr>
      <w:r>
        <w:continuationSeparator/>
      </w:r>
    </w:p>
  </w:footnote>
  <w:footnote w:type="continuationNotice" w:id="1">
    <w:p w14:paraId="77EFFEA3" w14:textId="77777777" w:rsidR="004A2D58" w:rsidRDefault="004A2D58">
      <w:pPr>
        <w:spacing w:after="0" w:line="240" w:lineRule="auto"/>
      </w:pPr>
    </w:p>
  </w:footnote>
  <w:footnote w:id="2">
    <w:p w14:paraId="2EF716E7" w14:textId="6CD2111D" w:rsidR="00900F29" w:rsidRPr="00B257D2" w:rsidRDefault="00900F29" w:rsidP="00900F29">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rPr>
        <w:t xml:space="preserve">See </w:t>
      </w:r>
      <w:r w:rsidRPr="00B257D2">
        <w:rPr>
          <w:rFonts w:ascii="GT America Lt" w:hAnsi="GT America Lt"/>
          <w:iCs/>
        </w:rPr>
        <w:t>CFPB,</w:t>
      </w:r>
      <w:r w:rsidRPr="00B257D2">
        <w:rPr>
          <w:rFonts w:ascii="GT America Lt" w:hAnsi="GT America Lt"/>
          <w:i/>
        </w:rPr>
        <w:t xml:space="preserve"> Proposed </w:t>
      </w:r>
      <w:proofErr w:type="gramStart"/>
      <w:r w:rsidRPr="00B257D2">
        <w:rPr>
          <w:rFonts w:ascii="GT America Lt" w:hAnsi="GT America Lt"/>
          <w:i/>
        </w:rPr>
        <w:t>Rule;</w:t>
      </w:r>
      <w:proofErr w:type="gramEnd"/>
      <w:r w:rsidRPr="00B257D2">
        <w:rPr>
          <w:rFonts w:ascii="GT America Lt" w:hAnsi="GT America Lt"/>
          <w:i/>
        </w:rPr>
        <w:t xml:space="preserve"> </w:t>
      </w:r>
      <w:r w:rsidR="006242CD" w:rsidRPr="00B257D2">
        <w:rPr>
          <w:rFonts w:ascii="GT America Lt" w:hAnsi="GT America Lt"/>
          <w:i/>
        </w:rPr>
        <w:t>Protecting Americans from Harmful Data Broker Practices (Regulation V)</w:t>
      </w:r>
      <w:r w:rsidRPr="00B257D2">
        <w:rPr>
          <w:rFonts w:ascii="GT America Lt" w:hAnsi="GT America Lt"/>
        </w:rPr>
        <w:t xml:space="preserve">, </w:t>
      </w:r>
      <w:r w:rsidR="006242CD" w:rsidRPr="00B257D2">
        <w:rPr>
          <w:rFonts w:ascii="GT America Lt" w:hAnsi="GT America Lt"/>
        </w:rPr>
        <w:t>89 Fed. Reg. 101402 (Dec. 13, 2024)</w:t>
      </w:r>
      <w:r w:rsidRPr="00B257D2">
        <w:rPr>
          <w:rFonts w:ascii="GT America Lt" w:hAnsi="GT America Lt"/>
        </w:rPr>
        <w:t xml:space="preserve">, </w:t>
      </w:r>
      <w:r w:rsidR="006242CD" w:rsidRPr="00B257D2">
        <w:rPr>
          <w:rFonts w:ascii="GT America Lt" w:hAnsi="GT America Lt"/>
        </w:rPr>
        <w:t>https://www.federalregister.gov/documents/2024/12/13/2024-28690/protecting-americans-from-harmful-data-broker-practices-regulation-v</w:t>
      </w:r>
      <w:r w:rsidRPr="00B257D2">
        <w:rPr>
          <w:rFonts w:ascii="GT America Lt" w:hAnsi="GT America Lt"/>
        </w:rPr>
        <w:t xml:space="preserve"> (hereinafter “</w:t>
      </w:r>
      <w:r w:rsidRPr="00B257D2">
        <w:rPr>
          <w:rFonts w:ascii="GT America Lt" w:hAnsi="GT America Lt"/>
          <w:i/>
          <w:iCs/>
        </w:rPr>
        <w:t>Proposed Rule</w:t>
      </w:r>
      <w:r w:rsidRPr="00B257D2">
        <w:rPr>
          <w:rFonts w:ascii="GT America Lt" w:hAnsi="GT America Lt"/>
        </w:rPr>
        <w:t xml:space="preserve">”). </w:t>
      </w:r>
    </w:p>
  </w:footnote>
  <w:footnote w:id="3">
    <w:p w14:paraId="011D650F" w14:textId="4454905E" w:rsidR="001325FE" w:rsidRPr="00B257D2" w:rsidRDefault="001325FE">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12 U.S.C. § 5511(a).</w:t>
      </w:r>
    </w:p>
  </w:footnote>
  <w:footnote w:id="4">
    <w:p w14:paraId="1258E6DC" w14:textId="23C694ED" w:rsidR="004E6C27" w:rsidRPr="00B257D2" w:rsidRDefault="004E6C27">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Id.</w:t>
      </w:r>
      <w:r w:rsidRPr="00B257D2">
        <w:rPr>
          <w:rFonts w:ascii="GT America Lt" w:hAnsi="GT America Lt"/>
        </w:rPr>
        <w:t xml:space="preserve"> §§ 5512(b)(1), 5481(12), 5481(14).</w:t>
      </w:r>
    </w:p>
  </w:footnote>
  <w:footnote w:id="5">
    <w:p w14:paraId="6543AD57" w14:textId="3EC65172" w:rsidR="004E6C27" w:rsidRPr="00B257D2" w:rsidRDefault="004E6C27">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5 U.S.C. § 706(2)(B).</w:t>
      </w:r>
    </w:p>
  </w:footnote>
  <w:footnote w:id="6">
    <w:p w14:paraId="60198AAD" w14:textId="4546DE45" w:rsidR="004E6C27" w:rsidRPr="00B257D2" w:rsidRDefault="004E6C27">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00422C77" w:rsidRPr="00B257D2">
        <w:rPr>
          <w:rFonts w:ascii="GT America Lt" w:hAnsi="GT America Lt"/>
          <w:i/>
          <w:iCs/>
        </w:rPr>
        <w:t>See, e.g.</w:t>
      </w:r>
      <w:r w:rsidR="00422C77" w:rsidRPr="00B257D2">
        <w:rPr>
          <w:rFonts w:ascii="GT America Lt" w:hAnsi="GT America Lt"/>
        </w:rPr>
        <w:t xml:space="preserve">, </w:t>
      </w:r>
      <w:r w:rsidR="00422C77" w:rsidRPr="00B257D2">
        <w:rPr>
          <w:rFonts w:ascii="GT America Lt" w:hAnsi="GT America Lt"/>
          <w:i/>
          <w:iCs/>
        </w:rPr>
        <w:t>Freeman v. Quicken Loans, Inc.</w:t>
      </w:r>
      <w:r w:rsidR="00422C77" w:rsidRPr="00B257D2">
        <w:rPr>
          <w:rFonts w:ascii="GT America Lt" w:hAnsi="GT America Lt"/>
        </w:rPr>
        <w:t>, 566 U.S. 624, 629-30 (2012).</w:t>
      </w:r>
    </w:p>
  </w:footnote>
  <w:footnote w:id="7">
    <w:p w14:paraId="254CDF52" w14:textId="6333A371" w:rsidR="00450CC4" w:rsidRPr="00B257D2" w:rsidRDefault="00450CC4">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Brad Sherman et. al, Letter to The Honorable Rohit Chopra (July 30, 2024).</w:t>
      </w:r>
    </w:p>
  </w:footnote>
  <w:footnote w:id="8">
    <w:p w14:paraId="56819B07" w14:textId="1D42834E" w:rsidR="00450CC4" w:rsidRPr="00B257D2" w:rsidRDefault="00450CC4">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Id.</w:t>
      </w:r>
    </w:p>
  </w:footnote>
  <w:footnote w:id="9">
    <w:p w14:paraId="3CF3ED87" w14:textId="77777777" w:rsidR="002A6E79" w:rsidRPr="00B257D2" w:rsidRDefault="002A6E79" w:rsidP="002A6E79">
      <w:pPr>
        <w:pStyle w:val="FootnoteText"/>
        <w:rPr>
          <w:rFonts w:ascii="GT America Lt" w:hAnsi="GT America Lt"/>
          <w:iCs/>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rPr>
        <w:t xml:space="preserve">See </w:t>
      </w:r>
      <w:r w:rsidRPr="00B257D2">
        <w:rPr>
          <w:rFonts w:ascii="GT America Lt" w:hAnsi="GT America Lt"/>
          <w:iCs/>
        </w:rPr>
        <w:t xml:space="preserve">Doug Sanders, </w:t>
      </w:r>
      <w:r w:rsidRPr="00B257D2">
        <w:rPr>
          <w:rFonts w:ascii="GT America Lt" w:hAnsi="GT America Lt"/>
          <w:i/>
        </w:rPr>
        <w:t>San Bernardino police officers honored by Thomson Reuters for response to Dec. 2 terrorist attack</w:t>
      </w:r>
      <w:r w:rsidRPr="00B257D2">
        <w:rPr>
          <w:rFonts w:ascii="GT America Lt" w:hAnsi="GT America Lt"/>
          <w:iCs/>
        </w:rPr>
        <w:t xml:space="preserve">, San Bernardino Sun, Mar. 2, 2016, at </w:t>
      </w:r>
      <w:hyperlink r:id="rId1" w:history="1">
        <w:r w:rsidRPr="00B257D2">
          <w:rPr>
            <w:rStyle w:val="Hyperlink"/>
            <w:rFonts w:ascii="GT America Lt" w:hAnsi="GT America Lt"/>
            <w:iCs/>
          </w:rPr>
          <w:t>https://www.sbsun.com/2016/03/02/san-bernardino-police-officers-honored-by-thomson-reuters-for-response-to-dec-2-terrorist-attack/</w:t>
        </w:r>
      </w:hyperlink>
      <w:r w:rsidRPr="00B257D2">
        <w:rPr>
          <w:rFonts w:ascii="GT America Lt" w:hAnsi="GT America Lt"/>
          <w:iCs/>
        </w:rPr>
        <w:t xml:space="preserve">. </w:t>
      </w:r>
    </w:p>
  </w:footnote>
  <w:footnote w:id="10">
    <w:p w14:paraId="74EC1EAB" w14:textId="77777777" w:rsidR="002A6E79" w:rsidRPr="00B257D2" w:rsidRDefault="002A6E79" w:rsidP="002A6E79">
      <w:pPr>
        <w:pStyle w:val="FootnoteText"/>
        <w:rPr>
          <w:rFonts w:ascii="GT America Lt" w:hAnsi="GT America Lt"/>
          <w:i/>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rPr>
        <w:t xml:space="preserve">See </w:t>
      </w:r>
      <w:r w:rsidRPr="00B257D2">
        <w:rPr>
          <w:rFonts w:ascii="GT America Lt" w:hAnsi="GT America Lt"/>
          <w:iCs/>
        </w:rPr>
        <w:t xml:space="preserve">Jeb Hensarling &amp; Brian Johnson, </w:t>
      </w:r>
      <w:r w:rsidRPr="00B257D2">
        <w:rPr>
          <w:rFonts w:ascii="GT America Lt" w:hAnsi="GT America Lt"/>
          <w:i/>
        </w:rPr>
        <w:t>Why does the CFPB want to undermine</w:t>
      </w:r>
    </w:p>
    <w:p w14:paraId="21618307" w14:textId="77777777" w:rsidR="002A6E79" w:rsidRPr="00B257D2" w:rsidRDefault="002A6E79" w:rsidP="002A6E79">
      <w:pPr>
        <w:pStyle w:val="FootnoteText"/>
        <w:rPr>
          <w:rFonts w:ascii="GT America Lt" w:hAnsi="GT America Lt"/>
          <w:iCs/>
        </w:rPr>
      </w:pPr>
      <w:r w:rsidRPr="00B257D2">
        <w:rPr>
          <w:rFonts w:ascii="GT America Lt" w:hAnsi="GT America Lt"/>
          <w:i/>
        </w:rPr>
        <w:t>a key tool of law enforcement?</w:t>
      </w:r>
      <w:r w:rsidRPr="00B257D2">
        <w:rPr>
          <w:rFonts w:ascii="GT America Lt" w:hAnsi="GT America Lt"/>
          <w:iCs/>
        </w:rPr>
        <w:t xml:space="preserve">, American Banker, Nov. 27, 2023, at </w:t>
      </w:r>
      <w:hyperlink r:id="rId2" w:history="1">
        <w:r w:rsidRPr="00B257D2">
          <w:rPr>
            <w:rStyle w:val="Hyperlink"/>
            <w:rFonts w:ascii="GT America Lt" w:hAnsi="GT America Lt"/>
            <w:iCs/>
          </w:rPr>
          <w:t>https://www.americanbanker.com/opinion/why-does-the-cfpb-want-to-undermine-a-key-tool-of-law-enforcement</w:t>
        </w:r>
      </w:hyperlink>
      <w:r w:rsidRPr="00B257D2">
        <w:rPr>
          <w:rFonts w:ascii="GT America Lt" w:hAnsi="GT America Lt"/>
          <w:iCs/>
        </w:rPr>
        <w:t xml:space="preserve">. </w:t>
      </w:r>
    </w:p>
  </w:footnote>
  <w:footnote w:id="11">
    <w:p w14:paraId="061EEB38" w14:textId="7802FA49" w:rsidR="005E71A1" w:rsidRPr="00B257D2" w:rsidRDefault="005E71A1">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CFPB, List of Consumer Reporting Companies (Feb. 7, 2025), https://www.consumerfinance.gov/consumer-tools/credit-reports-and-scores/consumer-reporting-companies/,</w:t>
      </w:r>
    </w:p>
  </w:footnote>
  <w:footnote w:id="12">
    <w:p w14:paraId="071D5F68" w14:textId="40ED3679" w:rsidR="005224ED" w:rsidRPr="00B257D2" w:rsidRDefault="005224ED">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Proposed Rule</w:t>
      </w:r>
      <w:r w:rsidRPr="00B257D2">
        <w:rPr>
          <w:rFonts w:ascii="GT America Lt" w:hAnsi="GT America Lt"/>
        </w:rPr>
        <w:t xml:space="preserve"> at 101,438.</w:t>
      </w:r>
    </w:p>
  </w:footnote>
  <w:footnote w:id="13">
    <w:p w14:paraId="129F9F80" w14:textId="77777777" w:rsidR="00C115A0" w:rsidRPr="00B257D2" w:rsidRDefault="00C115A0" w:rsidP="00C115A0">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Brad Sherman et. al, </w:t>
      </w:r>
      <w:r w:rsidRPr="00B257D2">
        <w:rPr>
          <w:rFonts w:ascii="GT America Lt" w:hAnsi="GT America Lt"/>
          <w:i/>
          <w:iCs/>
        </w:rPr>
        <w:t>Letter to The Honorable Rohit Chopra</w:t>
      </w:r>
      <w:r w:rsidRPr="00B257D2">
        <w:rPr>
          <w:rFonts w:ascii="GT America Lt" w:hAnsi="GT America Lt"/>
        </w:rPr>
        <w:t xml:space="preserve"> (July 30, 2024).</w:t>
      </w:r>
    </w:p>
  </w:footnote>
  <w:footnote w:id="14">
    <w:p w14:paraId="5987437D" w14:textId="77777777" w:rsidR="0011589E" w:rsidRPr="00B257D2" w:rsidRDefault="0011589E" w:rsidP="0011589E">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5 U.S.C. § 706(2)(B). </w:t>
      </w:r>
      <w:r w:rsidRPr="00B257D2">
        <w:rPr>
          <w:rFonts w:ascii="GT America Lt" w:hAnsi="GT America Lt"/>
          <w:i/>
          <w:iCs/>
        </w:rPr>
        <w:t>See also</w:t>
      </w:r>
      <w:r w:rsidRPr="00B257D2">
        <w:rPr>
          <w:rFonts w:ascii="GT America Lt" w:hAnsi="GT America Lt"/>
        </w:rPr>
        <w:t xml:space="preserve">, </w:t>
      </w:r>
      <w:r w:rsidRPr="00B257D2">
        <w:rPr>
          <w:rFonts w:ascii="GT America Lt" w:hAnsi="GT America Lt"/>
          <w:i/>
          <w:iCs/>
        </w:rPr>
        <w:t>Loper Bright Enterprises v. Raimondo,</w:t>
      </w:r>
      <w:r w:rsidRPr="00B257D2">
        <w:rPr>
          <w:rFonts w:ascii="GT America Lt" w:hAnsi="GT America Lt"/>
        </w:rPr>
        <w:t xml:space="preserve"> 603 U.S. 369 (2024).</w:t>
      </w:r>
    </w:p>
  </w:footnote>
  <w:footnote w:id="15">
    <w:p w14:paraId="259C6026" w14:textId="3796562E" w:rsidR="008B091C" w:rsidRPr="00B257D2" w:rsidRDefault="008B091C" w:rsidP="008B091C">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1</w:t>
      </w:r>
      <w:r w:rsidR="00D013F7" w:rsidRPr="00B257D2">
        <w:rPr>
          <w:rFonts w:ascii="GT America Lt" w:hAnsi="GT America Lt"/>
        </w:rPr>
        <w:t>5</w:t>
      </w:r>
      <w:r w:rsidRPr="00B257D2">
        <w:rPr>
          <w:rFonts w:ascii="GT America Lt" w:hAnsi="GT America Lt"/>
        </w:rPr>
        <w:t xml:space="preserve"> U.S.C. § 1681(a).</w:t>
      </w:r>
    </w:p>
  </w:footnote>
  <w:footnote w:id="16">
    <w:p w14:paraId="7B215DEE" w14:textId="77777777" w:rsidR="008B091C" w:rsidRPr="00B257D2" w:rsidRDefault="008B091C" w:rsidP="008B091C">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Id.</w:t>
      </w:r>
      <w:r w:rsidRPr="00B257D2">
        <w:rPr>
          <w:rFonts w:ascii="GT America Lt" w:hAnsi="GT America Lt"/>
        </w:rPr>
        <w:t xml:space="preserve"> § 1681(b).</w:t>
      </w:r>
    </w:p>
  </w:footnote>
  <w:footnote w:id="17">
    <w:p w14:paraId="21714500" w14:textId="175DDC90" w:rsidR="005E71A1" w:rsidRPr="00B257D2" w:rsidRDefault="005E71A1">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proofErr w:type="spellStart"/>
      <w:r w:rsidR="006B4783" w:rsidRPr="00B257D2">
        <w:rPr>
          <w:rFonts w:ascii="GT America Lt" w:hAnsi="GT America Lt"/>
          <w:i/>
          <w:iCs/>
        </w:rPr>
        <w:t>Sandofsky</w:t>
      </w:r>
      <w:proofErr w:type="spellEnd"/>
      <w:r w:rsidR="006B4783" w:rsidRPr="00B257D2">
        <w:rPr>
          <w:rFonts w:ascii="GT America Lt" w:hAnsi="GT America Lt"/>
          <w:i/>
          <w:iCs/>
        </w:rPr>
        <w:t xml:space="preserve"> v. Google LLC</w:t>
      </w:r>
      <w:r w:rsidR="006B4783" w:rsidRPr="00B257D2">
        <w:rPr>
          <w:rFonts w:ascii="GT America Lt" w:hAnsi="GT America Lt"/>
        </w:rPr>
        <w:t>, 2021 WL 2941128, at *3 (D. Mass. 2021).</w:t>
      </w:r>
    </w:p>
  </w:footnote>
  <w:footnote w:id="18">
    <w:p w14:paraId="200F28E8" w14:textId="15BCEA78" w:rsidR="00CF17A3" w:rsidRPr="00B257D2" w:rsidRDefault="00CF17A3">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This rule is currently </w:t>
      </w:r>
      <w:r w:rsidR="0091721C" w:rsidRPr="00B257D2">
        <w:rPr>
          <w:rFonts w:ascii="GT America Lt" w:hAnsi="GT America Lt"/>
        </w:rPr>
        <w:t>being challenged in federal</w:t>
      </w:r>
      <w:r w:rsidRPr="00B257D2">
        <w:rPr>
          <w:rFonts w:ascii="GT America Lt" w:hAnsi="GT America Lt"/>
        </w:rPr>
        <w:t xml:space="preserve"> court. See </w:t>
      </w:r>
      <w:r w:rsidR="00DF1337" w:rsidRPr="00B257D2">
        <w:rPr>
          <w:rFonts w:ascii="GT America Lt" w:hAnsi="GT America Lt"/>
          <w:i/>
          <w:iCs/>
        </w:rPr>
        <w:t>BPI v. CFPB</w:t>
      </w:r>
      <w:r w:rsidR="00DF1337" w:rsidRPr="00B257D2">
        <w:rPr>
          <w:rFonts w:ascii="GT America Lt" w:hAnsi="GT America Lt"/>
        </w:rPr>
        <w:t>, Complain</w:t>
      </w:r>
      <w:r w:rsidR="0091721C" w:rsidRPr="00B257D2">
        <w:rPr>
          <w:rFonts w:ascii="GT America Lt" w:hAnsi="GT America Lt"/>
        </w:rPr>
        <w:t>t</w:t>
      </w:r>
      <w:r w:rsidR="00DF1337" w:rsidRPr="00B257D2">
        <w:rPr>
          <w:rFonts w:ascii="GT America Lt" w:hAnsi="GT America Lt"/>
        </w:rPr>
        <w:t>, 5:24-cv-00304-DCR (E.D. Ky. Oct. 23, 2024).</w:t>
      </w:r>
    </w:p>
  </w:footnote>
  <w:footnote w:id="19">
    <w:p w14:paraId="47BB6EB9" w14:textId="77777777" w:rsidR="003A48E2" w:rsidRPr="00B257D2" w:rsidRDefault="003A48E2" w:rsidP="003A48E2">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Id.</w:t>
      </w:r>
      <w:r w:rsidRPr="00B257D2">
        <w:rPr>
          <w:rFonts w:ascii="GT America Lt" w:hAnsi="GT America Lt"/>
        </w:rPr>
        <w:t xml:space="preserve"> §§ 5512(b)(1), 5481(12), 5481(14).</w:t>
      </w:r>
    </w:p>
  </w:footnote>
  <w:footnote w:id="20">
    <w:p w14:paraId="7C937E41" w14:textId="77777777" w:rsidR="003A48E2" w:rsidRPr="00B257D2" w:rsidRDefault="003A48E2" w:rsidP="003A48E2">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5 U.S.C. § 706(2)(B).</w:t>
      </w:r>
    </w:p>
  </w:footnote>
  <w:footnote w:id="21">
    <w:p w14:paraId="0C548079" w14:textId="051FF03F" w:rsidR="00536C90" w:rsidRPr="00B257D2" w:rsidRDefault="00536C90">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1</w:t>
      </w:r>
      <w:r w:rsidR="00D013F7" w:rsidRPr="00B257D2">
        <w:rPr>
          <w:rFonts w:ascii="GT America Lt" w:hAnsi="GT America Lt"/>
        </w:rPr>
        <w:t>5</w:t>
      </w:r>
      <w:r w:rsidRPr="00B257D2">
        <w:rPr>
          <w:rFonts w:ascii="GT America Lt" w:hAnsi="GT America Lt"/>
        </w:rPr>
        <w:t xml:space="preserve"> U.S.C. § 1681a(d)(1).</w:t>
      </w:r>
    </w:p>
  </w:footnote>
  <w:footnote w:id="22">
    <w:p w14:paraId="39CBFD0D" w14:textId="296E119A" w:rsidR="00A04E74" w:rsidRPr="00B257D2" w:rsidRDefault="00A04E74">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In re Trans Union Corp.,</w:t>
      </w:r>
      <w:r w:rsidRPr="00B257D2">
        <w:rPr>
          <w:rFonts w:ascii="GT America Lt" w:hAnsi="GT America Lt"/>
        </w:rPr>
        <w:t xml:space="preserve"> FTC Docket No. 9255 (Feb. 10, 2000), at</w:t>
      </w:r>
      <w:r w:rsidR="00EE2DCC" w:rsidRPr="00B257D2">
        <w:rPr>
          <w:rFonts w:ascii="GT America Lt" w:hAnsi="GT America Lt"/>
        </w:rPr>
        <w:t xml:space="preserve"> https://www.ftc.gov/sites/default/files/documents/cases/2000/03/transunionopinionofthecommission.pdf</w:t>
      </w:r>
      <w:r w:rsidRPr="00B257D2">
        <w:rPr>
          <w:rFonts w:ascii="GT America Lt" w:hAnsi="GT America Lt"/>
        </w:rPr>
        <w:t xml:space="preserve">. </w:t>
      </w:r>
      <w:r w:rsidRPr="00B257D2">
        <w:rPr>
          <w:rFonts w:ascii="GT America Lt" w:hAnsi="GT America Lt"/>
          <w:i/>
          <w:iCs/>
        </w:rPr>
        <w:t>See also</w:t>
      </w:r>
      <w:r w:rsidRPr="00B257D2">
        <w:rPr>
          <w:rFonts w:ascii="GT America Lt" w:hAnsi="GT America Lt"/>
        </w:rPr>
        <w:t xml:space="preserve"> Fed. Trade Comm’n, </w:t>
      </w:r>
      <w:r w:rsidRPr="00B257D2">
        <w:rPr>
          <w:rFonts w:ascii="GT America Lt" w:hAnsi="GT America Lt"/>
          <w:i/>
          <w:iCs/>
        </w:rPr>
        <w:t>40 Years of Experience with the Fair Credit Reporting Act: An FTC Staff Report with Summary of Interpretations</w:t>
      </w:r>
      <w:r w:rsidRPr="00B257D2">
        <w:rPr>
          <w:rFonts w:ascii="GT America Lt" w:hAnsi="GT America Lt"/>
        </w:rPr>
        <w:t xml:space="preserve"> (July 2011), at </w:t>
      </w:r>
      <w:hyperlink r:id="rId3" w:history="1">
        <w:r w:rsidRPr="00B257D2">
          <w:rPr>
            <w:rStyle w:val="Hyperlink"/>
            <w:rFonts w:ascii="GT America Lt" w:hAnsi="GT America Lt"/>
          </w:rPr>
          <w:t>https://www.ftc.gov/sites/default/files/documents/reports/40-years-experience-fair-credit-reporting-act-ftc-staff-report-summary-interpretations/110720fcrareport.pdf</w:t>
        </w:r>
      </w:hyperlink>
      <w:r w:rsidRPr="00B257D2">
        <w:rPr>
          <w:rFonts w:ascii="GT America Lt" w:hAnsi="GT America Lt"/>
          <w:i/>
          <w:iCs/>
        </w:rPr>
        <w:t xml:space="preserve"> </w:t>
      </w:r>
      <w:r w:rsidRPr="00B257D2">
        <w:rPr>
          <w:rFonts w:ascii="GT America Lt" w:hAnsi="GT America Lt"/>
        </w:rPr>
        <w:t xml:space="preserve">(“The demographic and identifying information (e.g., name, address) generally is not considered ‘consumer report’ information under the FCRA, unless it is used for eligibility determinations. See </w:t>
      </w:r>
      <w:r w:rsidRPr="00B257D2">
        <w:rPr>
          <w:rFonts w:ascii="GT America Lt" w:hAnsi="GT America Lt"/>
          <w:i/>
          <w:iCs/>
        </w:rPr>
        <w:t>In re Trans Union Corp.</w:t>
      </w:r>
      <w:r w:rsidRPr="00B257D2">
        <w:rPr>
          <w:rFonts w:ascii="GT America Lt" w:hAnsi="GT America Lt"/>
        </w:rPr>
        <w:t>, 2000 FTC LEXIS 23 (2000), a</w:t>
      </w:r>
      <w:r w:rsidRPr="00B257D2">
        <w:rPr>
          <w:rFonts w:ascii="GT America Lt" w:hAnsi="GT America Lt"/>
          <w:i/>
          <w:iCs/>
        </w:rPr>
        <w:t>ff’d sub nom. Trans Union Corp. v. FTC</w:t>
      </w:r>
      <w:r w:rsidRPr="00B257D2">
        <w:rPr>
          <w:rFonts w:ascii="GT America Lt" w:hAnsi="GT America Lt"/>
        </w:rPr>
        <w:t xml:space="preserve">, 245 F.3d 809, </w:t>
      </w:r>
      <w:r w:rsidRPr="00B257D2">
        <w:rPr>
          <w:rFonts w:ascii="GT America Lt" w:hAnsi="GT America Lt"/>
          <w:i/>
          <w:iCs/>
        </w:rPr>
        <w:t>reh. denied</w:t>
      </w:r>
      <w:r w:rsidRPr="00B257D2">
        <w:rPr>
          <w:rFonts w:ascii="GT America Lt" w:hAnsi="GT America Lt"/>
        </w:rPr>
        <w:t xml:space="preserve">, 267 F.3d 1138 (D.C. Cir. 2001), </w:t>
      </w:r>
      <w:r w:rsidRPr="00B257D2">
        <w:rPr>
          <w:rFonts w:ascii="GT America Lt" w:hAnsi="GT America Lt"/>
          <w:i/>
          <w:iCs/>
        </w:rPr>
        <w:t>cert. denied</w:t>
      </w:r>
      <w:r w:rsidRPr="00B257D2">
        <w:rPr>
          <w:rFonts w:ascii="GT America Lt" w:hAnsi="GT America Lt"/>
        </w:rPr>
        <w:t xml:space="preserve">, 122 S. Ct. 2386 (2002); </w:t>
      </w:r>
      <w:r w:rsidRPr="00B257D2">
        <w:rPr>
          <w:rFonts w:ascii="GT America Lt" w:hAnsi="GT America Lt"/>
          <w:i/>
          <w:iCs/>
        </w:rPr>
        <w:t>FTC v. TRW, Inc.</w:t>
      </w:r>
      <w:r w:rsidRPr="00B257D2">
        <w:rPr>
          <w:rFonts w:ascii="GT America Lt" w:hAnsi="GT America Lt"/>
        </w:rPr>
        <w:t xml:space="preserve">, Civil No. 3-91-CV2661-H (N.D. Tex. 1993) (consent decree); </w:t>
      </w:r>
      <w:proofErr w:type="spellStart"/>
      <w:r w:rsidRPr="00B257D2">
        <w:rPr>
          <w:rFonts w:ascii="GT America Lt" w:hAnsi="GT America Lt"/>
          <w:i/>
          <w:iCs/>
        </w:rPr>
        <w:t>Dotzler</w:t>
      </w:r>
      <w:proofErr w:type="spellEnd"/>
      <w:r w:rsidRPr="00B257D2">
        <w:rPr>
          <w:rFonts w:ascii="GT America Lt" w:hAnsi="GT America Lt"/>
          <w:i/>
          <w:iCs/>
        </w:rPr>
        <w:t xml:space="preserve"> v. Perot</w:t>
      </w:r>
      <w:r w:rsidRPr="00B257D2">
        <w:rPr>
          <w:rFonts w:ascii="GT America Lt" w:hAnsi="GT America Lt"/>
        </w:rPr>
        <w:t>, 914 F. Supp. 328 (E.D. Mo. 1996).”)</w:t>
      </w:r>
      <w:r w:rsidR="007B1347" w:rsidRPr="00B257D2">
        <w:rPr>
          <w:rFonts w:ascii="GT America Lt" w:hAnsi="GT America Lt"/>
        </w:rPr>
        <w:t>; 16 C.F.R. Part 600, App., § 603(4)(F) (FTC Commentary to Regulation V) (“A report limited solely to the consumer’s name and address alone, with no connotations as to credit worthiness or other characteristics, does not constitute a ‘consumer report,’ if it does not bear on any of the seven factors.”).</w:t>
      </w:r>
    </w:p>
  </w:footnote>
  <w:footnote w:id="23">
    <w:p w14:paraId="199FE9A6" w14:textId="1CD881E0" w:rsidR="00A04E74" w:rsidRPr="00B257D2" w:rsidRDefault="00A04E74">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See, e.g.</w:t>
      </w:r>
      <w:r w:rsidRPr="00B257D2">
        <w:rPr>
          <w:rFonts w:ascii="GT America Lt" w:hAnsi="GT America Lt"/>
        </w:rPr>
        <w:t>,</w:t>
      </w:r>
      <w:r w:rsidRPr="00B257D2">
        <w:rPr>
          <w:rFonts w:ascii="GT America Lt" w:hAnsi="GT America Lt"/>
          <w:i/>
          <w:iCs/>
        </w:rPr>
        <w:t xml:space="preserve"> Individual Reference Servs. Grp., Inc. v. F.T.C.</w:t>
      </w:r>
      <w:r w:rsidRPr="00B257D2">
        <w:rPr>
          <w:rFonts w:ascii="GT America Lt" w:hAnsi="GT America Lt"/>
        </w:rPr>
        <w:t xml:space="preserve">, 145 F. Supp. 2d 6, 17 (D.D.C. 2001), </w:t>
      </w:r>
      <w:r w:rsidRPr="00B257D2">
        <w:rPr>
          <w:rFonts w:ascii="GT America Lt" w:hAnsi="GT America Lt"/>
          <w:i/>
          <w:iCs/>
        </w:rPr>
        <w:t>aff</w:t>
      </w:r>
      <w:r w:rsidR="00E31BC7" w:rsidRPr="00B257D2">
        <w:rPr>
          <w:rFonts w:ascii="GT America Lt" w:hAnsi="GT America Lt"/>
          <w:i/>
          <w:iCs/>
        </w:rPr>
        <w:t>’</w:t>
      </w:r>
      <w:r w:rsidRPr="00B257D2">
        <w:rPr>
          <w:rFonts w:ascii="GT America Lt" w:hAnsi="GT America Lt"/>
          <w:i/>
          <w:iCs/>
        </w:rPr>
        <w:t>d sub nom.</w:t>
      </w:r>
      <w:r w:rsidRPr="00B257D2">
        <w:rPr>
          <w:rFonts w:ascii="GT America Lt" w:hAnsi="GT America Lt"/>
        </w:rPr>
        <w:t xml:space="preserve"> </w:t>
      </w:r>
      <w:r w:rsidRPr="00B257D2">
        <w:rPr>
          <w:rFonts w:ascii="GT America Lt" w:hAnsi="GT America Lt"/>
          <w:i/>
          <w:iCs/>
        </w:rPr>
        <w:t>Trans Union LLC v. F.T.C.</w:t>
      </w:r>
      <w:r w:rsidRPr="00B257D2">
        <w:rPr>
          <w:rFonts w:ascii="GT America Lt" w:hAnsi="GT America Lt"/>
        </w:rPr>
        <w:t>, 295 F.3d 42 (D.C. Cir. 2002) (“</w:t>
      </w:r>
      <w:r w:rsidR="00300CB1" w:rsidRPr="00B257D2">
        <w:rPr>
          <w:rFonts w:ascii="GT America Lt" w:hAnsi="GT America Lt"/>
        </w:rPr>
        <w:t xml:space="preserve">The </w:t>
      </w:r>
      <w:r w:rsidRPr="00B257D2">
        <w:rPr>
          <w:rFonts w:ascii="GT America Lt" w:hAnsi="GT America Lt"/>
        </w:rPr>
        <w:t xml:space="preserve">FCRA does not regulate the dissemination of information that is not contained in a </w:t>
      </w:r>
      <w:r w:rsidR="00693368" w:rsidRPr="00B257D2">
        <w:rPr>
          <w:rFonts w:ascii="GT America Lt" w:hAnsi="GT America Lt"/>
        </w:rPr>
        <w:t>‘</w:t>
      </w:r>
      <w:r w:rsidRPr="00B257D2">
        <w:rPr>
          <w:rFonts w:ascii="GT America Lt" w:hAnsi="GT America Lt"/>
        </w:rPr>
        <w:t>consumer report.’ In 2000, the FTC stated that the ‘credit header’ data at issue in this litigation—the name, address, social security number, and phone number of the consumer—was not subject to the FCRA because it ‘does not bear on creditworthiness, credit capacity, credit standing, character, general reputation, personal characteristics, or mode of living, unless such terms are given an impermissibly broad meaning.</w:t>
      </w:r>
      <w:r w:rsidR="00300CB1" w:rsidRPr="00B257D2">
        <w:rPr>
          <w:rFonts w:ascii="GT America Lt" w:hAnsi="GT America Lt"/>
        </w:rPr>
        <w:t>’</w:t>
      </w:r>
      <w:r w:rsidRPr="00B257D2">
        <w:rPr>
          <w:rFonts w:ascii="GT America Lt" w:hAnsi="GT America Lt"/>
        </w:rPr>
        <w:t>”)</w:t>
      </w:r>
      <w:r w:rsidR="007B1347" w:rsidRPr="00B257D2">
        <w:rPr>
          <w:rFonts w:ascii="GT America Lt" w:hAnsi="GT America Lt"/>
        </w:rPr>
        <w:t xml:space="preserve">; </w:t>
      </w:r>
      <w:r w:rsidR="007B1347" w:rsidRPr="00B257D2">
        <w:rPr>
          <w:rFonts w:ascii="GT America Lt" w:hAnsi="GT America Lt"/>
          <w:i/>
          <w:iCs/>
        </w:rPr>
        <w:t>Bickley v. Dish Network, LLC</w:t>
      </w:r>
      <w:r w:rsidR="007B1347" w:rsidRPr="00B257D2">
        <w:rPr>
          <w:rFonts w:ascii="GT America Lt" w:hAnsi="GT America Lt"/>
        </w:rPr>
        <w:t>, 751 F.3d 724, 729 (6th Cir. 2014) (holding that header information is not a consumer report)</w:t>
      </w:r>
      <w:r w:rsidR="00FA2011" w:rsidRPr="00B257D2">
        <w:rPr>
          <w:rFonts w:ascii="GT America Lt" w:hAnsi="GT America Lt"/>
        </w:rPr>
        <w:t xml:space="preserve">; </w:t>
      </w:r>
      <w:r w:rsidR="007B1347" w:rsidRPr="00B257D2">
        <w:rPr>
          <w:rStyle w:val="Emphasis"/>
          <w:rFonts w:ascii="GT America Lt" w:hAnsi="GT America Lt"/>
        </w:rPr>
        <w:t>Gray</w:t>
      </w:r>
      <w:r w:rsidR="007B1347" w:rsidRPr="00B257D2">
        <w:rPr>
          <w:rFonts w:ascii="GT America Lt" w:hAnsi="GT America Lt"/>
        </w:rPr>
        <w:t xml:space="preserve"> </w:t>
      </w:r>
      <w:r w:rsidR="007B1347" w:rsidRPr="00B257D2">
        <w:rPr>
          <w:rFonts w:ascii="GT America Lt" w:hAnsi="GT America Lt"/>
          <w:i/>
          <w:iCs/>
        </w:rPr>
        <w:t>v.</w:t>
      </w:r>
      <w:r w:rsidR="007B1347" w:rsidRPr="00B257D2">
        <w:rPr>
          <w:rFonts w:ascii="GT America Lt" w:hAnsi="GT America Lt"/>
        </w:rPr>
        <w:t xml:space="preserve"> </w:t>
      </w:r>
      <w:r w:rsidR="007B1347" w:rsidRPr="00B257D2">
        <w:rPr>
          <w:rStyle w:val="Emphasis"/>
          <w:rFonts w:ascii="GT America Lt" w:hAnsi="GT America Lt"/>
        </w:rPr>
        <w:t>Experian Info. Sols. Inc.</w:t>
      </w:r>
      <w:r w:rsidR="007B1347" w:rsidRPr="00B257D2">
        <w:rPr>
          <w:rStyle w:val="Emphasis"/>
          <w:rFonts w:ascii="GT America Lt" w:hAnsi="GT America Lt"/>
          <w:i w:val="0"/>
          <w:iCs w:val="0"/>
        </w:rPr>
        <w:t>,</w:t>
      </w:r>
      <w:r w:rsidR="007B1347" w:rsidRPr="00B257D2">
        <w:rPr>
          <w:rFonts w:ascii="GT America Lt" w:hAnsi="GT America Lt"/>
        </w:rPr>
        <w:t xml:space="preserve"> No. 8:23-CV-981-WFJ-AEP, 2023 WL 6895993, at *3-4 (M.D. Fla. Oct. 19, 2023) (“Courts, generally, have held that personal identifying information such as a consumer</w:t>
      </w:r>
      <w:r w:rsidR="00693368" w:rsidRPr="00B257D2">
        <w:rPr>
          <w:rFonts w:ascii="GT America Lt" w:hAnsi="GT America Lt"/>
        </w:rPr>
        <w:t>’</w:t>
      </w:r>
      <w:r w:rsidR="007B1347" w:rsidRPr="00B257D2">
        <w:rPr>
          <w:rFonts w:ascii="GT America Lt" w:hAnsi="GT America Lt"/>
        </w:rPr>
        <w:t xml:space="preserve">s name and social security number does not itself constitute a credit report but only ‘header information.’”); </w:t>
      </w:r>
      <w:r w:rsidR="007B1347" w:rsidRPr="00B257D2">
        <w:rPr>
          <w:rStyle w:val="Emphasis"/>
          <w:rFonts w:ascii="GT America Lt" w:hAnsi="GT America Lt"/>
        </w:rPr>
        <w:t>Ali</w:t>
      </w:r>
      <w:r w:rsidR="007B1347" w:rsidRPr="00B257D2">
        <w:rPr>
          <w:rFonts w:ascii="GT America Lt" w:hAnsi="GT America Lt"/>
        </w:rPr>
        <w:t xml:space="preserve"> </w:t>
      </w:r>
      <w:r w:rsidR="007B1347" w:rsidRPr="00B257D2">
        <w:rPr>
          <w:rFonts w:ascii="GT America Lt" w:hAnsi="GT America Lt"/>
          <w:i/>
          <w:iCs/>
        </w:rPr>
        <w:t>v.</w:t>
      </w:r>
      <w:r w:rsidR="007B1347" w:rsidRPr="00B257D2">
        <w:rPr>
          <w:rFonts w:ascii="GT America Lt" w:hAnsi="GT America Lt"/>
        </w:rPr>
        <w:t xml:space="preserve"> </w:t>
      </w:r>
      <w:proofErr w:type="spellStart"/>
      <w:r w:rsidR="007B1347" w:rsidRPr="00B257D2">
        <w:rPr>
          <w:rStyle w:val="Emphasis"/>
          <w:rFonts w:ascii="GT America Lt" w:hAnsi="GT America Lt"/>
        </w:rPr>
        <w:t>Vikar</w:t>
      </w:r>
      <w:proofErr w:type="spellEnd"/>
      <w:r w:rsidR="007B1347" w:rsidRPr="00B257D2">
        <w:rPr>
          <w:rStyle w:val="Emphasis"/>
          <w:rFonts w:ascii="GT America Lt" w:hAnsi="GT America Lt"/>
        </w:rPr>
        <w:t xml:space="preserve"> Mgmt. Ltd.</w:t>
      </w:r>
      <w:r w:rsidR="007B1347" w:rsidRPr="00B257D2">
        <w:rPr>
          <w:rStyle w:val="Emphasis"/>
          <w:rFonts w:ascii="GT America Lt" w:hAnsi="GT America Lt"/>
          <w:i w:val="0"/>
          <w:iCs w:val="0"/>
        </w:rPr>
        <w:t>,</w:t>
      </w:r>
      <w:r w:rsidR="007B1347" w:rsidRPr="00B257D2">
        <w:rPr>
          <w:rFonts w:ascii="GT America Lt" w:hAnsi="GT America Lt"/>
          <w:i/>
        </w:rPr>
        <w:t xml:space="preserve"> </w:t>
      </w:r>
      <w:r w:rsidR="007B1347" w:rsidRPr="00B257D2">
        <w:rPr>
          <w:rFonts w:ascii="GT America Lt" w:hAnsi="GT America Lt"/>
        </w:rPr>
        <w:t>994 F. Supp. 492, 497, 499 (S.D.N.Y. 1998) (“Address information on a consumer, for example, is not a consumer report because it is not information that bears on any of the characteristics described in 15 U.S.C. § 1681a(d)(1).”).</w:t>
      </w:r>
    </w:p>
  </w:footnote>
  <w:footnote w:id="24">
    <w:p w14:paraId="03BF7C06" w14:textId="079ED1D0" w:rsidR="00AC0339" w:rsidRPr="00B257D2" w:rsidRDefault="00AC0339" w:rsidP="0037076B">
      <w:pPr>
        <w:spacing w:after="0" w:line="240" w:lineRule="auto"/>
        <w:rPr>
          <w:rFonts w:ascii="GT America Lt" w:hAnsi="GT America Lt"/>
          <w:sz w:val="20"/>
          <w:szCs w:val="20"/>
        </w:rPr>
      </w:pPr>
      <w:r w:rsidRPr="00B257D2">
        <w:rPr>
          <w:rFonts w:ascii="GT America Lt" w:hAnsi="GT America Lt"/>
          <w:sz w:val="20"/>
          <w:szCs w:val="20"/>
        </w:rPr>
        <w:footnoteRef/>
      </w:r>
      <w:r w:rsidRPr="00B257D2">
        <w:rPr>
          <w:rFonts w:ascii="GT America Lt" w:hAnsi="GT America Lt"/>
          <w:sz w:val="20"/>
          <w:szCs w:val="20"/>
        </w:rPr>
        <w:t xml:space="preserve"> </w:t>
      </w:r>
      <w:r w:rsidRPr="00B257D2">
        <w:rPr>
          <w:rFonts w:ascii="GT America Lt" w:hAnsi="GT America Lt"/>
          <w:i/>
          <w:iCs/>
          <w:sz w:val="20"/>
          <w:szCs w:val="20"/>
        </w:rPr>
        <w:t>Loper Bright Enterprises v. Raimondo</w:t>
      </w:r>
      <w:r w:rsidRPr="00B257D2">
        <w:rPr>
          <w:rFonts w:ascii="GT America Lt" w:hAnsi="GT America Lt"/>
          <w:sz w:val="20"/>
          <w:szCs w:val="20"/>
        </w:rPr>
        <w:t>, 603 U.S. 369 (2024).</w:t>
      </w:r>
    </w:p>
  </w:footnote>
  <w:footnote w:id="25">
    <w:p w14:paraId="6B1641FC" w14:textId="55167D2C" w:rsidR="004517C6" w:rsidRPr="00B257D2" w:rsidRDefault="004517C6" w:rsidP="004517C6">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Fed. Trade Comm’n, </w:t>
      </w:r>
      <w:r w:rsidRPr="00B257D2">
        <w:rPr>
          <w:rFonts w:ascii="GT America Lt" w:hAnsi="GT America Lt"/>
          <w:i/>
          <w:iCs/>
        </w:rPr>
        <w:t>Protecting Consumer Privacy in an Era of Rapid Change: Recommendations for Businesses and Policymakers</w:t>
      </w:r>
      <w:r w:rsidRPr="00B257D2">
        <w:rPr>
          <w:rFonts w:ascii="GT America Lt" w:hAnsi="GT America Lt"/>
        </w:rPr>
        <w:t xml:space="preserve"> iv (Mar. 2012), at </w:t>
      </w:r>
      <w:hyperlink r:id="rId4" w:history="1">
        <w:r w:rsidRPr="00B257D2">
          <w:rPr>
            <w:rStyle w:val="Hyperlink"/>
            <w:rFonts w:ascii="GT America Lt" w:hAnsi="GT America Lt"/>
          </w:rPr>
          <w:t>https://www.ftc.gov/sites/default/files/documents/reports/federal-trade-commission-report-protecting-consumer-privacy-era-rapid-change-recommendations/120326privacyreport.pdf</w:t>
        </w:r>
      </w:hyperlink>
      <w:r w:rsidRPr="00B257D2">
        <w:rPr>
          <w:rFonts w:ascii="GT America Lt" w:hAnsi="GT America Lt"/>
        </w:rPr>
        <w:t>.</w:t>
      </w:r>
      <w:r w:rsidR="001043F5" w:rsidRPr="00B257D2">
        <w:rPr>
          <w:rFonts w:ascii="GT America Lt" w:hAnsi="GT America Lt"/>
        </w:rPr>
        <w:t xml:space="preserve"> </w:t>
      </w:r>
    </w:p>
  </w:footnote>
  <w:footnote w:id="26">
    <w:p w14:paraId="635B060F" w14:textId="06A7D5A9" w:rsidR="006B4783" w:rsidRPr="00B257D2" w:rsidRDefault="006B4783">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Furnish</w:t>
      </w:r>
      <w:r w:rsidRPr="00B257D2">
        <w:rPr>
          <w:rFonts w:ascii="GT America Lt" w:hAnsi="GT America Lt"/>
        </w:rPr>
        <w:t>, Black’s Law Dictionary (6</w:t>
      </w:r>
      <w:r w:rsidRPr="00B257D2">
        <w:rPr>
          <w:rFonts w:ascii="GT America Lt" w:hAnsi="GT America Lt"/>
          <w:vertAlign w:val="superscript"/>
        </w:rPr>
        <w:t>th</w:t>
      </w:r>
      <w:r w:rsidRPr="00B257D2">
        <w:rPr>
          <w:rFonts w:ascii="GT America Lt" w:hAnsi="GT America Lt"/>
        </w:rPr>
        <w:t xml:space="preserve"> ed. 1990).</w:t>
      </w:r>
    </w:p>
  </w:footnote>
  <w:footnote w:id="27">
    <w:p w14:paraId="1F0C647A" w14:textId="5721DF6E" w:rsidR="00536C90" w:rsidRPr="00B257D2" w:rsidRDefault="00536C90">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00A04E74" w:rsidRPr="00B257D2">
        <w:rPr>
          <w:rFonts w:ascii="GT America Lt" w:hAnsi="GT America Lt"/>
        </w:rPr>
        <w:t>1</w:t>
      </w:r>
      <w:r w:rsidR="00D013F7" w:rsidRPr="00B257D2">
        <w:rPr>
          <w:rFonts w:ascii="GT America Lt" w:hAnsi="GT America Lt"/>
        </w:rPr>
        <w:t>5</w:t>
      </w:r>
      <w:r w:rsidR="00A04E74" w:rsidRPr="00B257D2">
        <w:rPr>
          <w:rFonts w:ascii="GT America Lt" w:hAnsi="GT America Lt"/>
        </w:rPr>
        <w:t xml:space="preserve"> U.S.C. </w:t>
      </w:r>
      <w:r w:rsidRPr="00B257D2">
        <w:rPr>
          <w:rFonts w:ascii="GT America Lt" w:hAnsi="GT America Lt"/>
        </w:rPr>
        <w:t xml:space="preserve">§ 1681a(f). </w:t>
      </w:r>
    </w:p>
  </w:footnote>
  <w:footnote w:id="28">
    <w:p w14:paraId="4FB37E48" w14:textId="772548C6" w:rsidR="003E3D0E" w:rsidRPr="00B257D2" w:rsidRDefault="003E3D0E">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Kidd v. Thomson Reuters Corp.</w:t>
      </w:r>
      <w:r w:rsidRPr="00B257D2">
        <w:rPr>
          <w:rFonts w:ascii="GT America Lt" w:hAnsi="GT America Lt"/>
        </w:rPr>
        <w:t>, 925 F.3d 99, 104 (2nd Cir. 2019)</w:t>
      </w:r>
      <w:r w:rsidR="001043F5" w:rsidRPr="00B257D2">
        <w:rPr>
          <w:rFonts w:ascii="GT America Lt" w:hAnsi="GT America Lt"/>
        </w:rPr>
        <w:t xml:space="preserve"> (emphasis added)</w:t>
      </w:r>
      <w:r w:rsidRPr="00B257D2">
        <w:rPr>
          <w:rFonts w:ascii="GT America Lt" w:hAnsi="GT America Lt"/>
        </w:rPr>
        <w:t>.</w:t>
      </w:r>
    </w:p>
  </w:footnote>
  <w:footnote w:id="29">
    <w:p w14:paraId="665DE58B" w14:textId="3833D464" w:rsidR="005B0E7F" w:rsidRPr="00B257D2" w:rsidRDefault="005B0E7F">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 xml:space="preserve">Zabriskie v. Federal </w:t>
      </w:r>
      <w:proofErr w:type="spellStart"/>
      <w:r w:rsidRPr="00B257D2">
        <w:rPr>
          <w:rFonts w:ascii="GT America Lt" w:hAnsi="GT America Lt"/>
          <w:i/>
          <w:iCs/>
        </w:rPr>
        <w:t>Nat’l</w:t>
      </w:r>
      <w:proofErr w:type="spellEnd"/>
      <w:r w:rsidRPr="00B257D2">
        <w:rPr>
          <w:rFonts w:ascii="GT America Lt" w:hAnsi="GT America Lt"/>
          <w:i/>
          <w:iCs/>
        </w:rPr>
        <w:t xml:space="preserve"> </w:t>
      </w:r>
      <w:proofErr w:type="spellStart"/>
      <w:r w:rsidRPr="00B257D2">
        <w:rPr>
          <w:rFonts w:ascii="GT America Lt" w:hAnsi="GT America Lt"/>
          <w:i/>
          <w:iCs/>
        </w:rPr>
        <w:t>Mortg</w:t>
      </w:r>
      <w:proofErr w:type="spellEnd"/>
      <w:r w:rsidRPr="00B257D2">
        <w:rPr>
          <w:rFonts w:ascii="GT America Lt" w:hAnsi="GT America Lt"/>
          <w:i/>
          <w:iCs/>
        </w:rPr>
        <w:t>. Assn.</w:t>
      </w:r>
      <w:r w:rsidRPr="00B257D2">
        <w:rPr>
          <w:rFonts w:ascii="GT America Lt" w:hAnsi="GT America Lt"/>
        </w:rPr>
        <w:t>, 940 F.3d 1022, 1027-28 (9th Cir. 2019).</w:t>
      </w:r>
    </w:p>
  </w:footnote>
  <w:footnote w:id="30">
    <w:p w14:paraId="38F9DDEC" w14:textId="54A13B59" w:rsidR="005B0E7F" w:rsidRPr="00B257D2" w:rsidRDefault="005B0E7F">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Id.</w:t>
      </w:r>
    </w:p>
  </w:footnote>
  <w:footnote w:id="31">
    <w:p w14:paraId="259A8F42" w14:textId="77777777" w:rsidR="005B07FE" w:rsidRPr="00B257D2" w:rsidRDefault="005B07FE" w:rsidP="005B07FE">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SIIA, </w:t>
      </w:r>
      <w:r w:rsidRPr="00B257D2">
        <w:rPr>
          <w:rFonts w:ascii="GT America Lt" w:hAnsi="GT America Lt"/>
          <w:i/>
          <w:iCs/>
        </w:rPr>
        <w:t>SIIA Urges CFPB to Protect Data Brokers and First Amendment Rights</w:t>
      </w:r>
      <w:r w:rsidRPr="00B257D2">
        <w:rPr>
          <w:rFonts w:ascii="GT America Lt" w:hAnsi="GT America Lt"/>
        </w:rPr>
        <w:t xml:space="preserve"> (July 14, 2023), at </w:t>
      </w:r>
      <w:hyperlink r:id="rId5" w:history="1">
        <w:r w:rsidRPr="00B257D2">
          <w:rPr>
            <w:rStyle w:val="Hyperlink"/>
            <w:rFonts w:ascii="GT America Lt" w:hAnsi="GT America Lt"/>
          </w:rPr>
          <w:t>https://www.siia.net/siia-urges-cfpb-to-protect-data-brokers-and-first-amendment-rights/</w:t>
        </w:r>
      </w:hyperlink>
      <w:r w:rsidRPr="00B257D2">
        <w:rPr>
          <w:rFonts w:ascii="GT America Lt" w:hAnsi="GT America Lt"/>
        </w:rPr>
        <w:t xml:space="preserve">. </w:t>
      </w:r>
    </w:p>
  </w:footnote>
  <w:footnote w:id="32">
    <w:p w14:paraId="3576AA39" w14:textId="77777777" w:rsidR="005B07FE" w:rsidRPr="00B257D2" w:rsidRDefault="005B07FE" w:rsidP="005B07FE">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Sorrell v. IMS Health Inc.</w:t>
      </w:r>
      <w:r w:rsidRPr="00B257D2">
        <w:rPr>
          <w:rFonts w:ascii="GT America Lt" w:hAnsi="GT America Lt"/>
        </w:rPr>
        <w:t>, 564 U.S. 552, 570 (2011).</w:t>
      </w:r>
    </w:p>
  </w:footnote>
  <w:footnote w:id="33">
    <w:p w14:paraId="03E1F77A" w14:textId="77777777" w:rsidR="00BC5DEE" w:rsidRPr="00B257D2" w:rsidRDefault="00BC5DEE" w:rsidP="00BC5DEE">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Fed. Trade Comm’n, </w:t>
      </w:r>
      <w:r w:rsidRPr="00B257D2">
        <w:rPr>
          <w:rFonts w:ascii="GT America Lt" w:hAnsi="GT America Lt"/>
          <w:i/>
          <w:iCs/>
        </w:rPr>
        <w:t>Protecting Consumer Privacy in an Era of Rapid Change: Recommendations for Businesses and Policymakers</w:t>
      </w:r>
      <w:r w:rsidRPr="00B257D2">
        <w:rPr>
          <w:rFonts w:ascii="GT America Lt" w:hAnsi="GT America Lt"/>
        </w:rPr>
        <w:t xml:space="preserve"> iv (Mar. 2012), at </w:t>
      </w:r>
      <w:hyperlink r:id="rId6" w:history="1">
        <w:r w:rsidRPr="00B257D2">
          <w:rPr>
            <w:rStyle w:val="Hyperlink"/>
            <w:rFonts w:ascii="GT America Lt" w:hAnsi="GT America Lt"/>
          </w:rPr>
          <w:t>https://www.ftc.gov/sites/default/files/documents/reports/federal-trade-commission-report-protecting-consumer-privacy-era-rapid-change-recommendations/120326privacyreport.pdf</w:t>
        </w:r>
      </w:hyperlink>
      <w:r w:rsidRPr="00B257D2">
        <w:rPr>
          <w:rFonts w:ascii="GT America Lt" w:hAnsi="GT America Lt"/>
        </w:rPr>
        <w:t>.</w:t>
      </w:r>
    </w:p>
  </w:footnote>
  <w:footnote w:id="34">
    <w:p w14:paraId="0EDFC0EA" w14:textId="77777777" w:rsidR="00BC5DEE" w:rsidRPr="00B257D2" w:rsidRDefault="00BC5DEE" w:rsidP="00BC5DEE">
      <w:pPr>
        <w:pStyle w:val="FootnoteText"/>
        <w:rPr>
          <w:rFonts w:ascii="GT America Lt" w:hAnsi="GT America Lt"/>
        </w:rPr>
      </w:pPr>
      <w:r w:rsidRPr="00B257D2">
        <w:rPr>
          <w:rStyle w:val="FootnoteReference"/>
          <w:rFonts w:ascii="GT America Lt" w:hAnsi="GT America Lt"/>
        </w:rPr>
        <w:footnoteRef/>
      </w:r>
      <w:r w:rsidRPr="00B257D2">
        <w:rPr>
          <w:rFonts w:ascii="GT America Lt" w:hAnsi="GT America Lt"/>
        </w:rPr>
        <w:t xml:space="preserve"> </w:t>
      </w:r>
      <w:r w:rsidRPr="00B257D2">
        <w:rPr>
          <w:rFonts w:ascii="GT America Lt" w:hAnsi="GT America Lt"/>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76C8" w14:textId="7F9A3A77" w:rsidR="00373CE9" w:rsidRDefault="00373CE9" w:rsidP="00373CE9">
    <w:pPr>
      <w:pStyle w:val="Header"/>
    </w:pPr>
  </w:p>
  <w:p w14:paraId="6E31228E" w14:textId="77FEEB81" w:rsidR="00373CE9" w:rsidRDefault="000C1B7D" w:rsidP="000C1B7D">
    <w:pPr>
      <w:pStyle w:val="Header"/>
      <w:tabs>
        <w:tab w:val="clear" w:pos="4680"/>
        <w:tab w:val="clear" w:pos="9360"/>
        <w:tab w:val="left" w:pos="197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3B98" w14:textId="766FB8FD" w:rsidR="000C1B7D" w:rsidRDefault="00474645">
    <w:pPr>
      <w:pStyle w:val="Header"/>
    </w:pPr>
    <w:r>
      <w:rPr>
        <w:noProof/>
      </w:rPr>
      <w:drawing>
        <wp:inline distT="0" distB="0" distL="0" distR="0" wp14:anchorId="3718C124" wp14:editId="26A7ACF4">
          <wp:extent cx="5943600" cy="792480"/>
          <wp:effectExtent l="0" t="0" r="0" b="762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7F5"/>
    <w:multiLevelType w:val="hybridMultilevel"/>
    <w:tmpl w:val="C4CC5A9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B3DE8"/>
    <w:multiLevelType w:val="hybridMultilevel"/>
    <w:tmpl w:val="5F2EC75C"/>
    <w:lvl w:ilvl="0" w:tplc="ABB24DF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343BE"/>
    <w:multiLevelType w:val="hybridMultilevel"/>
    <w:tmpl w:val="113A3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98185A"/>
    <w:multiLevelType w:val="hybridMultilevel"/>
    <w:tmpl w:val="9D80DC28"/>
    <w:lvl w:ilvl="0" w:tplc="6D4A3306">
      <w:start w:val="1"/>
      <w:numFmt w:val="upperRoman"/>
      <w:lvlText w:val="%1."/>
      <w:lvlJc w:val="right"/>
      <w:pPr>
        <w:ind w:left="1080" w:hanging="360"/>
      </w:pPr>
      <w:rPr>
        <w:rFonts w:hint="default"/>
        <w:b/>
        <w:bCs/>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D47A0630">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132A2"/>
    <w:multiLevelType w:val="hybridMultilevel"/>
    <w:tmpl w:val="5FD4E1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4331594"/>
    <w:multiLevelType w:val="hybridMultilevel"/>
    <w:tmpl w:val="2DC2CD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CD7F7A"/>
    <w:multiLevelType w:val="hybridMultilevel"/>
    <w:tmpl w:val="8DDA84AC"/>
    <w:lvl w:ilvl="0" w:tplc="9162059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F6D6A"/>
    <w:multiLevelType w:val="hybridMultilevel"/>
    <w:tmpl w:val="7B34E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CF3CA3"/>
    <w:multiLevelType w:val="hybridMultilevel"/>
    <w:tmpl w:val="DCA430FC"/>
    <w:lvl w:ilvl="0" w:tplc="04090019">
      <w:start w:val="1"/>
      <w:numFmt w:val="lowerLetter"/>
      <w:lvlText w:val="%1."/>
      <w:lvlJc w:val="left"/>
      <w:pPr>
        <w:ind w:left="1440" w:hanging="360"/>
      </w:pPr>
    </w:lvl>
    <w:lvl w:ilvl="1" w:tplc="ABB24DF6">
      <w:start w:val="1"/>
      <w:numFmt w:val="lowerLetter"/>
      <w:lvlText w:val="%2."/>
      <w:lvlJc w:val="left"/>
      <w:pPr>
        <w:ind w:left="2160" w:hanging="360"/>
      </w:pPr>
      <w:rPr>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04453795">
    <w:abstractNumId w:val="0"/>
  </w:num>
  <w:num w:numId="2" w16cid:durableId="164173796">
    <w:abstractNumId w:val="3"/>
  </w:num>
  <w:num w:numId="3" w16cid:durableId="665783224">
    <w:abstractNumId w:val="0"/>
  </w:num>
  <w:num w:numId="4" w16cid:durableId="329413632">
    <w:abstractNumId w:val="7"/>
  </w:num>
  <w:num w:numId="5" w16cid:durableId="909390717">
    <w:abstractNumId w:val="2"/>
  </w:num>
  <w:num w:numId="6" w16cid:durableId="401755734">
    <w:abstractNumId w:val="8"/>
  </w:num>
  <w:num w:numId="7" w16cid:durableId="632371155">
    <w:abstractNumId w:val="0"/>
  </w:num>
  <w:num w:numId="8" w16cid:durableId="43023243">
    <w:abstractNumId w:val="0"/>
  </w:num>
  <w:num w:numId="9" w16cid:durableId="17434520">
    <w:abstractNumId w:val="1"/>
  </w:num>
  <w:num w:numId="10" w16cid:durableId="968776714">
    <w:abstractNumId w:val="4"/>
  </w:num>
  <w:num w:numId="11" w16cid:durableId="192691211">
    <w:abstractNumId w:val="0"/>
  </w:num>
  <w:num w:numId="12" w16cid:durableId="2080859557">
    <w:abstractNumId w:val="5"/>
  </w:num>
  <w:num w:numId="13" w16cid:durableId="1768041034">
    <w:abstractNumId w:val="0"/>
  </w:num>
  <w:num w:numId="14" w16cid:durableId="210188783">
    <w:abstractNumId w:val="0"/>
  </w:num>
  <w:num w:numId="15" w16cid:durableId="569194712">
    <w:abstractNumId w:val="0"/>
  </w:num>
  <w:num w:numId="16" w16cid:durableId="1095592698">
    <w:abstractNumId w:val="0"/>
  </w:num>
  <w:num w:numId="17" w16cid:durableId="537159398">
    <w:abstractNumId w:val="0"/>
  </w:num>
  <w:num w:numId="18" w16cid:durableId="1536697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29"/>
    <w:rsid w:val="000008C4"/>
    <w:rsid w:val="00011733"/>
    <w:rsid w:val="0002719D"/>
    <w:rsid w:val="00034C72"/>
    <w:rsid w:val="00043322"/>
    <w:rsid w:val="00061196"/>
    <w:rsid w:val="0007107A"/>
    <w:rsid w:val="00092843"/>
    <w:rsid w:val="000B6676"/>
    <w:rsid w:val="000B7FCB"/>
    <w:rsid w:val="000C1B7D"/>
    <w:rsid w:val="000C78BC"/>
    <w:rsid w:val="000E0203"/>
    <w:rsid w:val="000E1A0E"/>
    <w:rsid w:val="000F3C86"/>
    <w:rsid w:val="000F6A41"/>
    <w:rsid w:val="001043F5"/>
    <w:rsid w:val="0011589E"/>
    <w:rsid w:val="00123EAB"/>
    <w:rsid w:val="001325FE"/>
    <w:rsid w:val="00142519"/>
    <w:rsid w:val="001510AE"/>
    <w:rsid w:val="00154B03"/>
    <w:rsid w:val="001564D3"/>
    <w:rsid w:val="00175D29"/>
    <w:rsid w:val="00175E1D"/>
    <w:rsid w:val="00195134"/>
    <w:rsid w:val="00195C44"/>
    <w:rsid w:val="001A3290"/>
    <w:rsid w:val="001A5FFB"/>
    <w:rsid w:val="001B17EE"/>
    <w:rsid w:val="001C1565"/>
    <w:rsid w:val="001C3EDB"/>
    <w:rsid w:val="001D098A"/>
    <w:rsid w:val="001D5687"/>
    <w:rsid w:val="001E3FA2"/>
    <w:rsid w:val="00215756"/>
    <w:rsid w:val="00235EB4"/>
    <w:rsid w:val="00245478"/>
    <w:rsid w:val="00256E8A"/>
    <w:rsid w:val="00272CDD"/>
    <w:rsid w:val="002816EA"/>
    <w:rsid w:val="002A3ECF"/>
    <w:rsid w:val="002A5AED"/>
    <w:rsid w:val="002A6E79"/>
    <w:rsid w:val="002B3A1C"/>
    <w:rsid w:val="002C0C53"/>
    <w:rsid w:val="00300CB1"/>
    <w:rsid w:val="00310A59"/>
    <w:rsid w:val="003467A1"/>
    <w:rsid w:val="0036319C"/>
    <w:rsid w:val="0037076B"/>
    <w:rsid w:val="00373CE9"/>
    <w:rsid w:val="00382FEE"/>
    <w:rsid w:val="003A48E2"/>
    <w:rsid w:val="003E3D0E"/>
    <w:rsid w:val="003E7EBD"/>
    <w:rsid w:val="003F132B"/>
    <w:rsid w:val="00422C77"/>
    <w:rsid w:val="0042307D"/>
    <w:rsid w:val="00434AFA"/>
    <w:rsid w:val="00450CC4"/>
    <w:rsid w:val="004517C6"/>
    <w:rsid w:val="00474645"/>
    <w:rsid w:val="0048159B"/>
    <w:rsid w:val="00490FD0"/>
    <w:rsid w:val="004935C6"/>
    <w:rsid w:val="004A2D58"/>
    <w:rsid w:val="004B1BE6"/>
    <w:rsid w:val="004B65B9"/>
    <w:rsid w:val="004D0078"/>
    <w:rsid w:val="004D0C10"/>
    <w:rsid w:val="004E6C27"/>
    <w:rsid w:val="004F2DAB"/>
    <w:rsid w:val="005224ED"/>
    <w:rsid w:val="0053447F"/>
    <w:rsid w:val="00536C90"/>
    <w:rsid w:val="00542055"/>
    <w:rsid w:val="005969A3"/>
    <w:rsid w:val="005B07FE"/>
    <w:rsid w:val="005B0E7F"/>
    <w:rsid w:val="005C5D85"/>
    <w:rsid w:val="005E71A1"/>
    <w:rsid w:val="00605F27"/>
    <w:rsid w:val="0062409D"/>
    <w:rsid w:val="006242CD"/>
    <w:rsid w:val="00632739"/>
    <w:rsid w:val="00646F61"/>
    <w:rsid w:val="00647777"/>
    <w:rsid w:val="006612DE"/>
    <w:rsid w:val="006673F7"/>
    <w:rsid w:val="0068442D"/>
    <w:rsid w:val="00684A70"/>
    <w:rsid w:val="00693368"/>
    <w:rsid w:val="006B4783"/>
    <w:rsid w:val="006C79C9"/>
    <w:rsid w:val="006D093C"/>
    <w:rsid w:val="0070289B"/>
    <w:rsid w:val="00712C91"/>
    <w:rsid w:val="007520D1"/>
    <w:rsid w:val="0075540C"/>
    <w:rsid w:val="007572BC"/>
    <w:rsid w:val="007739E6"/>
    <w:rsid w:val="00793B7B"/>
    <w:rsid w:val="007B1347"/>
    <w:rsid w:val="007D5773"/>
    <w:rsid w:val="007F48E3"/>
    <w:rsid w:val="007F5BFF"/>
    <w:rsid w:val="00801740"/>
    <w:rsid w:val="00803DF0"/>
    <w:rsid w:val="00817B1C"/>
    <w:rsid w:val="008206DE"/>
    <w:rsid w:val="008222B1"/>
    <w:rsid w:val="008233E1"/>
    <w:rsid w:val="00845861"/>
    <w:rsid w:val="0086214B"/>
    <w:rsid w:val="008B091C"/>
    <w:rsid w:val="008C04CE"/>
    <w:rsid w:val="008E3F5E"/>
    <w:rsid w:val="008F6CBB"/>
    <w:rsid w:val="00900F29"/>
    <w:rsid w:val="0091721C"/>
    <w:rsid w:val="00921187"/>
    <w:rsid w:val="00923863"/>
    <w:rsid w:val="00936225"/>
    <w:rsid w:val="00936C8F"/>
    <w:rsid w:val="009439C2"/>
    <w:rsid w:val="0095372A"/>
    <w:rsid w:val="00954596"/>
    <w:rsid w:val="00960C37"/>
    <w:rsid w:val="009924F8"/>
    <w:rsid w:val="00993F87"/>
    <w:rsid w:val="009A14DD"/>
    <w:rsid w:val="009C10FA"/>
    <w:rsid w:val="009C5FFA"/>
    <w:rsid w:val="009E5779"/>
    <w:rsid w:val="009F0B20"/>
    <w:rsid w:val="009F575E"/>
    <w:rsid w:val="009F622A"/>
    <w:rsid w:val="00A04E74"/>
    <w:rsid w:val="00A256FB"/>
    <w:rsid w:val="00A51420"/>
    <w:rsid w:val="00A82806"/>
    <w:rsid w:val="00AA3339"/>
    <w:rsid w:val="00AC0339"/>
    <w:rsid w:val="00AC0BA3"/>
    <w:rsid w:val="00AD3A66"/>
    <w:rsid w:val="00AE583F"/>
    <w:rsid w:val="00AF3E73"/>
    <w:rsid w:val="00B05A9C"/>
    <w:rsid w:val="00B132DB"/>
    <w:rsid w:val="00B2209F"/>
    <w:rsid w:val="00B257D2"/>
    <w:rsid w:val="00B465F2"/>
    <w:rsid w:val="00B5587A"/>
    <w:rsid w:val="00B732B1"/>
    <w:rsid w:val="00BC5DEE"/>
    <w:rsid w:val="00BD0D1B"/>
    <w:rsid w:val="00BD7299"/>
    <w:rsid w:val="00BE2B54"/>
    <w:rsid w:val="00C115A0"/>
    <w:rsid w:val="00C138AF"/>
    <w:rsid w:val="00C166DB"/>
    <w:rsid w:val="00C4072F"/>
    <w:rsid w:val="00C45E3E"/>
    <w:rsid w:val="00C90AEC"/>
    <w:rsid w:val="00CB1471"/>
    <w:rsid w:val="00CB5137"/>
    <w:rsid w:val="00CC0D2F"/>
    <w:rsid w:val="00CC1372"/>
    <w:rsid w:val="00CF17A3"/>
    <w:rsid w:val="00D0103E"/>
    <w:rsid w:val="00D013F7"/>
    <w:rsid w:val="00D06389"/>
    <w:rsid w:val="00D116D9"/>
    <w:rsid w:val="00D23557"/>
    <w:rsid w:val="00D44B95"/>
    <w:rsid w:val="00D54466"/>
    <w:rsid w:val="00DB547A"/>
    <w:rsid w:val="00DC2F54"/>
    <w:rsid w:val="00DD3891"/>
    <w:rsid w:val="00DD44F6"/>
    <w:rsid w:val="00DF1337"/>
    <w:rsid w:val="00E17C7F"/>
    <w:rsid w:val="00E318EE"/>
    <w:rsid w:val="00E31BC7"/>
    <w:rsid w:val="00E50E23"/>
    <w:rsid w:val="00E669EA"/>
    <w:rsid w:val="00EC0651"/>
    <w:rsid w:val="00EC48C5"/>
    <w:rsid w:val="00EE10C4"/>
    <w:rsid w:val="00EE2DCC"/>
    <w:rsid w:val="00F0133B"/>
    <w:rsid w:val="00F06251"/>
    <w:rsid w:val="00F12582"/>
    <w:rsid w:val="00F33ADA"/>
    <w:rsid w:val="00F36F3E"/>
    <w:rsid w:val="00F46CAE"/>
    <w:rsid w:val="00F64457"/>
    <w:rsid w:val="00F73921"/>
    <w:rsid w:val="00F84B14"/>
    <w:rsid w:val="00FA190E"/>
    <w:rsid w:val="00FA2011"/>
    <w:rsid w:val="00FC7419"/>
    <w:rsid w:val="00FE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980A8"/>
  <w15:chartTrackingRefBased/>
  <w15:docId w15:val="{84A70EC6-3CA3-4A47-AD72-BF690D11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29"/>
    <w:rPr>
      <w:rFonts w:ascii="Segoe UI" w:hAnsi="Segoe U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FirstIndentChar">
    <w:name w:val="Body Text First Indent Char"/>
    <w:basedOn w:val="BodyTextChar"/>
    <w:link w:val="BodyTextFirstIndent"/>
    <w:uiPriority w:val="99"/>
    <w:semiHidden/>
    <w:rsid w:val="00900F29"/>
    <w:rPr>
      <w:rFonts w:ascii="Times New Roman" w:eastAsia="Times New Roman" w:hAnsi="Times New Roman" w:cs="Times New Roman"/>
      <w:kern w:val="0"/>
      <w:szCs w:val="26"/>
      <w14:ligatures w14:val="none"/>
    </w:rPr>
  </w:style>
  <w:style w:type="character" w:styleId="Hyperlink">
    <w:name w:val="Hyperlink"/>
    <w:basedOn w:val="DefaultParagraphFont"/>
    <w:uiPriority w:val="99"/>
    <w:unhideWhenUsed/>
    <w:rsid w:val="00900F29"/>
    <w:rPr>
      <w:color w:val="0563C1" w:themeColor="hyperlink"/>
      <w:u w:val="single"/>
    </w:rPr>
  </w:style>
  <w:style w:type="paragraph" w:styleId="ListParagraph">
    <w:name w:val="List Paragraph"/>
    <w:basedOn w:val="Normal"/>
    <w:link w:val="ListParagraphChar"/>
    <w:uiPriority w:val="34"/>
    <w:qFormat/>
    <w:rsid w:val="00900F29"/>
    <w:pPr>
      <w:spacing w:after="240" w:line="240" w:lineRule="auto"/>
    </w:pPr>
    <w:rPr>
      <w:rFonts w:cs="Segoe UI"/>
    </w:rPr>
  </w:style>
  <w:style w:type="paragraph" w:styleId="Header">
    <w:name w:val="header"/>
    <w:basedOn w:val="Normal"/>
    <w:link w:val="HeaderChar"/>
    <w:uiPriority w:val="99"/>
    <w:unhideWhenUsed/>
    <w:rsid w:val="00900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F29"/>
    <w:rPr>
      <w:rFonts w:ascii="Segoe UI" w:hAnsi="Segoe UI"/>
      <w:kern w:val="0"/>
      <w14:ligatures w14:val="none"/>
    </w:rPr>
  </w:style>
  <w:style w:type="paragraph" w:styleId="Footer">
    <w:name w:val="footer"/>
    <w:basedOn w:val="Normal"/>
    <w:link w:val="FooterChar"/>
    <w:uiPriority w:val="99"/>
    <w:unhideWhenUsed/>
    <w:rsid w:val="00900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F29"/>
    <w:rPr>
      <w:rFonts w:ascii="Segoe UI" w:hAnsi="Segoe UI"/>
      <w:kern w:val="0"/>
      <w14:ligatures w14:val="none"/>
    </w:rPr>
  </w:style>
  <w:style w:type="character" w:customStyle="1" w:styleId="FooterReferenceChar">
    <w:name w:val="Footer Reference Char"/>
    <w:basedOn w:val="ListParagraphChar"/>
    <w:link w:val="FooterReference"/>
    <w:semiHidden/>
    <w:rsid w:val="00900F29"/>
    <w:rPr>
      <w:rFonts w:ascii="Times New Roman" w:hAnsi="Times New Roman" w:cs="Times New Roman"/>
      <w:kern w:val="0"/>
      <w:sz w:val="16"/>
      <w14:ligatures w14:val="none"/>
    </w:rPr>
  </w:style>
  <w:style w:type="paragraph" w:customStyle="1" w:styleId="FooterReference">
    <w:name w:val="Footer Reference"/>
    <w:basedOn w:val="Footer"/>
    <w:link w:val="FooterReferenceChar"/>
    <w:semiHidden/>
    <w:rsid w:val="00900F29"/>
    <w:pPr>
      <w:ind w:left="720" w:hanging="360"/>
    </w:pPr>
    <w:rPr>
      <w:rFonts w:ascii="Times New Roman" w:hAnsi="Times New Roman" w:cs="Times New Roman"/>
      <w:sz w:val="16"/>
    </w:rPr>
  </w:style>
  <w:style w:type="character" w:customStyle="1" w:styleId="ListParagraphChar">
    <w:name w:val="List Paragraph Char"/>
    <w:basedOn w:val="DefaultParagraphFont"/>
    <w:link w:val="ListParagraph"/>
    <w:uiPriority w:val="34"/>
    <w:rsid w:val="00900F29"/>
    <w:rPr>
      <w:rFonts w:ascii="Segoe UI" w:hAnsi="Segoe UI" w:cs="Segoe UI"/>
      <w:kern w:val="0"/>
      <w14:ligatures w14:val="none"/>
    </w:rPr>
  </w:style>
  <w:style w:type="paragraph" w:styleId="FootnoteText">
    <w:name w:val="footnote text"/>
    <w:basedOn w:val="Normal"/>
    <w:link w:val="FootnoteTextChar"/>
    <w:uiPriority w:val="99"/>
    <w:unhideWhenUsed/>
    <w:rsid w:val="00900F29"/>
    <w:pPr>
      <w:spacing w:after="0" w:line="240" w:lineRule="auto"/>
    </w:pPr>
    <w:rPr>
      <w:sz w:val="20"/>
      <w:szCs w:val="20"/>
    </w:rPr>
  </w:style>
  <w:style w:type="character" w:customStyle="1" w:styleId="FootnoteTextChar">
    <w:name w:val="Footnote Text Char"/>
    <w:basedOn w:val="DefaultParagraphFont"/>
    <w:link w:val="FootnoteText"/>
    <w:uiPriority w:val="99"/>
    <w:rsid w:val="00900F29"/>
    <w:rPr>
      <w:rFonts w:ascii="Segoe UI" w:hAnsi="Segoe UI"/>
      <w:kern w:val="0"/>
      <w:sz w:val="20"/>
      <w:szCs w:val="20"/>
      <w14:ligatures w14:val="none"/>
    </w:rPr>
  </w:style>
  <w:style w:type="character" w:styleId="FootnoteReference">
    <w:name w:val="footnote reference"/>
    <w:basedOn w:val="DefaultParagraphFont"/>
    <w:uiPriority w:val="99"/>
    <w:semiHidden/>
    <w:unhideWhenUsed/>
    <w:rsid w:val="00900F29"/>
    <w:rPr>
      <w:vertAlign w:val="superscript"/>
    </w:rPr>
  </w:style>
  <w:style w:type="paragraph" w:styleId="BodyText">
    <w:name w:val="Body Text"/>
    <w:basedOn w:val="Normal"/>
    <w:link w:val="BodyTextChar"/>
    <w:unhideWhenUsed/>
    <w:qFormat/>
    <w:rsid w:val="00900F29"/>
    <w:pPr>
      <w:spacing w:after="120"/>
    </w:pPr>
  </w:style>
  <w:style w:type="character" w:customStyle="1" w:styleId="BodyTextChar">
    <w:name w:val="Body Text Char"/>
    <w:basedOn w:val="DefaultParagraphFont"/>
    <w:link w:val="BodyText"/>
    <w:rsid w:val="00900F29"/>
    <w:rPr>
      <w:rFonts w:ascii="Segoe UI" w:hAnsi="Segoe UI"/>
      <w:kern w:val="0"/>
      <w14:ligatures w14:val="none"/>
    </w:rPr>
  </w:style>
  <w:style w:type="paragraph" w:styleId="BodyTextFirstIndent">
    <w:name w:val="Body Text First Indent"/>
    <w:basedOn w:val="BodyText"/>
    <w:link w:val="BodyTextFirstIndentChar"/>
    <w:uiPriority w:val="99"/>
    <w:semiHidden/>
    <w:rsid w:val="00900F29"/>
    <w:pPr>
      <w:spacing w:after="240" w:line="240" w:lineRule="auto"/>
      <w:ind w:firstLine="360"/>
      <w:jc w:val="both"/>
    </w:pPr>
    <w:rPr>
      <w:rFonts w:ascii="Times New Roman" w:eastAsia="Times New Roman" w:hAnsi="Times New Roman" w:cs="Times New Roman"/>
      <w:kern w:val="2"/>
      <w:szCs w:val="26"/>
      <w14:ligatures w14:val="standardContextual"/>
    </w:rPr>
  </w:style>
  <w:style w:type="character" w:customStyle="1" w:styleId="BodyTextFirstIndentChar1">
    <w:name w:val="Body Text First Indent Char1"/>
    <w:basedOn w:val="BodyTextChar"/>
    <w:uiPriority w:val="99"/>
    <w:semiHidden/>
    <w:rsid w:val="00900F29"/>
    <w:rPr>
      <w:rFonts w:ascii="Segoe UI" w:hAnsi="Segoe UI"/>
      <w:kern w:val="0"/>
      <w14:ligatures w14:val="none"/>
    </w:rPr>
  </w:style>
  <w:style w:type="character" w:styleId="UnresolvedMention">
    <w:name w:val="Unresolved Mention"/>
    <w:basedOn w:val="DefaultParagraphFont"/>
    <w:uiPriority w:val="99"/>
    <w:semiHidden/>
    <w:unhideWhenUsed/>
    <w:rsid w:val="00960C37"/>
    <w:rPr>
      <w:color w:val="605E5C"/>
      <w:shd w:val="clear" w:color="auto" w:fill="E1DFDD"/>
    </w:rPr>
  </w:style>
  <w:style w:type="character" w:styleId="CommentReference">
    <w:name w:val="annotation reference"/>
    <w:basedOn w:val="DefaultParagraphFont"/>
    <w:uiPriority w:val="99"/>
    <w:semiHidden/>
    <w:unhideWhenUsed/>
    <w:rsid w:val="00F84B14"/>
    <w:rPr>
      <w:sz w:val="16"/>
      <w:szCs w:val="16"/>
    </w:rPr>
  </w:style>
  <w:style w:type="paragraph" w:styleId="CommentText">
    <w:name w:val="annotation text"/>
    <w:basedOn w:val="Normal"/>
    <w:link w:val="CommentTextChar"/>
    <w:uiPriority w:val="99"/>
    <w:unhideWhenUsed/>
    <w:rsid w:val="00F84B14"/>
    <w:pPr>
      <w:spacing w:line="240" w:lineRule="auto"/>
    </w:pPr>
    <w:rPr>
      <w:sz w:val="20"/>
      <w:szCs w:val="20"/>
    </w:rPr>
  </w:style>
  <w:style w:type="character" w:customStyle="1" w:styleId="CommentTextChar">
    <w:name w:val="Comment Text Char"/>
    <w:basedOn w:val="DefaultParagraphFont"/>
    <w:link w:val="CommentText"/>
    <w:uiPriority w:val="99"/>
    <w:rsid w:val="00F84B14"/>
    <w:rPr>
      <w:rFonts w:ascii="Segoe UI" w:hAnsi="Segoe UI"/>
      <w:kern w:val="0"/>
      <w:sz w:val="20"/>
      <w:szCs w:val="20"/>
      <w14:ligatures w14:val="none"/>
    </w:rPr>
  </w:style>
  <w:style w:type="character" w:styleId="Emphasis">
    <w:name w:val="Emphasis"/>
    <w:basedOn w:val="DefaultParagraphFont"/>
    <w:uiPriority w:val="20"/>
    <w:qFormat/>
    <w:rsid w:val="007B1347"/>
    <w:rPr>
      <w:i/>
      <w:iCs/>
    </w:rPr>
  </w:style>
  <w:style w:type="paragraph" w:styleId="Revision">
    <w:name w:val="Revision"/>
    <w:hidden/>
    <w:uiPriority w:val="99"/>
    <w:semiHidden/>
    <w:rsid w:val="00B2209F"/>
    <w:pPr>
      <w:spacing w:after="0" w:line="240" w:lineRule="auto"/>
    </w:pPr>
    <w:rPr>
      <w:rFonts w:ascii="Segoe UI" w:hAnsi="Segoe UI"/>
      <w:kern w:val="0"/>
      <w14:ligatures w14:val="none"/>
    </w:rPr>
  </w:style>
  <w:style w:type="paragraph" w:styleId="CommentSubject">
    <w:name w:val="annotation subject"/>
    <w:basedOn w:val="CommentText"/>
    <w:next w:val="CommentText"/>
    <w:link w:val="CommentSubjectChar"/>
    <w:uiPriority w:val="99"/>
    <w:semiHidden/>
    <w:unhideWhenUsed/>
    <w:rsid w:val="00B2209F"/>
    <w:rPr>
      <w:b/>
      <w:bCs/>
    </w:rPr>
  </w:style>
  <w:style w:type="character" w:customStyle="1" w:styleId="CommentSubjectChar">
    <w:name w:val="Comment Subject Char"/>
    <w:basedOn w:val="CommentTextChar"/>
    <w:link w:val="CommentSubject"/>
    <w:uiPriority w:val="99"/>
    <w:semiHidden/>
    <w:rsid w:val="00B2209F"/>
    <w:rPr>
      <w:rFonts w:ascii="Segoe UI" w:hAnsi="Segoe UI"/>
      <w:b/>
      <w:bCs/>
      <w:kern w:val="0"/>
      <w:sz w:val="20"/>
      <w:szCs w:val="20"/>
      <w14:ligatures w14:val="none"/>
    </w:rPr>
  </w:style>
  <w:style w:type="paragraph" w:styleId="NormalWeb">
    <w:name w:val="Normal (Web)"/>
    <w:basedOn w:val="Normal"/>
    <w:uiPriority w:val="99"/>
    <w:semiHidden/>
    <w:unhideWhenUsed/>
    <w:rsid w:val="000F6A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3513">
      <w:bodyDiv w:val="1"/>
      <w:marLeft w:val="0"/>
      <w:marRight w:val="0"/>
      <w:marTop w:val="0"/>
      <w:marBottom w:val="0"/>
      <w:divBdr>
        <w:top w:val="none" w:sz="0" w:space="0" w:color="auto"/>
        <w:left w:val="none" w:sz="0" w:space="0" w:color="auto"/>
        <w:bottom w:val="none" w:sz="0" w:space="0" w:color="auto"/>
        <w:right w:val="none" w:sz="0" w:space="0" w:color="auto"/>
      </w:divBdr>
    </w:div>
    <w:div w:id="373888374">
      <w:bodyDiv w:val="1"/>
      <w:marLeft w:val="0"/>
      <w:marRight w:val="0"/>
      <w:marTop w:val="0"/>
      <w:marBottom w:val="0"/>
      <w:divBdr>
        <w:top w:val="none" w:sz="0" w:space="0" w:color="auto"/>
        <w:left w:val="none" w:sz="0" w:space="0" w:color="auto"/>
        <w:bottom w:val="none" w:sz="0" w:space="0" w:color="auto"/>
        <w:right w:val="none" w:sz="0" w:space="0" w:color="auto"/>
      </w:divBdr>
    </w:div>
    <w:div w:id="449394478">
      <w:bodyDiv w:val="1"/>
      <w:marLeft w:val="0"/>
      <w:marRight w:val="0"/>
      <w:marTop w:val="0"/>
      <w:marBottom w:val="0"/>
      <w:divBdr>
        <w:top w:val="none" w:sz="0" w:space="0" w:color="auto"/>
        <w:left w:val="none" w:sz="0" w:space="0" w:color="auto"/>
        <w:bottom w:val="none" w:sz="0" w:space="0" w:color="auto"/>
        <w:right w:val="none" w:sz="0" w:space="0" w:color="auto"/>
      </w:divBdr>
    </w:div>
    <w:div w:id="568423300">
      <w:bodyDiv w:val="1"/>
      <w:marLeft w:val="0"/>
      <w:marRight w:val="0"/>
      <w:marTop w:val="0"/>
      <w:marBottom w:val="0"/>
      <w:divBdr>
        <w:top w:val="none" w:sz="0" w:space="0" w:color="auto"/>
        <w:left w:val="none" w:sz="0" w:space="0" w:color="auto"/>
        <w:bottom w:val="none" w:sz="0" w:space="0" w:color="auto"/>
        <w:right w:val="none" w:sz="0" w:space="0" w:color="auto"/>
      </w:divBdr>
    </w:div>
    <w:div w:id="581915749">
      <w:bodyDiv w:val="1"/>
      <w:marLeft w:val="0"/>
      <w:marRight w:val="0"/>
      <w:marTop w:val="0"/>
      <w:marBottom w:val="0"/>
      <w:divBdr>
        <w:top w:val="none" w:sz="0" w:space="0" w:color="auto"/>
        <w:left w:val="none" w:sz="0" w:space="0" w:color="auto"/>
        <w:bottom w:val="none" w:sz="0" w:space="0" w:color="auto"/>
        <w:right w:val="none" w:sz="0" w:space="0" w:color="auto"/>
      </w:divBdr>
    </w:div>
    <w:div w:id="872884294">
      <w:bodyDiv w:val="1"/>
      <w:marLeft w:val="0"/>
      <w:marRight w:val="0"/>
      <w:marTop w:val="0"/>
      <w:marBottom w:val="0"/>
      <w:divBdr>
        <w:top w:val="none" w:sz="0" w:space="0" w:color="auto"/>
        <w:left w:val="none" w:sz="0" w:space="0" w:color="auto"/>
        <w:bottom w:val="none" w:sz="0" w:space="0" w:color="auto"/>
        <w:right w:val="none" w:sz="0" w:space="0" w:color="auto"/>
      </w:divBdr>
    </w:div>
    <w:div w:id="1082144525">
      <w:bodyDiv w:val="1"/>
      <w:marLeft w:val="0"/>
      <w:marRight w:val="0"/>
      <w:marTop w:val="0"/>
      <w:marBottom w:val="0"/>
      <w:divBdr>
        <w:top w:val="none" w:sz="0" w:space="0" w:color="auto"/>
        <w:left w:val="none" w:sz="0" w:space="0" w:color="auto"/>
        <w:bottom w:val="none" w:sz="0" w:space="0" w:color="auto"/>
        <w:right w:val="none" w:sz="0" w:space="0" w:color="auto"/>
      </w:divBdr>
    </w:div>
    <w:div w:id="1312641280">
      <w:bodyDiv w:val="1"/>
      <w:marLeft w:val="0"/>
      <w:marRight w:val="0"/>
      <w:marTop w:val="0"/>
      <w:marBottom w:val="0"/>
      <w:divBdr>
        <w:top w:val="none" w:sz="0" w:space="0" w:color="auto"/>
        <w:left w:val="none" w:sz="0" w:space="0" w:color="auto"/>
        <w:bottom w:val="none" w:sz="0" w:space="0" w:color="auto"/>
        <w:right w:val="none" w:sz="0" w:space="0" w:color="auto"/>
      </w:divBdr>
    </w:div>
    <w:div w:id="1345286379">
      <w:bodyDiv w:val="1"/>
      <w:marLeft w:val="0"/>
      <w:marRight w:val="0"/>
      <w:marTop w:val="0"/>
      <w:marBottom w:val="0"/>
      <w:divBdr>
        <w:top w:val="none" w:sz="0" w:space="0" w:color="auto"/>
        <w:left w:val="none" w:sz="0" w:space="0" w:color="auto"/>
        <w:bottom w:val="none" w:sz="0" w:space="0" w:color="auto"/>
        <w:right w:val="none" w:sz="0" w:space="0" w:color="auto"/>
      </w:divBdr>
    </w:div>
    <w:div w:id="2043088874">
      <w:bodyDiv w:val="1"/>
      <w:marLeft w:val="0"/>
      <w:marRight w:val="0"/>
      <w:marTop w:val="0"/>
      <w:marBottom w:val="0"/>
      <w:divBdr>
        <w:top w:val="none" w:sz="0" w:space="0" w:color="auto"/>
        <w:left w:val="none" w:sz="0" w:space="0" w:color="auto"/>
        <w:bottom w:val="none" w:sz="0" w:space="0" w:color="auto"/>
        <w:right w:val="none" w:sz="0" w:space="0" w:color="auto"/>
      </w:divBdr>
    </w:div>
    <w:div w:id="2094427616">
      <w:bodyDiv w:val="1"/>
      <w:marLeft w:val="0"/>
      <w:marRight w:val="0"/>
      <w:marTop w:val="0"/>
      <w:marBottom w:val="0"/>
      <w:divBdr>
        <w:top w:val="none" w:sz="0" w:space="0" w:color="auto"/>
        <w:left w:val="none" w:sz="0" w:space="0" w:color="auto"/>
        <w:bottom w:val="none" w:sz="0" w:space="0" w:color="auto"/>
        <w:right w:val="none" w:sz="0" w:space="0" w:color="auto"/>
      </w:divBdr>
      <w:divsChild>
        <w:div w:id="648945993">
          <w:marLeft w:val="240"/>
          <w:marRight w:val="0"/>
          <w:marTop w:val="60"/>
          <w:marBottom w:val="60"/>
          <w:divBdr>
            <w:top w:val="none" w:sz="0" w:space="0" w:color="auto"/>
            <w:left w:val="none" w:sz="0" w:space="0" w:color="auto"/>
            <w:bottom w:val="none" w:sz="0" w:space="0" w:color="auto"/>
            <w:right w:val="none" w:sz="0" w:space="0" w:color="auto"/>
          </w:divBdr>
          <w:divsChild>
            <w:div w:id="1603299646">
              <w:marLeft w:val="0"/>
              <w:marRight w:val="0"/>
              <w:marTop w:val="0"/>
              <w:marBottom w:val="0"/>
              <w:divBdr>
                <w:top w:val="none" w:sz="0" w:space="0" w:color="auto"/>
                <w:left w:val="none" w:sz="0" w:space="0" w:color="auto"/>
                <w:bottom w:val="none" w:sz="0" w:space="0" w:color="auto"/>
                <w:right w:val="none" w:sz="0" w:space="0" w:color="auto"/>
              </w:divBdr>
            </w:div>
          </w:divsChild>
        </w:div>
        <w:div w:id="1795708213">
          <w:marLeft w:val="240"/>
          <w:marRight w:val="0"/>
          <w:marTop w:val="60"/>
          <w:marBottom w:val="60"/>
          <w:divBdr>
            <w:top w:val="none" w:sz="0" w:space="0" w:color="auto"/>
            <w:left w:val="none" w:sz="0" w:space="0" w:color="auto"/>
            <w:bottom w:val="none" w:sz="0" w:space="0" w:color="auto"/>
            <w:right w:val="none" w:sz="0" w:space="0" w:color="auto"/>
          </w:divBdr>
          <w:divsChild>
            <w:div w:id="2072994252">
              <w:marLeft w:val="0"/>
              <w:marRight w:val="0"/>
              <w:marTop w:val="0"/>
              <w:marBottom w:val="0"/>
              <w:divBdr>
                <w:top w:val="none" w:sz="0" w:space="0" w:color="auto"/>
                <w:left w:val="none" w:sz="0" w:space="0" w:color="auto"/>
                <w:bottom w:val="none" w:sz="0" w:space="0" w:color="auto"/>
                <w:right w:val="none" w:sz="0" w:space="0" w:color="auto"/>
              </w:divBdr>
            </w:div>
          </w:divsChild>
        </w:div>
        <w:div w:id="1877741858">
          <w:marLeft w:val="240"/>
          <w:marRight w:val="0"/>
          <w:marTop w:val="60"/>
          <w:marBottom w:val="60"/>
          <w:divBdr>
            <w:top w:val="none" w:sz="0" w:space="0" w:color="auto"/>
            <w:left w:val="none" w:sz="0" w:space="0" w:color="auto"/>
            <w:bottom w:val="none" w:sz="0" w:space="0" w:color="auto"/>
            <w:right w:val="none" w:sz="0" w:space="0" w:color="auto"/>
          </w:divBdr>
          <w:divsChild>
            <w:div w:id="4893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tc.gov/sites/default/files/documents/reports/40-years-experience-fair-credit-reporting-act-ftc-staff-report-summary-interpretations/110720fcrareport.pdf" TargetMode="External"/><Relationship Id="rId2" Type="http://schemas.openxmlformats.org/officeDocument/2006/relationships/hyperlink" Target="https://www.americanbanker.com/opinion/why-does-the-cfpb-want-to-undermine-a-key-tool-of-law-enforcement" TargetMode="External"/><Relationship Id="rId1" Type="http://schemas.openxmlformats.org/officeDocument/2006/relationships/hyperlink" Target="https://www.sbsun.com/2016/03/02/san-bernardino-police-officers-honored-by-thomson-reuters-for-response-to-dec-2-terrorist-attack/" TargetMode="External"/><Relationship Id="rId6" Type="http://schemas.openxmlformats.org/officeDocument/2006/relationships/hyperlink" Target="https://www.ftc.gov/sites/default/files/documents/reports/federal-trade-commission-report-protecting-consumer-privacy-era-rapid-change-recommendations/120326privacyreport.pdf" TargetMode="External"/><Relationship Id="rId5" Type="http://schemas.openxmlformats.org/officeDocument/2006/relationships/hyperlink" Target="https://www.siia.net/siia-urges-cfpb-to-protect-data-brokers-and-first-amendment-rights/" TargetMode="External"/><Relationship Id="rId4" Type="http://schemas.openxmlformats.org/officeDocument/2006/relationships/hyperlink" Target="https://www.ftc.gov/sites/default/files/documents/reports/federal-trade-commission-report-protecting-consumer-privacy-era-rapid-change-recommendations/120326privacyrepor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9AEB3-543B-4788-8980-349D2758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5521</Words>
  <Characters>30410</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35860</CharactersWithSpaces>
  <SharedDoc>false</SharedDoc>
  <HLinks>
    <vt:vector size="36" baseType="variant">
      <vt:variant>
        <vt:i4>8060965</vt:i4>
      </vt:variant>
      <vt:variant>
        <vt:i4>15</vt:i4>
      </vt:variant>
      <vt:variant>
        <vt:i4>0</vt:i4>
      </vt:variant>
      <vt:variant>
        <vt:i4>5</vt:i4>
      </vt:variant>
      <vt:variant>
        <vt:lpwstr>https://www.ftc.gov/sites/default/files/documents/reports/federal-trade-commission-report-protecting-consumer-privacy-era-rapid-change-recommendations/120326privacyreport.pdf</vt:lpwstr>
      </vt:variant>
      <vt:variant>
        <vt:lpwstr/>
      </vt:variant>
      <vt:variant>
        <vt:i4>196696</vt:i4>
      </vt:variant>
      <vt:variant>
        <vt:i4>12</vt:i4>
      </vt:variant>
      <vt:variant>
        <vt:i4>0</vt:i4>
      </vt:variant>
      <vt:variant>
        <vt:i4>5</vt:i4>
      </vt:variant>
      <vt:variant>
        <vt:lpwstr>https://www.siia.net/siia-urges-cfpb-to-protect-data-brokers-and-first-amendment-rights/</vt:lpwstr>
      </vt:variant>
      <vt:variant>
        <vt:lpwstr/>
      </vt:variant>
      <vt:variant>
        <vt:i4>8060965</vt:i4>
      </vt:variant>
      <vt:variant>
        <vt:i4>9</vt:i4>
      </vt:variant>
      <vt:variant>
        <vt:i4>0</vt:i4>
      </vt:variant>
      <vt:variant>
        <vt:i4>5</vt:i4>
      </vt:variant>
      <vt:variant>
        <vt:lpwstr>https://www.ftc.gov/sites/default/files/documents/reports/federal-trade-commission-report-protecting-consumer-privacy-era-rapid-change-recommendations/120326privacyreport.pdf</vt:lpwstr>
      </vt:variant>
      <vt:variant>
        <vt:lpwstr/>
      </vt:variant>
      <vt:variant>
        <vt:i4>5701727</vt:i4>
      </vt:variant>
      <vt:variant>
        <vt:i4>6</vt:i4>
      </vt:variant>
      <vt:variant>
        <vt:i4>0</vt:i4>
      </vt:variant>
      <vt:variant>
        <vt:i4>5</vt:i4>
      </vt:variant>
      <vt:variant>
        <vt:lpwstr>https://www.ftc.gov/sites/default/files/documents/reports/40-years-experience-fair-credit-reporting-act-ftc-staff-report-summary-interpretations/110720fcrareport.pdf</vt:lpwstr>
      </vt:variant>
      <vt:variant>
        <vt:lpwstr/>
      </vt:variant>
      <vt:variant>
        <vt:i4>4653059</vt:i4>
      </vt:variant>
      <vt:variant>
        <vt:i4>3</vt:i4>
      </vt:variant>
      <vt:variant>
        <vt:i4>0</vt:i4>
      </vt:variant>
      <vt:variant>
        <vt:i4>5</vt:i4>
      </vt:variant>
      <vt:variant>
        <vt:lpwstr>https://www.americanbanker.com/opinion/why-does-the-cfpb-want-to-undermine-a-key-tool-of-law-enforcement</vt:lpwstr>
      </vt:variant>
      <vt:variant>
        <vt:lpwstr/>
      </vt:variant>
      <vt:variant>
        <vt:i4>7471147</vt:i4>
      </vt:variant>
      <vt:variant>
        <vt:i4>0</vt:i4>
      </vt:variant>
      <vt:variant>
        <vt:i4>0</vt:i4>
      </vt:variant>
      <vt:variant>
        <vt:i4>5</vt:i4>
      </vt:variant>
      <vt:variant>
        <vt:lpwstr>https://www.sbsun.com/2016/03/02/san-bernardino-police-officers-honored-by-thomson-reuters-for-response-to-dec-2-terrorist-attack/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Hulse, Bill</dc:creator>
  <cp:keywords/>
  <cp:lastModifiedBy>Hoffmann, Will</cp:lastModifiedBy>
  <cp:revision>2</cp:revision>
  <cp:lastPrinted>2025-03-05T16:53:00Z</cp:lastPrinted>
  <dcterms:created xsi:type="dcterms:W3CDTF">2025-03-05T18:27:00Z</dcterms:created>
  <dcterms:modified xsi:type="dcterms:W3CDTF">2025-03-05T18:27:00Z</dcterms:modified>
</cp:coreProperties>
</file>