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40A41" w14:textId="0ABA8402" w:rsidR="00741F72" w:rsidRDefault="00741F72" w:rsidP="00741F72">
      <w:pPr>
        <w:pStyle w:val="Heading1"/>
        <w:rPr>
          <w:lang w:val="en"/>
        </w:rPr>
      </w:pPr>
      <w:bookmarkStart w:id="0" w:name="_Toc529305609"/>
      <w:r w:rsidRPr="00741F72">
        <w:rPr>
          <w:lang w:val="en"/>
        </w:rPr>
        <w:t>Data Handling</w:t>
      </w:r>
      <w:bookmarkEnd w:id="0"/>
    </w:p>
    <w:p w14:paraId="3066F4A7" w14:textId="77777777" w:rsidR="00741F72" w:rsidRPr="00741F72" w:rsidRDefault="00741F72" w:rsidP="00741F72">
      <w:pPr>
        <w:rPr>
          <w:lang w:val="en"/>
        </w:rPr>
      </w:pPr>
    </w:p>
    <w:p w14:paraId="153A1F01" w14:textId="77777777" w:rsidR="00741F72" w:rsidRPr="00741F72" w:rsidRDefault="00741F72" w:rsidP="00741F72">
      <w:pPr>
        <w:spacing w:before="120" w:after="120" w:line="276" w:lineRule="auto"/>
        <w:outlineLvl w:val="3"/>
        <w:rPr>
          <w:rFonts w:ascii="Verdana" w:eastAsia="Arial" w:hAnsi="Verdana" w:cs="Arial"/>
          <w:color w:val="auto"/>
          <w:sz w:val="20"/>
          <w:szCs w:val="20"/>
          <w:u w:val="single"/>
          <w:lang w:val="en"/>
        </w:rPr>
      </w:pPr>
      <w:r w:rsidRPr="00741F72">
        <w:rPr>
          <w:rFonts w:ascii="Verdana" w:eastAsia="Arial" w:hAnsi="Verdana" w:cs="Arial"/>
          <w:color w:val="auto"/>
          <w:sz w:val="20"/>
          <w:szCs w:val="20"/>
          <w:u w:val="single"/>
          <w:lang w:val="en"/>
        </w:rPr>
        <w:t xml:space="preserve">Target Audience </w:t>
      </w:r>
    </w:p>
    <w:p w14:paraId="71C43676" w14:textId="78C47FC9" w:rsidR="00741F72" w:rsidRDefault="00741F72" w:rsidP="00741F72">
      <w:pPr>
        <w:autoSpaceDE w:val="0"/>
        <w:autoSpaceDN w:val="0"/>
        <w:adjustRightInd w:val="0"/>
        <w:spacing w:line="276" w:lineRule="auto"/>
        <w:rPr>
          <w:rFonts w:ascii="Verdana" w:eastAsia="Arial" w:hAnsi="Verdana" w:cs="Calibri"/>
          <w:sz w:val="20"/>
          <w:szCs w:val="20"/>
        </w:rPr>
      </w:pPr>
      <w:r w:rsidRPr="00741F72">
        <w:rPr>
          <w:rFonts w:ascii="Verdana" w:eastAsia="Arial" w:hAnsi="Verdana" w:cs="Calibri"/>
          <w:sz w:val="20"/>
          <w:szCs w:val="20"/>
        </w:rPr>
        <w:t>All organization employees and contractors are the target audience. This group will be comprised of technical and non-technical users.</w:t>
      </w:r>
    </w:p>
    <w:p w14:paraId="2567290C" w14:textId="77777777" w:rsidR="00741F72" w:rsidRPr="00741F72" w:rsidRDefault="00741F72" w:rsidP="00741F72">
      <w:pPr>
        <w:autoSpaceDE w:val="0"/>
        <w:autoSpaceDN w:val="0"/>
        <w:adjustRightInd w:val="0"/>
        <w:spacing w:line="276" w:lineRule="auto"/>
        <w:rPr>
          <w:rFonts w:ascii="Verdana" w:eastAsia="Arial" w:hAnsi="Verdana" w:cs="Calibri"/>
          <w:sz w:val="20"/>
          <w:szCs w:val="20"/>
        </w:rPr>
      </w:pPr>
    </w:p>
    <w:p w14:paraId="0F6A498D" w14:textId="77777777" w:rsidR="00741F72" w:rsidRPr="00741F72" w:rsidRDefault="00741F72" w:rsidP="00741F72">
      <w:pPr>
        <w:spacing w:before="120" w:after="120" w:line="276" w:lineRule="auto"/>
        <w:outlineLvl w:val="3"/>
        <w:rPr>
          <w:rFonts w:ascii="Verdana" w:eastAsia="Arial" w:hAnsi="Verdana" w:cs="Arial"/>
          <w:color w:val="auto"/>
          <w:sz w:val="20"/>
          <w:szCs w:val="20"/>
          <w:u w:val="single"/>
          <w:lang w:val="en"/>
        </w:rPr>
      </w:pPr>
      <w:r w:rsidRPr="00741F72">
        <w:rPr>
          <w:rFonts w:ascii="Verdana" w:eastAsia="Arial" w:hAnsi="Verdana" w:cs="Arial"/>
          <w:color w:val="auto"/>
          <w:sz w:val="20"/>
          <w:szCs w:val="20"/>
          <w:u w:val="single"/>
          <w:lang w:val="en"/>
        </w:rPr>
        <w:t xml:space="preserve">Goal </w:t>
      </w:r>
    </w:p>
    <w:p w14:paraId="7B946349" w14:textId="019E81E9" w:rsidR="00741F72" w:rsidRDefault="00741F72" w:rsidP="00741F72">
      <w:pPr>
        <w:autoSpaceDE w:val="0"/>
        <w:autoSpaceDN w:val="0"/>
        <w:adjustRightInd w:val="0"/>
        <w:spacing w:line="276" w:lineRule="auto"/>
        <w:rPr>
          <w:rFonts w:ascii="Verdana" w:eastAsia="Arial" w:hAnsi="Verdana" w:cs="Calibri"/>
          <w:sz w:val="20"/>
          <w:szCs w:val="20"/>
        </w:rPr>
      </w:pPr>
      <w:r w:rsidRPr="00741F72">
        <w:rPr>
          <w:rFonts w:ascii="Verdana" w:eastAsia="Arial" w:hAnsi="Verdana" w:cs="Calibri"/>
          <w:sz w:val="20"/>
          <w:szCs w:val="20"/>
        </w:rPr>
        <w:t xml:space="preserve">Participants will be able to describe procedures for handling sensitive information, specifically PII, in both electronic and paper forms. They will be able to accurately describe where sensitive data can be stored safely, precautions to be taken when transmitting it and how to report issues. </w:t>
      </w:r>
    </w:p>
    <w:p w14:paraId="38EA853D" w14:textId="77777777" w:rsidR="00741F72" w:rsidRPr="00741F72" w:rsidRDefault="00741F72" w:rsidP="00741F72">
      <w:pPr>
        <w:autoSpaceDE w:val="0"/>
        <w:autoSpaceDN w:val="0"/>
        <w:adjustRightInd w:val="0"/>
        <w:spacing w:line="276" w:lineRule="auto"/>
        <w:rPr>
          <w:rFonts w:ascii="Verdana" w:eastAsia="Arial" w:hAnsi="Verdana" w:cs="Calibri"/>
          <w:sz w:val="20"/>
          <w:szCs w:val="20"/>
        </w:rPr>
      </w:pPr>
    </w:p>
    <w:p w14:paraId="06B1E926" w14:textId="77777777" w:rsidR="00741F72" w:rsidRPr="00741F72" w:rsidRDefault="00741F72" w:rsidP="00741F72">
      <w:pPr>
        <w:spacing w:before="120" w:after="120" w:line="276" w:lineRule="auto"/>
        <w:outlineLvl w:val="3"/>
        <w:rPr>
          <w:rFonts w:ascii="Verdana" w:eastAsia="Arial" w:hAnsi="Verdana" w:cs="Arial"/>
          <w:color w:val="auto"/>
          <w:sz w:val="20"/>
          <w:szCs w:val="20"/>
          <w:u w:val="single"/>
          <w:lang w:val="en"/>
        </w:rPr>
      </w:pPr>
      <w:r w:rsidRPr="00741F72">
        <w:rPr>
          <w:rFonts w:ascii="Verdana" w:eastAsia="Arial" w:hAnsi="Verdana" w:cs="Arial"/>
          <w:color w:val="auto"/>
          <w:sz w:val="20"/>
          <w:szCs w:val="20"/>
          <w:u w:val="single"/>
          <w:lang w:val="en"/>
        </w:rPr>
        <w:t xml:space="preserve">Background </w:t>
      </w:r>
    </w:p>
    <w:p w14:paraId="724A1392" w14:textId="1806347A" w:rsidR="00741F72" w:rsidRDefault="00741F72" w:rsidP="00741F72">
      <w:pPr>
        <w:autoSpaceDE w:val="0"/>
        <w:autoSpaceDN w:val="0"/>
        <w:adjustRightInd w:val="0"/>
        <w:spacing w:line="276" w:lineRule="auto"/>
        <w:rPr>
          <w:rFonts w:ascii="Verdana" w:eastAsia="Arial" w:hAnsi="Verdana" w:cs="Calibri"/>
          <w:sz w:val="20"/>
          <w:szCs w:val="20"/>
        </w:rPr>
      </w:pPr>
      <w:r w:rsidRPr="00741F72">
        <w:rPr>
          <w:rFonts w:ascii="Verdana" w:eastAsia="Arial" w:hAnsi="Verdana" w:cs="Calibri"/>
          <w:sz w:val="20"/>
          <w:szCs w:val="20"/>
        </w:rPr>
        <w:t>Hobsons stores a great deal of personal information on behalf of its clients. Careful and safe handling of it is a fundamental control in preventing a data breach or disclosure.</w:t>
      </w:r>
    </w:p>
    <w:p w14:paraId="4117FDEB" w14:textId="77777777" w:rsidR="00741F72" w:rsidRPr="00741F72" w:rsidRDefault="00741F72" w:rsidP="00741F72">
      <w:pPr>
        <w:autoSpaceDE w:val="0"/>
        <w:autoSpaceDN w:val="0"/>
        <w:adjustRightInd w:val="0"/>
        <w:spacing w:line="276" w:lineRule="auto"/>
        <w:rPr>
          <w:rFonts w:ascii="Verdana" w:eastAsia="Arial" w:hAnsi="Verdana" w:cs="Calibri"/>
          <w:sz w:val="20"/>
          <w:szCs w:val="20"/>
        </w:rPr>
      </w:pPr>
    </w:p>
    <w:p w14:paraId="1EDDADCB" w14:textId="77777777" w:rsidR="00741F72" w:rsidRPr="00741F72" w:rsidRDefault="00741F72" w:rsidP="00741F72">
      <w:pPr>
        <w:spacing w:before="120" w:after="120" w:line="276" w:lineRule="auto"/>
        <w:outlineLvl w:val="3"/>
        <w:rPr>
          <w:rFonts w:ascii="Verdana" w:eastAsia="Arial" w:hAnsi="Verdana" w:cs="Arial"/>
          <w:color w:val="auto"/>
          <w:sz w:val="20"/>
          <w:szCs w:val="20"/>
          <w:u w:val="single"/>
          <w:lang w:val="en"/>
        </w:rPr>
      </w:pPr>
      <w:r w:rsidRPr="00741F72">
        <w:rPr>
          <w:rFonts w:ascii="Verdana" w:eastAsia="Arial" w:hAnsi="Verdana" w:cs="Arial"/>
          <w:color w:val="auto"/>
          <w:sz w:val="20"/>
          <w:szCs w:val="20"/>
          <w:u w:val="single"/>
          <w:lang w:val="en"/>
        </w:rPr>
        <w:t xml:space="preserve">Learning objectives </w:t>
      </w:r>
    </w:p>
    <w:p w14:paraId="396111FF" w14:textId="77777777" w:rsidR="00741F72" w:rsidRPr="00741F72" w:rsidRDefault="00741F72" w:rsidP="00741F72">
      <w:pPr>
        <w:numPr>
          <w:ilvl w:val="0"/>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sz w:val="20"/>
          <w:szCs w:val="20"/>
        </w:rPr>
        <w:t>Learners can correctly identify sensitive data as defined by Hobsons data classification and handling policies.</w:t>
      </w:r>
    </w:p>
    <w:p w14:paraId="5BFC47E4" w14:textId="77777777" w:rsidR="00741F72" w:rsidRPr="00741F72" w:rsidRDefault="00741F72" w:rsidP="00741F72">
      <w:pPr>
        <w:numPr>
          <w:ilvl w:val="1"/>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i/>
          <w:sz w:val="20"/>
          <w:szCs w:val="20"/>
        </w:rPr>
        <w:t>Individual Metric</w:t>
      </w:r>
      <w:r w:rsidRPr="00741F72">
        <w:rPr>
          <w:rFonts w:ascii="Verdana" w:eastAsia="Arial" w:hAnsi="Verdana" w:cs="Calibri"/>
          <w:sz w:val="20"/>
          <w:szCs w:val="20"/>
        </w:rPr>
        <w:t>: The learner can correctly identify different types of sensitive data in a survey, quiz, or activity.</w:t>
      </w:r>
    </w:p>
    <w:p w14:paraId="785ED103" w14:textId="77777777" w:rsidR="00741F72" w:rsidRPr="00741F72" w:rsidRDefault="00741F72" w:rsidP="00741F72">
      <w:pPr>
        <w:numPr>
          <w:ilvl w:val="1"/>
          <w:numId w:val="12"/>
        </w:numPr>
        <w:autoSpaceDE w:val="0"/>
        <w:autoSpaceDN w:val="0"/>
        <w:adjustRightInd w:val="0"/>
        <w:spacing w:after="120" w:line="276" w:lineRule="auto"/>
        <w:rPr>
          <w:rFonts w:ascii="Verdana" w:eastAsia="Arial" w:hAnsi="Verdana" w:cs="Calibri"/>
          <w:sz w:val="20"/>
          <w:szCs w:val="20"/>
        </w:rPr>
      </w:pPr>
      <w:r w:rsidRPr="00741F72">
        <w:rPr>
          <w:rFonts w:ascii="Verdana" w:eastAsia="Arial" w:hAnsi="Verdana" w:cs="Calibri"/>
          <w:i/>
          <w:sz w:val="20"/>
          <w:szCs w:val="20"/>
        </w:rPr>
        <w:t>Organizational Metric</w:t>
      </w:r>
      <w:r w:rsidRPr="00741F72">
        <w:rPr>
          <w:rFonts w:ascii="Verdana" w:eastAsia="Arial" w:hAnsi="Verdana" w:cs="Calibri"/>
          <w:sz w:val="20"/>
          <w:szCs w:val="20"/>
        </w:rPr>
        <w:t xml:space="preserve">: A sampling of company employees reveals that at least 90% can correctly identify sensitive data. </w:t>
      </w:r>
    </w:p>
    <w:p w14:paraId="5578CAF2" w14:textId="77777777" w:rsidR="00741F72" w:rsidRPr="00741F72" w:rsidRDefault="00741F72" w:rsidP="00741F72">
      <w:pPr>
        <w:numPr>
          <w:ilvl w:val="0"/>
          <w:numId w:val="12"/>
        </w:numPr>
        <w:autoSpaceDE w:val="0"/>
        <w:autoSpaceDN w:val="0"/>
        <w:adjustRightInd w:val="0"/>
        <w:spacing w:after="45" w:line="276" w:lineRule="auto"/>
        <w:rPr>
          <w:rFonts w:ascii="Verdana" w:eastAsia="Arial" w:hAnsi="Verdana" w:cs="Calibri"/>
          <w:sz w:val="20"/>
          <w:szCs w:val="20"/>
        </w:rPr>
      </w:pPr>
      <w:bookmarkStart w:id="1" w:name="_GoBack"/>
      <w:bookmarkEnd w:id="1"/>
      <w:r w:rsidRPr="00741F72">
        <w:rPr>
          <w:rFonts w:ascii="Verdana" w:eastAsia="Arial" w:hAnsi="Verdana" w:cs="Calibri"/>
          <w:sz w:val="20"/>
          <w:szCs w:val="20"/>
        </w:rPr>
        <w:t xml:space="preserve">Learners can identify acceptable storage areas for sensitive data. </w:t>
      </w:r>
    </w:p>
    <w:p w14:paraId="160E7EA2" w14:textId="77777777" w:rsidR="00741F72" w:rsidRPr="00741F72" w:rsidRDefault="00741F72" w:rsidP="00741F72">
      <w:pPr>
        <w:numPr>
          <w:ilvl w:val="1"/>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i/>
          <w:sz w:val="20"/>
          <w:szCs w:val="20"/>
        </w:rPr>
        <w:t>Individual Metric</w:t>
      </w:r>
      <w:r w:rsidRPr="00741F72">
        <w:rPr>
          <w:rFonts w:ascii="Verdana" w:eastAsia="Arial" w:hAnsi="Verdana" w:cs="Calibri"/>
          <w:sz w:val="20"/>
          <w:szCs w:val="20"/>
        </w:rPr>
        <w:t xml:space="preserve">: The learner can correctly identify where sensitive data can be stored. </w:t>
      </w:r>
    </w:p>
    <w:p w14:paraId="451CC2BA" w14:textId="77777777" w:rsidR="00741F72" w:rsidRPr="00741F72" w:rsidRDefault="00741F72" w:rsidP="00741F72">
      <w:pPr>
        <w:numPr>
          <w:ilvl w:val="1"/>
          <w:numId w:val="12"/>
        </w:numPr>
        <w:autoSpaceDE w:val="0"/>
        <w:autoSpaceDN w:val="0"/>
        <w:adjustRightInd w:val="0"/>
        <w:spacing w:after="120" w:line="276" w:lineRule="auto"/>
        <w:rPr>
          <w:rFonts w:ascii="Verdana" w:eastAsia="Arial" w:hAnsi="Verdana" w:cs="Calibri"/>
          <w:sz w:val="20"/>
          <w:szCs w:val="20"/>
        </w:rPr>
      </w:pPr>
      <w:r w:rsidRPr="00741F72">
        <w:rPr>
          <w:rFonts w:ascii="Verdana" w:eastAsia="Arial" w:hAnsi="Verdana" w:cs="Calibri"/>
          <w:i/>
          <w:sz w:val="20"/>
          <w:szCs w:val="20"/>
        </w:rPr>
        <w:t>Organizational Metric</w:t>
      </w:r>
      <w:r w:rsidRPr="00741F72">
        <w:rPr>
          <w:rFonts w:ascii="Verdana" w:eastAsia="Arial" w:hAnsi="Verdana" w:cs="Calibri"/>
          <w:sz w:val="20"/>
          <w:szCs w:val="20"/>
        </w:rPr>
        <w:t>: A sampling of company systems shows that sensitive data is not stored outside of authorized locations</w:t>
      </w:r>
    </w:p>
    <w:p w14:paraId="06CCEAF5" w14:textId="77777777" w:rsidR="00741F72" w:rsidRPr="00741F72" w:rsidRDefault="00741F72" w:rsidP="00741F72">
      <w:pPr>
        <w:numPr>
          <w:ilvl w:val="0"/>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sz w:val="20"/>
          <w:szCs w:val="20"/>
        </w:rPr>
        <w:t xml:space="preserve">Learners can identify acceptable methods of transmitting sensitive data. </w:t>
      </w:r>
    </w:p>
    <w:p w14:paraId="7E5E79AA" w14:textId="77777777" w:rsidR="00741F72" w:rsidRPr="00741F72" w:rsidRDefault="00741F72" w:rsidP="00741F72">
      <w:pPr>
        <w:numPr>
          <w:ilvl w:val="1"/>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i/>
          <w:sz w:val="20"/>
          <w:szCs w:val="20"/>
        </w:rPr>
        <w:t>Individual Metric</w:t>
      </w:r>
      <w:r w:rsidRPr="00741F72">
        <w:rPr>
          <w:rFonts w:ascii="Verdana" w:eastAsia="Arial" w:hAnsi="Verdana" w:cs="Calibri"/>
          <w:sz w:val="20"/>
          <w:szCs w:val="20"/>
        </w:rPr>
        <w:t xml:space="preserve">: The learner can correctly identify approved methods of transmitting sensitive data per Hobsons’ data classification and handling policies. </w:t>
      </w:r>
    </w:p>
    <w:p w14:paraId="096E6599" w14:textId="77777777" w:rsidR="00741F72" w:rsidRPr="00741F72" w:rsidRDefault="00741F72" w:rsidP="00741F72">
      <w:pPr>
        <w:numPr>
          <w:ilvl w:val="1"/>
          <w:numId w:val="12"/>
        </w:numPr>
        <w:autoSpaceDE w:val="0"/>
        <w:autoSpaceDN w:val="0"/>
        <w:adjustRightInd w:val="0"/>
        <w:spacing w:after="120" w:line="276" w:lineRule="auto"/>
        <w:rPr>
          <w:rFonts w:ascii="Verdana" w:eastAsia="Arial" w:hAnsi="Verdana" w:cs="Calibri"/>
          <w:sz w:val="20"/>
          <w:szCs w:val="20"/>
        </w:rPr>
      </w:pPr>
      <w:r w:rsidRPr="00741F72">
        <w:rPr>
          <w:rFonts w:ascii="Verdana" w:eastAsia="Arial" w:hAnsi="Verdana" w:cs="Calibri"/>
          <w:i/>
          <w:sz w:val="20"/>
          <w:szCs w:val="20"/>
        </w:rPr>
        <w:t>Organizational Metric</w:t>
      </w:r>
      <w:r w:rsidRPr="00741F72">
        <w:rPr>
          <w:rFonts w:ascii="Verdana" w:eastAsia="Arial" w:hAnsi="Verdana" w:cs="Calibri"/>
          <w:sz w:val="20"/>
          <w:szCs w:val="20"/>
        </w:rPr>
        <w:t>: Monitor DLP solution for sensitive data being transmitted via unauthorized means.</w:t>
      </w:r>
    </w:p>
    <w:p w14:paraId="6B3C555A" w14:textId="77777777" w:rsidR="00741F72" w:rsidRPr="00741F72" w:rsidRDefault="00741F72" w:rsidP="00741F72">
      <w:pPr>
        <w:numPr>
          <w:ilvl w:val="0"/>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sz w:val="20"/>
          <w:szCs w:val="20"/>
        </w:rPr>
        <w:t xml:space="preserve">Learners can describe acceptable methods for disposing of sensitive data. </w:t>
      </w:r>
    </w:p>
    <w:p w14:paraId="04A3556F" w14:textId="77777777" w:rsidR="00741F72" w:rsidRPr="00741F72" w:rsidRDefault="00741F72" w:rsidP="00741F72">
      <w:pPr>
        <w:numPr>
          <w:ilvl w:val="1"/>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i/>
          <w:sz w:val="20"/>
          <w:szCs w:val="20"/>
        </w:rPr>
        <w:t>Individual Metric</w:t>
      </w:r>
      <w:r w:rsidRPr="00741F72">
        <w:rPr>
          <w:rFonts w:ascii="Verdana" w:eastAsia="Arial" w:hAnsi="Verdana" w:cs="Calibri"/>
          <w:sz w:val="20"/>
          <w:szCs w:val="20"/>
        </w:rPr>
        <w:t>: The learner can correctly explain how to dispose of sensitive data stored electronically.</w:t>
      </w:r>
    </w:p>
    <w:p w14:paraId="091140FE" w14:textId="77777777" w:rsidR="00741F72" w:rsidRPr="00741F72" w:rsidRDefault="00741F72" w:rsidP="00741F72">
      <w:pPr>
        <w:numPr>
          <w:ilvl w:val="1"/>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i/>
          <w:sz w:val="20"/>
          <w:szCs w:val="20"/>
        </w:rPr>
        <w:lastRenderedPageBreak/>
        <w:t>Individual Metric</w:t>
      </w:r>
      <w:r w:rsidRPr="00741F72">
        <w:rPr>
          <w:rFonts w:ascii="Verdana" w:eastAsia="Arial" w:hAnsi="Verdana" w:cs="Calibri"/>
          <w:sz w:val="20"/>
          <w:szCs w:val="20"/>
        </w:rPr>
        <w:t>: The learner can correctly explain how to dispose of sensitive data stored on paper.</w:t>
      </w:r>
    </w:p>
    <w:p w14:paraId="75F7168E" w14:textId="77777777" w:rsidR="00741F72" w:rsidRPr="00741F72" w:rsidRDefault="00741F72" w:rsidP="00741F72">
      <w:pPr>
        <w:numPr>
          <w:ilvl w:val="0"/>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sz w:val="20"/>
          <w:szCs w:val="20"/>
        </w:rPr>
        <w:t xml:space="preserve">Learners can describe how to report suspected incidents regarding sensitive data. </w:t>
      </w:r>
    </w:p>
    <w:p w14:paraId="23292DF7" w14:textId="77777777" w:rsidR="00741F72" w:rsidRPr="00741F72" w:rsidRDefault="00741F72" w:rsidP="00741F72">
      <w:pPr>
        <w:numPr>
          <w:ilvl w:val="1"/>
          <w:numId w:val="12"/>
        </w:numPr>
        <w:autoSpaceDE w:val="0"/>
        <w:autoSpaceDN w:val="0"/>
        <w:adjustRightInd w:val="0"/>
        <w:spacing w:after="45" w:line="276" w:lineRule="auto"/>
        <w:rPr>
          <w:rFonts w:ascii="Verdana" w:eastAsia="Arial" w:hAnsi="Verdana" w:cs="Calibri"/>
          <w:sz w:val="20"/>
          <w:szCs w:val="20"/>
        </w:rPr>
      </w:pPr>
      <w:r w:rsidRPr="00741F72">
        <w:rPr>
          <w:rFonts w:ascii="Verdana" w:eastAsia="Arial" w:hAnsi="Verdana" w:cs="Calibri"/>
          <w:i/>
          <w:sz w:val="20"/>
          <w:szCs w:val="20"/>
        </w:rPr>
        <w:t>Individual Metric</w:t>
      </w:r>
      <w:r w:rsidRPr="00741F72">
        <w:rPr>
          <w:rFonts w:ascii="Verdana" w:eastAsia="Arial" w:hAnsi="Verdana" w:cs="Calibri"/>
          <w:sz w:val="20"/>
          <w:szCs w:val="20"/>
        </w:rPr>
        <w:t xml:space="preserve">: The learner can explain how to report an incident </w:t>
      </w:r>
    </w:p>
    <w:p w14:paraId="39F56315" w14:textId="25A84FD6" w:rsidR="003E724C" w:rsidRPr="00741F72" w:rsidRDefault="00741F72" w:rsidP="00741F72">
      <w:pPr>
        <w:numPr>
          <w:ilvl w:val="1"/>
          <w:numId w:val="12"/>
        </w:numPr>
        <w:autoSpaceDE w:val="0"/>
        <w:autoSpaceDN w:val="0"/>
        <w:adjustRightInd w:val="0"/>
        <w:spacing w:after="120" w:line="276" w:lineRule="auto"/>
        <w:rPr>
          <w:rFonts w:asciiTheme="minorHAnsi" w:hAnsiTheme="minorHAnsi" w:cstheme="minorHAnsi"/>
        </w:rPr>
      </w:pPr>
      <w:r w:rsidRPr="00741F72">
        <w:rPr>
          <w:rFonts w:ascii="Verdana" w:eastAsia="Arial" w:hAnsi="Verdana" w:cs="Calibri"/>
          <w:i/>
          <w:sz w:val="20"/>
          <w:szCs w:val="20"/>
        </w:rPr>
        <w:t>Organizational Metric</w:t>
      </w:r>
      <w:r w:rsidRPr="00741F72">
        <w:rPr>
          <w:rFonts w:ascii="Verdana" w:eastAsia="Arial" w:hAnsi="Verdana" w:cs="Calibri"/>
          <w:sz w:val="20"/>
          <w:szCs w:val="20"/>
        </w:rPr>
        <w:t>: Analyze incident reports for instances where incidents that were detected by other means than end users.</w:t>
      </w:r>
      <w:r w:rsidRPr="00741F72">
        <w:rPr>
          <w:rFonts w:asciiTheme="minorHAnsi" w:hAnsiTheme="minorHAnsi" w:cstheme="minorHAnsi"/>
          <w:sz w:val="20"/>
        </w:rPr>
        <w:t xml:space="preserve"> </w:t>
      </w:r>
      <w:bookmarkStart w:id="2" w:name="_Toc81878338"/>
      <w:bookmarkEnd w:id="2"/>
    </w:p>
    <w:sectPr w:rsidR="003E724C" w:rsidRPr="00741F72" w:rsidSect="00F20A16">
      <w:headerReference w:type="even" r:id="rId8"/>
      <w:headerReference w:type="default" r:id="rId9"/>
      <w:footerReference w:type="even" r:id="rId10"/>
      <w:footerReference w:type="default" r:id="rId11"/>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0B0C3" w14:textId="77777777" w:rsidR="004745D7" w:rsidRDefault="004745D7" w:rsidP="00283476">
      <w:pPr>
        <w:spacing w:line="240" w:lineRule="auto"/>
      </w:pPr>
      <w:r>
        <w:separator/>
      </w:r>
    </w:p>
  </w:endnote>
  <w:endnote w:type="continuationSeparator" w:id="0">
    <w:p w14:paraId="2B240ECB" w14:textId="77777777" w:rsidR="004745D7" w:rsidRDefault="004745D7" w:rsidP="002834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82659" w14:textId="77777777" w:rsidR="003A0893" w:rsidRDefault="004745D7" w:rsidP="00F20A16">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8867A" w14:textId="77777777" w:rsidR="003A0893" w:rsidRPr="00283476" w:rsidRDefault="004745D7" w:rsidP="00283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C53BE6" w14:textId="77777777" w:rsidR="004745D7" w:rsidRDefault="004745D7" w:rsidP="00283476">
      <w:pPr>
        <w:spacing w:line="240" w:lineRule="auto"/>
      </w:pPr>
      <w:r>
        <w:separator/>
      </w:r>
    </w:p>
  </w:footnote>
  <w:footnote w:type="continuationSeparator" w:id="0">
    <w:p w14:paraId="3561E913" w14:textId="77777777" w:rsidR="004745D7" w:rsidRDefault="004745D7" w:rsidP="002834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F209E" w14:textId="77777777" w:rsidR="003A0893" w:rsidRDefault="00473FA0" w:rsidP="00F20A16">
    <w:pPr>
      <w:pStyle w:val="HeaderFooter"/>
    </w:pPr>
    <w:r>
      <w:rPr>
        <w:noProof/>
      </w:rPr>
      <w:drawing>
        <wp:anchor distT="0" distB="0" distL="114300" distR="114300" simplePos="0" relativeHeight="251660288" behindDoc="0" locked="0" layoutInCell="1" allowOverlap="1" wp14:anchorId="54E0273F" wp14:editId="364E726E">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7082FF39" w14:textId="77777777" w:rsidR="003A0893" w:rsidRDefault="004745D7" w:rsidP="00F20A16">
    <w:pPr>
      <w:pStyle w:val="HeaderFooter"/>
    </w:pPr>
  </w:p>
  <w:p w14:paraId="6C8625E4" w14:textId="77777777" w:rsidR="003A0893" w:rsidRDefault="004745D7" w:rsidP="00F20A16">
    <w:pPr>
      <w:pStyle w:val="HeaderFooter"/>
    </w:pPr>
  </w:p>
  <w:p w14:paraId="71688327" w14:textId="77777777" w:rsidR="003A0893" w:rsidRDefault="00473FA0" w:rsidP="00F20A16">
    <w:pPr>
      <w:pStyle w:val="HeaderFooter"/>
    </w:pPr>
    <w:r>
      <w:rPr>
        <w:noProof/>
      </w:rPr>
      <mc:AlternateContent>
        <mc:Choice Requires="wps">
          <w:drawing>
            <wp:anchor distT="0" distB="0" distL="114300" distR="114300" simplePos="0" relativeHeight="251659264" behindDoc="0" locked="0" layoutInCell="1" allowOverlap="1" wp14:anchorId="7A88B7EE" wp14:editId="6A051AB9">
              <wp:simplePos x="0" y="0"/>
              <wp:positionH relativeFrom="character">
                <wp:posOffset>-2914015</wp:posOffset>
              </wp:positionH>
              <wp:positionV relativeFrom="line">
                <wp:posOffset>70485</wp:posOffset>
              </wp:positionV>
              <wp:extent cx="5951220" cy="7620"/>
              <wp:effectExtent l="19685" t="19685" r="36195" b="3619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9A3F3A" id="Line 5" o:spid="_x0000_s1026" style="position:absolute;z-index:25165926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SuFwIAACwEAAAOAAAAZHJzL2Uyb0RvYy54bWysU8uu2jAQ3VfqP1jZQx4NXIgIV1UC3dAW&#10;6d5+gLEdYtWxLdsQUNV/79gJtLSbqmoWztgzc3zmzHj1fOkEOjNjuZJllE6TCDFJFOXyWEZfXreT&#10;RYSsw5JioSQroyuz0fP67ZtVrwuWqVYJygwCEGmLXpdR65wu4tiSlnXYTpVmEpyNMh12sDXHmBrc&#10;A3on4ixJ5nGvDNVGEWYtnNaDM1oH/KZhxH1uGsscEmUE3FxYTVgPfo3XK1wcDdYtJyMN/A8sOswl&#10;XHqHqrHD6GT4H1AdJ0ZZ1bgpUV2smoYTFmqAatLkt2peWqxZqAXEsfouk/1/sOTTeW8Qp2WURUji&#10;Dlq045KhmVem17aAgEruja+NXOSL3iny1SKpqhbLIwsMX68a0lKfET+k+I3VgH/oPyoKMfjkVJDp&#10;0pjOQ4IA6BK6cb13g10cInA4W87SLIOmEfA9zcHyF+DilquNdR+Y6pA3ykgA7YCNzzvrhtBbiL9K&#10;qi0XAs5xISTqgfAymSUhwyrBqfd6pzXHQyUMOmM/MuEbL34IM+okaUBrGaab0XaYi8EGokJ6PCgH&#10;+IzWMBPflslys9gs8kmezTeTPKnryfttlU/m2/RpVr+rq6pOv3tqaV60nFImPbvbfKb53/V/fCnD&#10;ZN0n9K5D/IgetAWyt38gHfrpWzgMw0HR6954bX1rYSRD8Ph8/Mz/ug9RPx/5+gcAAAD//wMAUEsD&#10;BBQABgAIAAAAIQAOodi13gAAAAoBAAAPAAAAZHJzL2Rvd25yZXYueG1sTI/BTsMwDIbvSLxDZCRu&#10;W9qtg6w0nWASl90oE3DMmtBWJE7VZF379pgTO9r/r8+fi93kLBvNEDqPEtJlAsxg7XWHjYTj++tC&#10;AAtRoVbWo5EwmwC78vamULn2F3wzYxUbRhAMuZLQxtjnnIe6NU6Fpe8NUvbtB6cijUPD9aAuBHeW&#10;r5LkgTvVIV1oVW/2ral/qrMjyuZTvByUOM6zrb622f7jMKKT8v5uen4CFs0U/8vwp0/qUJLTyZ9R&#10;B2YlLLKN2FKXkjQFRo3sUayBnWixWgMvC379QvkLAAD//wMAUEsBAi0AFAAGAAgAAAAhALaDOJL+&#10;AAAA4QEAABMAAAAAAAAAAAAAAAAAAAAAAFtDb250ZW50X1R5cGVzXS54bWxQSwECLQAUAAYACAAA&#10;ACEAOP0h/9YAAACUAQAACwAAAAAAAAAAAAAAAAAvAQAAX3JlbHMvLnJlbHNQSwECLQAUAAYACAAA&#10;ACEA8BWErhcCAAAsBAAADgAAAAAAAAAAAAAAAAAuAgAAZHJzL2Uyb0RvYy54bWxQSwECLQAUAAYA&#10;CAAAACEADqHYtd4AAAAKAQAADwAAAAAAAAAAAAAAAABxBAAAZHJzL2Rvd25yZXYueG1sUEsFBgAA&#10;AAAEAAQA8wAAAHwFAAAAAA==&#10;" strokeweight="1.5pt">
              <w10:wrap anchory="line"/>
            </v:line>
          </w:pict>
        </mc:Fallback>
      </mc:AlternateContent>
    </w:r>
  </w:p>
  <w:p w14:paraId="517C5B97" w14:textId="77777777" w:rsidR="003A0893" w:rsidRDefault="004745D7"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7CE32" w14:textId="77777777" w:rsidR="003A0893" w:rsidRDefault="004745D7" w:rsidP="00F20A16">
    <w:pPr>
      <w:pStyle w:val="HeaderFooter"/>
    </w:pPr>
  </w:p>
  <w:p w14:paraId="6B7E54D0" w14:textId="77777777" w:rsidR="003A0893" w:rsidRDefault="004745D7" w:rsidP="00F20A16">
    <w:pPr>
      <w:pStyle w:val="HeaderFooter"/>
    </w:pPr>
  </w:p>
  <w:p w14:paraId="6888AB0B" w14:textId="77777777" w:rsidR="003A0893" w:rsidRDefault="004745D7" w:rsidP="00F20A16">
    <w:pPr>
      <w:pStyle w:val="HeaderFooter"/>
    </w:pPr>
  </w:p>
  <w:p w14:paraId="5E16AC05" w14:textId="77777777" w:rsidR="003A0893" w:rsidRDefault="004745D7" w:rsidP="00A97C2F">
    <w:pPr>
      <w:pStyle w:val="HeaderFooter"/>
    </w:pPr>
  </w:p>
  <w:p w14:paraId="26D232A8" w14:textId="77777777" w:rsidR="00B56809" w:rsidRDefault="004745D7" w:rsidP="00A97C2F">
    <w:pPr>
      <w:pStyle w:val="HeaderFooter"/>
    </w:pPr>
  </w:p>
  <w:p w14:paraId="68EE0DA7" w14:textId="77777777" w:rsidR="003A0893" w:rsidRPr="00F00C3B" w:rsidRDefault="004745D7"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61FCC"/>
    <w:multiLevelType w:val="hybridMultilevel"/>
    <w:tmpl w:val="790AF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F2FCB"/>
    <w:multiLevelType w:val="hybridMultilevel"/>
    <w:tmpl w:val="739A4120"/>
    <w:lvl w:ilvl="0" w:tplc="3CFAC4D0">
      <w:start w:val="1"/>
      <w:numFmt w:val="lowerLetter"/>
      <w:lvlText w:val="%1."/>
      <w:lvlJc w:val="left"/>
      <w:pPr>
        <w:ind w:left="1080" w:hanging="360"/>
      </w:pPr>
      <w:rPr>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FF11FD"/>
    <w:multiLevelType w:val="hybridMultilevel"/>
    <w:tmpl w:val="7BACF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421A94"/>
    <w:multiLevelType w:val="hybridMultilevel"/>
    <w:tmpl w:val="9A10E766"/>
    <w:lvl w:ilvl="0" w:tplc="3CFAC4D0">
      <w:start w:val="1"/>
      <w:numFmt w:val="lowerLetter"/>
      <w:lvlText w:val="%1."/>
      <w:lvlJc w:val="left"/>
      <w:pPr>
        <w:ind w:left="108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4A60D3B"/>
    <w:multiLevelType w:val="hybridMultilevel"/>
    <w:tmpl w:val="7A4AF3B2"/>
    <w:lvl w:ilvl="0" w:tplc="3CFAC4D0">
      <w:start w:val="1"/>
      <w:numFmt w:val="lowerLetter"/>
      <w:lvlText w:val="%1."/>
      <w:lvlJc w:val="left"/>
      <w:pPr>
        <w:ind w:left="108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B642A9A"/>
    <w:multiLevelType w:val="hybridMultilevel"/>
    <w:tmpl w:val="07AE1D34"/>
    <w:lvl w:ilvl="0" w:tplc="0409000F">
      <w:start w:val="1"/>
      <w:numFmt w:val="decimal"/>
      <w:lvlText w:val="%1."/>
      <w:lvlJc w:val="left"/>
      <w:pPr>
        <w:ind w:left="720" w:hanging="360"/>
      </w:pPr>
    </w:lvl>
    <w:lvl w:ilvl="1" w:tplc="A6BC27B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0E1D69"/>
    <w:multiLevelType w:val="hybridMultilevel"/>
    <w:tmpl w:val="13D412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1B21A3D"/>
    <w:multiLevelType w:val="multilevel"/>
    <w:tmpl w:val="5B264BEC"/>
    <w:lvl w:ilvl="0">
      <w:start w:val="1"/>
      <w:numFmt w:val="decimal"/>
      <w:pStyle w:val="Heading1"/>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61CD318F"/>
    <w:multiLevelType w:val="hybridMultilevel"/>
    <w:tmpl w:val="E9B69C82"/>
    <w:lvl w:ilvl="0" w:tplc="3CFAC4D0">
      <w:start w:val="1"/>
      <w:numFmt w:val="lowerLetter"/>
      <w:lvlText w:val="%1."/>
      <w:lvlJc w:val="left"/>
      <w:pPr>
        <w:ind w:left="108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C3694D"/>
    <w:multiLevelType w:val="hybridMultilevel"/>
    <w:tmpl w:val="1408BD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31365CB"/>
    <w:multiLevelType w:val="hybridMultilevel"/>
    <w:tmpl w:val="3ED01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C22858"/>
    <w:multiLevelType w:val="hybridMultilevel"/>
    <w:tmpl w:val="0BFCFCD6"/>
    <w:lvl w:ilvl="0" w:tplc="0409000F">
      <w:start w:val="1"/>
      <w:numFmt w:val="decimal"/>
      <w:lvlText w:val="%1."/>
      <w:lvlJc w:val="left"/>
      <w:pPr>
        <w:ind w:left="720" w:hanging="360"/>
      </w:pPr>
    </w:lvl>
    <w:lvl w:ilvl="1" w:tplc="3CFAC4D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5"/>
  </w:num>
  <w:num w:numId="5">
    <w:abstractNumId w:val="11"/>
  </w:num>
  <w:num w:numId="6">
    <w:abstractNumId w:val="0"/>
  </w:num>
  <w:num w:numId="7">
    <w:abstractNumId w:val="8"/>
  </w:num>
  <w:num w:numId="8">
    <w:abstractNumId w:val="4"/>
  </w:num>
  <w:num w:numId="9">
    <w:abstractNumId w:val="3"/>
  </w:num>
  <w:num w:numId="10">
    <w:abstractNumId w:val="1"/>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29C"/>
    <w:rsid w:val="0004225B"/>
    <w:rsid w:val="000575B8"/>
    <w:rsid w:val="00082400"/>
    <w:rsid w:val="00096738"/>
    <w:rsid w:val="00181F4C"/>
    <w:rsid w:val="001E7307"/>
    <w:rsid w:val="00200236"/>
    <w:rsid w:val="00205117"/>
    <w:rsid w:val="00240B66"/>
    <w:rsid w:val="00283476"/>
    <w:rsid w:val="002D1B16"/>
    <w:rsid w:val="002D3EBF"/>
    <w:rsid w:val="002F3CBD"/>
    <w:rsid w:val="00346C46"/>
    <w:rsid w:val="003740B0"/>
    <w:rsid w:val="003E724C"/>
    <w:rsid w:val="004173A9"/>
    <w:rsid w:val="0043548A"/>
    <w:rsid w:val="00473FA0"/>
    <w:rsid w:val="004745D7"/>
    <w:rsid w:val="004D49B6"/>
    <w:rsid w:val="00500FED"/>
    <w:rsid w:val="00515368"/>
    <w:rsid w:val="00597CD1"/>
    <w:rsid w:val="005B5FF0"/>
    <w:rsid w:val="0062351D"/>
    <w:rsid w:val="006D5F12"/>
    <w:rsid w:val="006E198E"/>
    <w:rsid w:val="00700FE2"/>
    <w:rsid w:val="00741F72"/>
    <w:rsid w:val="00783B85"/>
    <w:rsid w:val="007B5D38"/>
    <w:rsid w:val="007D7594"/>
    <w:rsid w:val="008A1020"/>
    <w:rsid w:val="008B56AF"/>
    <w:rsid w:val="008D3DFB"/>
    <w:rsid w:val="008D5A6E"/>
    <w:rsid w:val="00925113"/>
    <w:rsid w:val="00933146"/>
    <w:rsid w:val="00952B7F"/>
    <w:rsid w:val="00971254"/>
    <w:rsid w:val="009E0566"/>
    <w:rsid w:val="009E283D"/>
    <w:rsid w:val="009E54F9"/>
    <w:rsid w:val="00A3274F"/>
    <w:rsid w:val="00A5491F"/>
    <w:rsid w:val="00B43049"/>
    <w:rsid w:val="00B520A1"/>
    <w:rsid w:val="00B7170A"/>
    <w:rsid w:val="00BA250C"/>
    <w:rsid w:val="00BF0012"/>
    <w:rsid w:val="00C05B05"/>
    <w:rsid w:val="00C1062E"/>
    <w:rsid w:val="00C25F22"/>
    <w:rsid w:val="00CA1DDB"/>
    <w:rsid w:val="00CC04AA"/>
    <w:rsid w:val="00CF6669"/>
    <w:rsid w:val="00D03BFD"/>
    <w:rsid w:val="00DA5C41"/>
    <w:rsid w:val="00DC356A"/>
    <w:rsid w:val="00DC3E3F"/>
    <w:rsid w:val="00DD2478"/>
    <w:rsid w:val="00E6029C"/>
    <w:rsid w:val="00EF41B0"/>
    <w:rsid w:val="00F72756"/>
    <w:rsid w:val="00FF47C2"/>
    <w:rsid w:val="00FF6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E1D2F"/>
  <w15:chartTrackingRefBased/>
  <w15:docId w15:val="{7649B1F5-0572-40F4-805D-3F213BDC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29C"/>
    <w:pPr>
      <w:spacing w:after="0" w:line="336" w:lineRule="auto"/>
    </w:pPr>
    <w:rPr>
      <w:rFonts w:ascii="Bodoni SvtyTwo OS ITC TT-Book" w:eastAsia="ヒラギノ角ゴ Pro W3" w:hAnsi="Bodoni SvtyTwo OS ITC TT-Book" w:cs="Times New Roman"/>
      <w:color w:val="000000"/>
      <w:sz w:val="24"/>
      <w:szCs w:val="24"/>
    </w:rPr>
  </w:style>
  <w:style w:type="paragraph" w:styleId="Heading1">
    <w:name w:val="heading 1"/>
    <w:next w:val="Normal"/>
    <w:link w:val="Heading1Char"/>
    <w:autoRedefine/>
    <w:qFormat/>
    <w:rsid w:val="00E6029C"/>
    <w:pPr>
      <w:keepNext/>
      <w:numPr>
        <w:numId w:val="1"/>
      </w:numPr>
      <w:pBdr>
        <w:bottom w:val="single" w:sz="4" w:space="1" w:color="auto"/>
      </w:pBdr>
      <w:spacing w:before="240" w:after="60" w:line="240" w:lineRule="auto"/>
      <w:outlineLvl w:val="0"/>
    </w:pPr>
    <w:rPr>
      <w:rFonts w:ascii="Arial" w:eastAsia="ヒラギノ角ゴ Pro W3" w:hAnsi="Arial" w:cs="Arial"/>
      <w:b/>
      <w:color w:val="000000"/>
      <w:kern w:val="32"/>
      <w:sz w:val="32"/>
      <w:szCs w:val="24"/>
    </w:rPr>
  </w:style>
  <w:style w:type="paragraph" w:styleId="Heading3">
    <w:name w:val="heading 3"/>
    <w:basedOn w:val="Normal"/>
    <w:next w:val="Normal"/>
    <w:link w:val="Heading3Char"/>
    <w:qFormat/>
    <w:rsid w:val="00E6029C"/>
    <w:pPr>
      <w:keepNext/>
      <w:spacing w:before="240"/>
      <w:outlineLvl w:val="2"/>
    </w:pPr>
    <w:rPr>
      <w:rFonts w:ascii="Calibri" w:eastAsia="Times New Roman" w:hAnsi="Calibri"/>
      <w:b/>
      <w:bCs/>
      <w:sz w:val="26"/>
      <w:szCs w:val="26"/>
    </w:rPr>
  </w:style>
  <w:style w:type="paragraph" w:styleId="Heading4">
    <w:name w:val="heading 4"/>
    <w:basedOn w:val="Normal"/>
    <w:next w:val="Normal"/>
    <w:link w:val="Heading4Char"/>
    <w:uiPriority w:val="9"/>
    <w:semiHidden/>
    <w:unhideWhenUsed/>
    <w:qFormat/>
    <w:rsid w:val="00741F7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29C"/>
    <w:rPr>
      <w:rFonts w:ascii="Arial" w:eastAsia="ヒラギノ角ゴ Pro W3" w:hAnsi="Arial" w:cs="Arial"/>
      <w:b/>
      <w:color w:val="000000"/>
      <w:kern w:val="32"/>
      <w:sz w:val="32"/>
      <w:szCs w:val="24"/>
    </w:rPr>
  </w:style>
  <w:style w:type="character" w:customStyle="1" w:styleId="Heading3Char">
    <w:name w:val="Heading 3 Char"/>
    <w:basedOn w:val="DefaultParagraphFont"/>
    <w:link w:val="Heading3"/>
    <w:rsid w:val="00E6029C"/>
    <w:rPr>
      <w:rFonts w:ascii="Calibri" w:eastAsia="Times New Roman" w:hAnsi="Calibri" w:cs="Times New Roman"/>
      <w:b/>
      <w:bCs/>
      <w:color w:val="000000"/>
      <w:sz w:val="26"/>
      <w:szCs w:val="26"/>
    </w:rPr>
  </w:style>
  <w:style w:type="paragraph" w:customStyle="1" w:styleId="HeaderFooter">
    <w:name w:val="Header &amp; Footer"/>
    <w:autoRedefine/>
    <w:rsid w:val="00E6029C"/>
    <w:pPr>
      <w:tabs>
        <w:tab w:val="right" w:pos="8640"/>
      </w:tabs>
      <w:spacing w:after="0" w:line="216" w:lineRule="auto"/>
      <w:jc w:val="center"/>
    </w:pPr>
    <w:rPr>
      <w:rFonts w:ascii="Arial" w:eastAsia="ヒラギノ角ゴ Pro W3" w:hAnsi="Arial" w:cs="Times New Roman"/>
      <w:color w:val="4D4D4D"/>
      <w:spacing w:val="-5"/>
      <w:sz w:val="18"/>
      <w:szCs w:val="24"/>
    </w:rPr>
  </w:style>
  <w:style w:type="paragraph" w:customStyle="1" w:styleId="Body">
    <w:name w:val="Body"/>
    <w:autoRedefine/>
    <w:rsid w:val="00E6029C"/>
    <w:pPr>
      <w:spacing w:after="0" w:line="240" w:lineRule="auto"/>
    </w:pPr>
    <w:rPr>
      <w:rFonts w:ascii="Verdana" w:eastAsia="ヒラギノ角ゴ Pro W3" w:hAnsi="Verdana" w:cs="Times New Roman"/>
      <w:color w:val="000000"/>
      <w:sz w:val="20"/>
      <w:szCs w:val="24"/>
    </w:rPr>
  </w:style>
  <w:style w:type="paragraph" w:customStyle="1" w:styleId="Title1">
    <w:name w:val="Title1"/>
    <w:next w:val="Normal"/>
    <w:autoRedefine/>
    <w:rsid w:val="00E6029C"/>
    <w:pPr>
      <w:keepNext/>
      <w:spacing w:after="0" w:line="240" w:lineRule="auto"/>
    </w:pPr>
    <w:rPr>
      <w:rFonts w:ascii="Helvetica" w:eastAsia="ヒラギノ角ゴ Pro W3" w:hAnsi="Helvetica" w:cs="Times New Roman"/>
      <w:color w:val="000000"/>
      <w:sz w:val="70"/>
      <w:szCs w:val="24"/>
    </w:rPr>
  </w:style>
  <w:style w:type="paragraph" w:customStyle="1" w:styleId="Content">
    <w:name w:val="Content"/>
    <w:basedOn w:val="Normal"/>
    <w:qFormat/>
    <w:rsid w:val="00E602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Footer">
    <w:name w:val="footer"/>
    <w:basedOn w:val="Normal"/>
    <w:link w:val="FooterChar"/>
    <w:semiHidden/>
    <w:unhideWhenUsed/>
    <w:rsid w:val="00E6029C"/>
    <w:pPr>
      <w:tabs>
        <w:tab w:val="center" w:pos="4680"/>
        <w:tab w:val="right" w:pos="9360"/>
      </w:tabs>
      <w:spacing w:line="240" w:lineRule="auto"/>
    </w:pPr>
  </w:style>
  <w:style w:type="character" w:customStyle="1" w:styleId="FooterChar">
    <w:name w:val="Footer Char"/>
    <w:basedOn w:val="DefaultParagraphFont"/>
    <w:link w:val="Footer"/>
    <w:semiHidden/>
    <w:rsid w:val="00E6029C"/>
    <w:rPr>
      <w:rFonts w:ascii="Bodoni SvtyTwo OS ITC TT-Book" w:eastAsia="ヒラギノ角ゴ Pro W3" w:hAnsi="Bodoni SvtyTwo OS ITC TT-Book" w:cs="Times New Roman"/>
      <w:color w:val="000000"/>
      <w:sz w:val="24"/>
      <w:szCs w:val="24"/>
    </w:rPr>
  </w:style>
  <w:style w:type="paragraph" w:styleId="Header">
    <w:name w:val="header"/>
    <w:basedOn w:val="Normal"/>
    <w:link w:val="HeaderChar"/>
    <w:uiPriority w:val="99"/>
    <w:unhideWhenUsed/>
    <w:rsid w:val="00283476"/>
    <w:pPr>
      <w:tabs>
        <w:tab w:val="center" w:pos="4680"/>
        <w:tab w:val="right" w:pos="9360"/>
      </w:tabs>
      <w:spacing w:line="240" w:lineRule="auto"/>
    </w:pPr>
  </w:style>
  <w:style w:type="character" w:customStyle="1" w:styleId="HeaderChar">
    <w:name w:val="Header Char"/>
    <w:basedOn w:val="DefaultParagraphFont"/>
    <w:link w:val="Header"/>
    <w:uiPriority w:val="99"/>
    <w:rsid w:val="00283476"/>
    <w:rPr>
      <w:rFonts w:ascii="Bodoni SvtyTwo OS ITC TT-Book" w:eastAsia="ヒラギノ角ゴ Pro W3" w:hAnsi="Bodoni SvtyTwo OS ITC TT-Book" w:cs="Times New Roman"/>
      <w:color w:val="000000"/>
      <w:sz w:val="24"/>
      <w:szCs w:val="24"/>
    </w:rPr>
  </w:style>
  <w:style w:type="paragraph" w:styleId="ListParagraph">
    <w:name w:val="List Paragraph"/>
    <w:basedOn w:val="Normal"/>
    <w:uiPriority w:val="34"/>
    <w:qFormat/>
    <w:rsid w:val="00DC3E3F"/>
    <w:pPr>
      <w:ind w:left="720"/>
      <w:contextualSpacing/>
    </w:pPr>
  </w:style>
  <w:style w:type="character" w:customStyle="1" w:styleId="Heading4Char">
    <w:name w:val="Heading 4 Char"/>
    <w:basedOn w:val="DefaultParagraphFont"/>
    <w:link w:val="Heading4"/>
    <w:uiPriority w:val="9"/>
    <w:semiHidden/>
    <w:rsid w:val="00741F72"/>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B4ED1-C708-2E42-9035-E398DADB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Lance Spitzner</cp:lastModifiedBy>
  <cp:revision>19</cp:revision>
  <dcterms:created xsi:type="dcterms:W3CDTF">2018-06-03T16:52:00Z</dcterms:created>
  <dcterms:modified xsi:type="dcterms:W3CDTF">2019-05-20T17:04:00Z</dcterms:modified>
</cp:coreProperties>
</file>