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62D89" w14:textId="6858C558" w:rsidR="00F20A16" w:rsidRPr="00B44C19" w:rsidRDefault="00BD1752">
      <w:r w:rsidRPr="00B44C19">
        <w:rPr>
          <w:noProof/>
        </w:rPr>
        <mc:AlternateContent>
          <mc:Choice Requires="wps">
            <w:drawing>
              <wp:inline distT="0" distB="0" distL="0" distR="0" wp14:anchorId="577D8A89" wp14:editId="7BA79DAC">
                <wp:extent cx="5943600" cy="2540"/>
                <wp:effectExtent l="38100" t="38100" r="50800" b="48260"/>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2540"/>
                        </a:xfrm>
                        <a:prstGeom prst="line">
                          <a:avLst/>
                        </a:prstGeom>
                        <a:noFill/>
                        <a:ln w="5080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inline>
            </w:drawing>
          </mc:Choice>
          <mc:Fallback>
            <w:pict>
              <v:line w14:anchorId="4F2B2484" id="Line 2" o:spid="_x0000_s1026" style="flip:y;visibility:visible;mso-wrap-style:square;mso-left-percent:-10001;mso-top-percent:-10001;mso-position-horizontal:absolute;mso-position-horizontal-relative:char;mso-position-vertical:absolute;mso-position-vertical-relative:line;mso-left-percent:-10001;mso-top-percent:-10001" from="0,0" to="468pt,.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PDvjuAEAAFYDAAAOAAAAZHJzL2Uyb0RvYy54bWysU01v2zAMvQ/ofxB0b+xkbdEZcXpI2126&#13;&#10;LUC73hl92MJkUZCU2Pn3o9Q0LbrbUB8EUiSfHh/p5c00WLZXIRp0LZ/Pas6UEyiN61r+++n+/Jqz&#13;&#10;mMBJsOhUyw8q8pvV2Zfl6Bu1wB6tVIERiIvN6Fvep+SbqoqiVwPEGXrlKKgxDJDIDV0lA4yEPthq&#13;&#10;UddX1YhB+oBCxUi3ty9Bvir4WiuRfmkdVWK25cQtlTOUc5vParWEpgvgeyOONOA/WAxgHD16grqF&#13;&#10;BGwXzD9QgxEBI+o0EzhUqLURqvRA3czrD9089uBV6YXEif4kU/w8WPFzv3abkKmLyT36BxR/InO4&#13;&#10;7sF1qhB4Onga3DxLVY0+NqeS7ES/CWw7/kBJObBLWFSYdBiYtsY/58IMTp2yqch+OMmupsQEXV5+&#13;&#10;u/h6VdN0BMUWlxdlKhU0GSXX+hDTd4UDy0bLrXFZFGhg/xBTZvWWkq8d3htry2CtYyPh19eEnkMR&#13;&#10;rZE5WpzQbdc2sD3k3Shf6fFDWsCdkwWtVyDvjnYCY19set26ozRZjbx6sdmiPGzCq2Q0vELzuGh5&#13;&#10;O977pfrtd1j9BQAA//8DAFBLAwQUAAYACAAAACEAqnMw/dkAAAAHAQAADwAAAGRycy9kb3ducmV2&#13;&#10;LnhtbExP20rDQBB9F/yHZQq+2U2rlDbNppSIEFAEqx+wTcZsaHYmZrdt+veOvtiXA4fDuWWb0Xfq&#13;&#10;hENomQzMpgkopIrrlhoDnx/P90tQIVqqbceEBi4YYJPf3mQ2rflM73jaxUZJCIXUGnAx9qnWoXLo&#13;&#10;bZhyjyTaFw/eRqFDo+vBniXcd3qeJAvtbUvS4GyPhcPqsDt6mXF52b6677dZz6vlvCyYi1iWxtxN&#13;&#10;xqe1wHYNKuIY/x3w+0GMkMuwPR+pDqozIG/iH4q2elgI3Rt4BJ1n+np//gMAAP//AwBQSwECLQAU&#13;&#10;AAYACAAAACEAtoM4kv4AAADhAQAAEwAAAAAAAAAAAAAAAAAAAAAAW0NvbnRlbnRfVHlwZXNdLnht&#13;&#10;bFBLAQItABQABgAIAAAAIQA4/SH/1gAAAJQBAAALAAAAAAAAAAAAAAAAAC8BAABfcmVscy8ucmVs&#13;&#10;c1BLAQItABQABgAIAAAAIQCuPDvjuAEAAFYDAAAOAAAAAAAAAAAAAAAAAC4CAABkcnMvZTJvRG9j&#13;&#10;LnhtbFBLAQItABQABgAIAAAAIQCqczD92QAAAAcBAAAPAAAAAAAAAAAAAAAAABIEAABkcnMvZG93&#13;&#10;bnJldi54bWxQSwUGAAAAAAQABADzAAAAGAUAAAAA&#13;&#10;" strokeweight="4pt">
                <w10:anchorlock/>
              </v:line>
            </w:pict>
          </mc:Fallback>
        </mc:AlternateContent>
      </w:r>
    </w:p>
    <w:p w14:paraId="05ADBE82" w14:textId="2D213C81" w:rsidR="00F20A16" w:rsidRPr="00B44C19" w:rsidRDefault="00BD1752" w:rsidP="00F20A16">
      <w:pPr>
        <w:pStyle w:val="Title1"/>
      </w:pPr>
      <w:r w:rsidRPr="00B44C19">
        <w:t>Security Awareness Compliance Requirements</w:t>
      </w:r>
    </w:p>
    <w:p w14:paraId="75723D9E" w14:textId="77777777" w:rsidR="00F20A16" w:rsidRPr="00B44C19" w:rsidRDefault="00F20A16" w:rsidP="00CE04AC">
      <w:pPr>
        <w:pStyle w:val="Body"/>
      </w:pPr>
    </w:p>
    <w:p w14:paraId="3AB2BFAC" w14:textId="77777777" w:rsidR="00F20A16" w:rsidRPr="00B44C19" w:rsidRDefault="00F20A16" w:rsidP="00CE04AC">
      <w:pPr>
        <w:pStyle w:val="Body"/>
      </w:pPr>
    </w:p>
    <w:p w14:paraId="76700B43" w14:textId="77777777" w:rsidR="00F20A16" w:rsidRPr="00B44C19" w:rsidRDefault="00F20A16" w:rsidP="00CE04AC">
      <w:pPr>
        <w:pStyle w:val="Body"/>
      </w:pPr>
    </w:p>
    <w:p w14:paraId="436D0B1E" w14:textId="77777777" w:rsidR="00F20A16" w:rsidRPr="00B44C19" w:rsidRDefault="00F20A16" w:rsidP="00CE04AC">
      <w:pPr>
        <w:pStyle w:val="Body"/>
      </w:pPr>
    </w:p>
    <w:p w14:paraId="49504874" w14:textId="77777777" w:rsidR="00F20A16" w:rsidRPr="00B44C19" w:rsidRDefault="00F20A16" w:rsidP="00CE04AC">
      <w:pPr>
        <w:pStyle w:val="Body"/>
      </w:pPr>
    </w:p>
    <w:p w14:paraId="1541B0EE" w14:textId="457BCE21" w:rsidR="00F20A16" w:rsidRPr="00B44C19" w:rsidRDefault="000D1C8C">
      <w:pPr>
        <w:rPr>
          <w:rFonts w:ascii="Futura" w:hAnsi="Futura"/>
          <w:sz w:val="20"/>
        </w:rPr>
      </w:pPr>
      <w:r w:rsidRPr="00B44C19">
        <w:rPr>
          <w:rFonts w:ascii="Futura" w:hAnsi="Futura"/>
          <w:noProof/>
          <w:sz w:val="20"/>
        </w:rPr>
        <w:drawing>
          <wp:anchor distT="0" distB="0" distL="114300" distR="114300" simplePos="0" relativeHeight="251658240" behindDoc="0" locked="0" layoutInCell="1" allowOverlap="1" wp14:anchorId="1795E350" wp14:editId="0B778F18">
            <wp:simplePos x="0" y="0"/>
            <wp:positionH relativeFrom="column">
              <wp:posOffset>3591175</wp:posOffset>
            </wp:positionH>
            <wp:positionV relativeFrom="paragraph">
              <wp:posOffset>4674402</wp:posOffset>
            </wp:positionV>
            <wp:extent cx="2511243" cy="1413260"/>
            <wp:effectExtent l="0" t="0" r="3810" b="9525"/>
            <wp:wrapNone/>
            <wp:docPr id="2" name="Picture 2" descr="/Volumes/STH/Dropbox (SANS)/Community/MGT433/Update/SANS-SA-Logo-Squ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STH/Dropbox (SANS)/Community/MGT433/Update/SANS-SA-Logo-Squar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1243" cy="1413260"/>
                    </a:xfrm>
                    <a:prstGeom prst="rect">
                      <a:avLst/>
                    </a:prstGeom>
                    <a:noFill/>
                    <a:ln>
                      <a:noFill/>
                    </a:ln>
                  </pic:spPr>
                </pic:pic>
              </a:graphicData>
            </a:graphic>
            <wp14:sizeRelH relativeFrom="page">
              <wp14:pctWidth>0</wp14:pctWidth>
            </wp14:sizeRelH>
            <wp14:sizeRelV relativeFrom="page">
              <wp14:pctHeight>0</wp14:pctHeight>
            </wp14:sizeRelV>
          </wp:anchor>
        </w:drawing>
      </w:r>
      <w:r w:rsidR="00BD1752" w:rsidRPr="00B44C19">
        <w:rPr>
          <w:noProof/>
        </w:rPr>
        <mc:AlternateContent>
          <mc:Choice Requires="wps">
            <w:drawing>
              <wp:inline distT="0" distB="0" distL="0" distR="0" wp14:anchorId="3434FA9B" wp14:editId="27D0E2D9">
                <wp:extent cx="5943600" cy="0"/>
                <wp:effectExtent l="38100" t="38100" r="50800" b="50800"/>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inline>
            </w:drawing>
          </mc:Choice>
          <mc:Fallback>
            <w:pict>
              <v:line w14:anchorId="209CF796" id="Line 3" o:spid="_x0000_s1026"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52nkrQEAAEkDAAAOAAAAZHJzL2Uyb0RvYy54bWysU8Fu2zAMvQ/YPwi6L3a6reiMOD2k6y7d&#13;&#10;FqDdBzCSbAuTRYFUYufvJ6lJNnS3oj4IpEg+PT7Sq9t5dOJgiC36Vi4XtRTGK9TW96389XT/4UYK&#13;&#10;juA1OPSmlUfD8nb9/t1qCo25wgGdNiQSiOdmCq0cYgxNVbEazAi8wGB8CnZII8TkUl9pgimhj666&#13;&#10;quvrakLSgVAZ5nR79xyU64LfdUbFn13HJgrXysQtlpPKuctntV5B0xOEwaoTDXgFixGsT49eoO4g&#13;&#10;gtiT/Q9qtIqQsYsLhWOFXWeVKT2kbpb1i24eBwim9JLE4XCRid8OVv04bPyWMnU1+8fwgOo3C4+b&#13;&#10;AXxvCoGnY0iDW2apqilwcynJDoctid30HXXKgX3EosLc0ZghU39iLmIfL2KbOQqVLj9/+fTxuk4z&#13;&#10;UedYBc25MBDHbwZHkY1WOuuzDtDA4YFjJgLNOSVfe7y3zpVZOi+mBF7fJOgcYnRW52hxqN9tHIkD&#13;&#10;5HUoX2nrRRrh3uuCNhjQX092BOue7fS68yc1sgB527jZoT5u6axSmlehedqtvBD/+qX67x+w/gMA&#13;&#10;AP//AwBQSwMEFAAGAAgAAAAhANDmKI/YAAAABwEAAA8AAABkcnMvZG93bnJldi54bWxMj8FOwzAQ&#13;&#10;RO9I/QdrK3GjTkEKNI1TtSC4AqUf4MRLYmGvo9hpwt+z5QKXkUajnX1T7mbvxBmHaAMpWK8yEEhN&#13;&#10;MJZaBaeP55sHEDFpMtoFQgXfGGFXLa5KXZgw0Tuej6kVXEKx0Aq6lPpCyth06HVchR6Js88weJ3Y&#13;&#10;Dq00g5643Dt5m2W59NoSf+h0j48dNl/H0Svwxr7Vh5fa2f7VjdMhzzb300mp6+X8tGXZb0EknNPf&#13;&#10;BVw2MD9UDFaHkUwUTgGvSb/K2eYuZ1tfrKxK+Z+/+gEAAP//AwBQSwECLQAUAAYACAAAACEAtoM4&#13;&#10;kv4AAADhAQAAEwAAAAAAAAAAAAAAAAAAAAAAW0NvbnRlbnRfVHlwZXNdLnhtbFBLAQItABQABgAI&#13;&#10;AAAAIQA4/SH/1gAAAJQBAAALAAAAAAAAAAAAAAAAAC8BAABfcmVscy8ucmVsc1BLAQItABQABgAI&#13;&#10;AAAAIQAQ52nkrQEAAEkDAAAOAAAAAAAAAAAAAAAAAC4CAABkcnMvZTJvRG9jLnhtbFBLAQItABQA&#13;&#10;BgAIAAAAIQDQ5iiP2AAAAAcBAAAPAAAAAAAAAAAAAAAAAAcEAABkcnMvZG93bnJldi54bWxQSwUG&#13;&#10;AAAAAAQABADzAAAADAUAAAAA&#13;&#10;" strokeweight="4pt">
                <w10:anchorlock/>
              </v:line>
            </w:pict>
          </mc:Fallback>
        </mc:AlternateContent>
      </w:r>
    </w:p>
    <w:p w14:paraId="142D5BBA" w14:textId="77777777" w:rsidR="00F20A16" w:rsidRPr="00B44C19" w:rsidRDefault="00F20A16">
      <w:pPr>
        <w:pStyle w:val="Header1"/>
        <w:tabs>
          <w:tab w:val="clear" w:pos="8640"/>
          <w:tab w:val="right" w:pos="8620"/>
        </w:tabs>
        <w:rPr>
          <w:rFonts w:ascii="Futura" w:hAnsi="Futura"/>
          <w:sz w:val="20"/>
        </w:rPr>
        <w:sectPr w:rsidR="00F20A16" w:rsidRPr="00B44C19">
          <w:footerReference w:type="even" r:id="rId8"/>
          <w:footerReference w:type="default" r:id="rId9"/>
          <w:footerReference w:type="first" r:id="rId10"/>
          <w:pgSz w:w="12240" w:h="15840"/>
          <w:pgMar w:top="1440" w:right="720" w:bottom="720" w:left="1440" w:header="360" w:footer="360" w:gutter="0"/>
          <w:cols w:space="720"/>
          <w:titlePg/>
        </w:sectPr>
      </w:pPr>
    </w:p>
    <w:p w14:paraId="7B9CE698" w14:textId="7309EC4B" w:rsidR="00446D00" w:rsidRPr="00B44C19" w:rsidRDefault="00117796" w:rsidP="000E1A7C">
      <w:pPr>
        <w:pStyle w:val="Heading1"/>
        <w:numPr>
          <w:ilvl w:val="0"/>
          <w:numId w:val="0"/>
        </w:numPr>
      </w:pPr>
      <w:bookmarkStart w:id="0" w:name="_Toc81878338"/>
      <w:bookmarkEnd w:id="0"/>
      <w:r w:rsidRPr="00B44C19">
        <w:lastRenderedPageBreak/>
        <w:t xml:space="preserve">Executive </w:t>
      </w:r>
      <w:r w:rsidR="00BD1752" w:rsidRPr="00B44C19">
        <w:t>Summary</w:t>
      </w:r>
    </w:p>
    <w:p w14:paraId="2483FFCD" w14:textId="2D44CC8A" w:rsidR="00DE2ADD" w:rsidRPr="00B44C19" w:rsidRDefault="001E49C6" w:rsidP="00EA42AA">
      <w:pPr>
        <w:pStyle w:val="Content"/>
        <w:spacing w:after="240"/>
        <w:rPr>
          <w:kern w:val="32"/>
        </w:rPr>
      </w:pPr>
      <w:r w:rsidRPr="00B44C19">
        <w:rPr>
          <w:kern w:val="32"/>
        </w:rPr>
        <w:t>The purpose of this document is to identify different standards</w:t>
      </w:r>
      <w:r w:rsidR="00EF35DA" w:rsidRPr="00B44C19">
        <w:rPr>
          <w:kern w:val="32"/>
        </w:rPr>
        <w:t xml:space="preserve">, </w:t>
      </w:r>
      <w:r w:rsidR="0056251A" w:rsidRPr="00B44C19">
        <w:rPr>
          <w:kern w:val="32"/>
        </w:rPr>
        <w:t>regulations</w:t>
      </w:r>
      <w:r w:rsidR="00B44C19">
        <w:rPr>
          <w:kern w:val="32"/>
        </w:rPr>
        <w:t>,</w:t>
      </w:r>
      <w:r w:rsidRPr="00B44C19">
        <w:rPr>
          <w:kern w:val="32"/>
        </w:rPr>
        <w:t xml:space="preserve"> </w:t>
      </w:r>
      <w:r w:rsidR="00EF35DA" w:rsidRPr="00B44C19">
        <w:rPr>
          <w:kern w:val="32"/>
        </w:rPr>
        <w:t xml:space="preserve">and frameworks </w:t>
      </w:r>
      <w:r w:rsidRPr="00B44C19">
        <w:rPr>
          <w:kern w:val="32"/>
        </w:rPr>
        <w:t>that require security awareness programs.</w:t>
      </w:r>
      <w:r w:rsidR="00F122A5" w:rsidRPr="00B44C19">
        <w:rPr>
          <w:kern w:val="32"/>
        </w:rPr>
        <w:t xml:space="preserve"> </w:t>
      </w:r>
      <w:r w:rsidR="00883661" w:rsidRPr="00B44C19">
        <w:rPr>
          <w:kern w:val="32"/>
        </w:rPr>
        <w:t>We do not consider this list comprehensive</w:t>
      </w:r>
      <w:r w:rsidR="00B44C19">
        <w:rPr>
          <w:kern w:val="32"/>
        </w:rPr>
        <w:t>,</w:t>
      </w:r>
      <w:r w:rsidR="00883661" w:rsidRPr="00B44C19">
        <w:rPr>
          <w:kern w:val="32"/>
        </w:rPr>
        <w:t xml:space="preserve"> as standards are constantly being updated </w:t>
      </w:r>
      <w:r w:rsidR="00B44C19">
        <w:rPr>
          <w:kern w:val="32"/>
        </w:rPr>
        <w:t xml:space="preserve">and new standards added </w:t>
      </w:r>
      <w:r w:rsidR="00883661" w:rsidRPr="00B44C19">
        <w:rPr>
          <w:kern w:val="32"/>
        </w:rPr>
        <w:t>around the world.</w:t>
      </w:r>
    </w:p>
    <w:p w14:paraId="114BA3AC" w14:textId="77777777" w:rsidR="00EA42AA" w:rsidRPr="00B44C19" w:rsidRDefault="00EA42AA" w:rsidP="00EA42AA">
      <w:pPr>
        <w:pStyle w:val="Content"/>
        <w:spacing w:after="240"/>
        <w:rPr>
          <w:kern w:val="32"/>
        </w:rPr>
      </w:pPr>
    </w:p>
    <w:p w14:paraId="68B7D74D" w14:textId="25FBE262" w:rsidR="00A57CE3" w:rsidRPr="00B44C19" w:rsidRDefault="00117796" w:rsidP="000E1A7C">
      <w:pPr>
        <w:pStyle w:val="Heading1"/>
        <w:numPr>
          <w:ilvl w:val="0"/>
          <w:numId w:val="0"/>
        </w:numPr>
      </w:pPr>
      <w:r w:rsidRPr="00B44C19">
        <w:t xml:space="preserve">ISO/IEC 27001 </w:t>
      </w:r>
      <w:r w:rsidR="00004D03" w:rsidRPr="00B44C19">
        <w:t xml:space="preserve">and </w:t>
      </w:r>
      <w:r w:rsidRPr="00B44C19">
        <w:t>27002</w:t>
      </w:r>
    </w:p>
    <w:p w14:paraId="2FA9E638" w14:textId="1BFDF632" w:rsidR="00117796" w:rsidRPr="00B44C19" w:rsidRDefault="00117796" w:rsidP="00241947">
      <w:pPr>
        <w:pStyle w:val="Content"/>
        <w:spacing w:after="240"/>
      </w:pPr>
      <w:r w:rsidRPr="00B44C19">
        <w:t>8.2.2</w:t>
      </w:r>
      <w:r w:rsidR="00004D03" w:rsidRPr="00B44C19">
        <w:t>:</w:t>
      </w:r>
      <w:r w:rsidRPr="00B44C19">
        <w:t xml:space="preserve"> </w:t>
      </w:r>
      <w:r w:rsidRPr="00B44C19">
        <w:rPr>
          <w:i/>
        </w:rPr>
        <w:t>All employees of the organization and, where relevant, contractors and third</w:t>
      </w:r>
      <w:r w:rsidR="00004D03" w:rsidRPr="00B44C19">
        <w:rPr>
          <w:i/>
        </w:rPr>
        <w:t>-</w:t>
      </w:r>
      <w:r w:rsidRPr="00B44C19">
        <w:rPr>
          <w:i/>
        </w:rPr>
        <w:t>party users should receive appropriate awareness training and regular updates in organizational policies and procedures, as relevant for their job function.</w:t>
      </w:r>
    </w:p>
    <w:p w14:paraId="76F91085" w14:textId="466E17C9" w:rsidR="00DE2ADD" w:rsidRPr="00B44C19" w:rsidRDefault="00117796" w:rsidP="00EA42AA">
      <w:pPr>
        <w:pStyle w:val="Content"/>
        <w:jc w:val="left"/>
      </w:pPr>
      <w:r w:rsidRPr="00B44C19">
        <w:t xml:space="preserve">Learn more at: </w:t>
      </w:r>
      <w:hyperlink r:id="rId11" w:history="1">
        <w:r w:rsidR="00AA4523" w:rsidRPr="00B44C19">
          <w:rPr>
            <w:rStyle w:val="Hyperlink"/>
          </w:rPr>
          <w:t>https://www.iso.org/isoiec-27001-information-security.html</w:t>
        </w:r>
      </w:hyperlink>
    </w:p>
    <w:p w14:paraId="3734BB08" w14:textId="2C5483FB" w:rsidR="00EA42AA" w:rsidRPr="00B44C19" w:rsidRDefault="00EA42AA" w:rsidP="00EA42AA">
      <w:pPr>
        <w:pStyle w:val="Content"/>
        <w:jc w:val="left"/>
      </w:pPr>
    </w:p>
    <w:p w14:paraId="41580E79" w14:textId="436791D7" w:rsidR="00EF35DA" w:rsidRPr="00B44C19" w:rsidRDefault="00EF35DA" w:rsidP="00EF35DA">
      <w:pPr>
        <w:pStyle w:val="Heading1"/>
        <w:numPr>
          <w:ilvl w:val="0"/>
          <w:numId w:val="0"/>
        </w:numPr>
      </w:pPr>
      <w:r w:rsidRPr="00B44C19">
        <w:t xml:space="preserve">Center for Internet Security </w:t>
      </w:r>
      <w:r w:rsidR="00C9348E" w:rsidRPr="00B44C19">
        <w:t>(CIS)</w:t>
      </w:r>
      <w:r w:rsidRPr="00B44C19">
        <w:t xml:space="preserve"> Controls</w:t>
      </w:r>
    </w:p>
    <w:p w14:paraId="15F8E23C" w14:textId="7D0E7EC1" w:rsidR="00EF35DA" w:rsidRPr="00B44C19" w:rsidRDefault="005E672C" w:rsidP="00EA42AA">
      <w:pPr>
        <w:pStyle w:val="Content"/>
        <w:jc w:val="left"/>
        <w:rPr>
          <w:i/>
          <w:iCs/>
        </w:rPr>
      </w:pPr>
      <w:r w:rsidRPr="00B87CBC">
        <w:rPr>
          <w:i/>
          <w:iCs/>
        </w:rPr>
        <w:t>14. Security Awareness and Skills Training</w:t>
      </w:r>
    </w:p>
    <w:p w14:paraId="4902AEE6" w14:textId="4C1C12AF" w:rsidR="00EF35DA" w:rsidRPr="00B44C19" w:rsidRDefault="005E672C" w:rsidP="00EF35DA">
      <w:pPr>
        <w:rPr>
          <w:rFonts w:ascii="Verdana" w:eastAsia="Times New Roman" w:hAnsi="Verdana" w:cs="Verdana"/>
          <w:i/>
          <w:iCs/>
          <w:color w:val="auto"/>
          <w:sz w:val="20"/>
          <w:szCs w:val="20"/>
        </w:rPr>
      </w:pPr>
      <w:r w:rsidRPr="00B44C19">
        <w:rPr>
          <w:rFonts w:ascii="Verdana" w:eastAsia="Times New Roman" w:hAnsi="Verdana" w:cs="Verdana"/>
          <w:i/>
          <w:iCs/>
          <w:color w:val="auto"/>
          <w:sz w:val="20"/>
          <w:szCs w:val="20"/>
        </w:rPr>
        <w:t>Establish and maintain a security awareness program to influence behavior among the workforce to be security conscious and properly skilled to reduce cybersecurity risks to the enterprise.</w:t>
      </w:r>
    </w:p>
    <w:p w14:paraId="6C0594B8" w14:textId="77777777" w:rsidR="005E672C" w:rsidRPr="00B44C19" w:rsidRDefault="005E672C" w:rsidP="00EF35DA">
      <w:pPr>
        <w:rPr>
          <w:rFonts w:ascii="Verdana" w:eastAsia="Times New Roman" w:hAnsi="Verdana" w:cs="Verdana"/>
          <w:i/>
          <w:iCs/>
          <w:color w:val="auto"/>
          <w:sz w:val="20"/>
          <w:szCs w:val="20"/>
        </w:rPr>
      </w:pPr>
    </w:p>
    <w:p w14:paraId="21FF9290" w14:textId="467C8DD9" w:rsidR="00EF35DA" w:rsidRPr="00B44C19" w:rsidRDefault="00EF35DA" w:rsidP="00EF35DA">
      <w:pPr>
        <w:rPr>
          <w:rFonts w:ascii="Verdana" w:eastAsia="Times New Roman" w:hAnsi="Verdana" w:cs="Verdana"/>
          <w:color w:val="auto"/>
          <w:sz w:val="20"/>
          <w:szCs w:val="20"/>
        </w:rPr>
      </w:pPr>
      <w:r w:rsidRPr="00B44C19">
        <w:rPr>
          <w:rFonts w:ascii="Verdana" w:eastAsia="Times New Roman" w:hAnsi="Verdana" w:cs="Verdana"/>
          <w:color w:val="auto"/>
          <w:sz w:val="20"/>
          <w:szCs w:val="20"/>
        </w:rPr>
        <w:t>Learn more at</w:t>
      </w:r>
      <w:r w:rsidR="00B44C19">
        <w:rPr>
          <w:rFonts w:ascii="Verdana" w:eastAsia="Times New Roman" w:hAnsi="Verdana" w:cs="Verdana"/>
          <w:color w:val="auto"/>
          <w:sz w:val="20"/>
          <w:szCs w:val="20"/>
        </w:rPr>
        <w:t>:</w:t>
      </w:r>
      <w:r w:rsidRPr="00B44C19">
        <w:rPr>
          <w:rFonts w:ascii="Verdana" w:eastAsia="Times New Roman" w:hAnsi="Verdana" w:cs="Verdana"/>
          <w:color w:val="auto"/>
          <w:sz w:val="20"/>
          <w:szCs w:val="20"/>
        </w:rPr>
        <w:t xml:space="preserve"> </w:t>
      </w:r>
      <w:hyperlink r:id="rId12" w:history="1">
        <w:r w:rsidRPr="00B44C19">
          <w:rPr>
            <w:rStyle w:val="Hyperlink"/>
            <w:rFonts w:ascii="Verdana" w:eastAsia="Times New Roman" w:hAnsi="Verdana" w:cs="Verdana"/>
            <w:sz w:val="20"/>
            <w:szCs w:val="20"/>
          </w:rPr>
          <w:t>https://www.cisecurity.org/controls/cis-controls-list</w:t>
        </w:r>
      </w:hyperlink>
    </w:p>
    <w:p w14:paraId="76C7C65A" w14:textId="77777777" w:rsidR="00EF35DA" w:rsidRPr="00B44C19" w:rsidRDefault="00EF35DA" w:rsidP="00EA42AA">
      <w:pPr>
        <w:pStyle w:val="Content"/>
        <w:jc w:val="left"/>
      </w:pPr>
    </w:p>
    <w:p w14:paraId="68F223CE" w14:textId="75809AD3" w:rsidR="00EF35DA" w:rsidRPr="00B44C19" w:rsidRDefault="00EF35DA" w:rsidP="000E1A7C">
      <w:pPr>
        <w:pStyle w:val="Heading1"/>
        <w:numPr>
          <w:ilvl w:val="0"/>
          <w:numId w:val="0"/>
        </w:numPr>
      </w:pPr>
      <w:r w:rsidRPr="00B44C19">
        <w:t>NIST Cybersecurity Framework (CSF)</w:t>
      </w:r>
    </w:p>
    <w:p w14:paraId="576B4A81" w14:textId="634AFFD9" w:rsidR="00EF35DA" w:rsidRPr="00B44C19" w:rsidRDefault="00EF35DA" w:rsidP="00EF35DA">
      <w:pPr>
        <w:pStyle w:val="Content"/>
        <w:rPr>
          <w:i/>
          <w:iCs/>
        </w:rPr>
      </w:pPr>
      <w:r w:rsidRPr="00B44C19">
        <w:rPr>
          <w:i/>
          <w:iCs/>
        </w:rPr>
        <w:t>PR.AT Awareness and Training</w:t>
      </w:r>
    </w:p>
    <w:p w14:paraId="4F4620EA" w14:textId="3B7A06D6" w:rsidR="00EF35DA" w:rsidRPr="00B44C19" w:rsidRDefault="00EF35DA" w:rsidP="00EF35DA">
      <w:pPr>
        <w:pStyle w:val="Content"/>
        <w:rPr>
          <w:i/>
          <w:iCs/>
        </w:rPr>
      </w:pPr>
      <w:r w:rsidRPr="00B44C19">
        <w:rPr>
          <w:i/>
          <w:iCs/>
        </w:rPr>
        <w:t>The organization’s personnel and partners are provided cybersecurity awareness education and are adequately trained to perform their information security</w:t>
      </w:r>
      <w:r w:rsidR="00B44C19">
        <w:rPr>
          <w:i/>
          <w:iCs/>
        </w:rPr>
        <w:t>–</w:t>
      </w:r>
      <w:r w:rsidRPr="00B44C19">
        <w:rPr>
          <w:i/>
          <w:iCs/>
        </w:rPr>
        <w:t>related duties and responsibilities consistent with related policies, procedures, and agreements.</w:t>
      </w:r>
    </w:p>
    <w:p w14:paraId="3E7A414E" w14:textId="39B9226C" w:rsidR="00EF35DA" w:rsidRPr="00B44C19" w:rsidRDefault="00EF35DA" w:rsidP="00EF35DA">
      <w:pPr>
        <w:pStyle w:val="Content"/>
        <w:rPr>
          <w:rStyle w:val="Hyperlink"/>
        </w:rPr>
      </w:pPr>
      <w:r w:rsidRPr="00B44C19">
        <w:t>Learn more at</w:t>
      </w:r>
      <w:r w:rsidR="00B44C19">
        <w:t>:</w:t>
      </w:r>
      <w:r w:rsidRPr="00B44C19">
        <w:t xml:space="preserve"> </w:t>
      </w:r>
      <w:hyperlink r:id="rId13" w:history="1">
        <w:r w:rsidR="00077A66" w:rsidRPr="00B44C19">
          <w:rPr>
            <w:rStyle w:val="Hyperlink"/>
          </w:rPr>
          <w:t>htt</w:t>
        </w:r>
        <w:r w:rsidR="00B3241A" w:rsidRPr="00B3241A">
          <w:rPr>
            <w:rStyle w:val="Hyperlink"/>
          </w:rPr>
          <w:t>https://www.nist.gov/cyberframework</w:t>
        </w:r>
      </w:hyperlink>
    </w:p>
    <w:p w14:paraId="71E31905" w14:textId="77777777" w:rsidR="00B44C19" w:rsidRPr="00B44C19" w:rsidRDefault="00B44C19" w:rsidP="00EF35DA">
      <w:pPr>
        <w:pStyle w:val="Content"/>
      </w:pPr>
    </w:p>
    <w:p w14:paraId="34C1116A" w14:textId="66E7C509" w:rsidR="00241947" w:rsidRPr="00B44C19" w:rsidRDefault="00241947" w:rsidP="000E1A7C">
      <w:pPr>
        <w:pStyle w:val="Heading1"/>
        <w:numPr>
          <w:ilvl w:val="0"/>
          <w:numId w:val="0"/>
        </w:numPr>
      </w:pPr>
      <w:r w:rsidRPr="00B44C19">
        <w:lastRenderedPageBreak/>
        <w:t>PCI DSS</w:t>
      </w:r>
    </w:p>
    <w:p w14:paraId="6DC5F170" w14:textId="20CE0E0E" w:rsidR="00241947" w:rsidRPr="00B44C19" w:rsidRDefault="00241947" w:rsidP="00241947">
      <w:pPr>
        <w:pStyle w:val="Content"/>
        <w:spacing w:after="120"/>
        <w:rPr>
          <w:i/>
        </w:rPr>
      </w:pPr>
      <w:r w:rsidRPr="00B87CBC">
        <w:rPr>
          <w:i/>
          <w:iCs/>
        </w:rPr>
        <w:t>12.6</w:t>
      </w:r>
      <w:r w:rsidR="00004D03" w:rsidRPr="00B87CBC">
        <w:rPr>
          <w:i/>
          <w:iCs/>
        </w:rPr>
        <w:t>:</w:t>
      </w:r>
      <w:r w:rsidRPr="00692C2D">
        <w:rPr>
          <w:i/>
          <w:iCs/>
        </w:rPr>
        <w:t xml:space="preserve"> </w:t>
      </w:r>
      <w:r w:rsidRPr="00B44C19">
        <w:rPr>
          <w:i/>
        </w:rPr>
        <w:t>Make all employees aware of the importance of cardholder information security.</w:t>
      </w:r>
    </w:p>
    <w:p w14:paraId="5DCC3F09" w14:textId="586C8144" w:rsidR="00241947" w:rsidRPr="00B44C19" w:rsidRDefault="00241947" w:rsidP="00241947">
      <w:pPr>
        <w:pStyle w:val="Content"/>
        <w:numPr>
          <w:ilvl w:val="0"/>
          <w:numId w:val="27"/>
        </w:numPr>
        <w:spacing w:after="120"/>
        <w:ind w:left="504"/>
        <w:rPr>
          <w:i/>
        </w:rPr>
      </w:pPr>
      <w:r w:rsidRPr="00B44C19">
        <w:rPr>
          <w:i/>
        </w:rPr>
        <w:t>Educate employees (for example, through posters, letters, memos, meetings</w:t>
      </w:r>
      <w:r w:rsidR="00004D03" w:rsidRPr="00B44C19">
        <w:rPr>
          <w:i/>
        </w:rPr>
        <w:t>,</w:t>
      </w:r>
      <w:r w:rsidRPr="00B44C19">
        <w:rPr>
          <w:i/>
        </w:rPr>
        <w:t xml:space="preserve"> and promotions).</w:t>
      </w:r>
    </w:p>
    <w:p w14:paraId="7F9B2517" w14:textId="01CFE982" w:rsidR="00241947" w:rsidRPr="00B44C19" w:rsidRDefault="00241947" w:rsidP="00241947">
      <w:pPr>
        <w:pStyle w:val="Content"/>
        <w:numPr>
          <w:ilvl w:val="0"/>
          <w:numId w:val="27"/>
        </w:numPr>
        <w:spacing w:before="120" w:after="240"/>
        <w:ind w:left="504"/>
        <w:rPr>
          <w:i/>
        </w:rPr>
      </w:pPr>
      <w:r w:rsidRPr="00B44C19">
        <w:rPr>
          <w:i/>
        </w:rPr>
        <w:t>Require employees to acknowledge in writing that they have read and underst</w:t>
      </w:r>
      <w:r w:rsidR="00004D03" w:rsidRPr="00B44C19">
        <w:rPr>
          <w:i/>
        </w:rPr>
        <w:t>an</w:t>
      </w:r>
      <w:r w:rsidRPr="00B44C19">
        <w:rPr>
          <w:i/>
        </w:rPr>
        <w:t>d the company’s security policy and procedures.</w:t>
      </w:r>
    </w:p>
    <w:p w14:paraId="723496E5" w14:textId="0D07D031" w:rsidR="00757E68" w:rsidRPr="00B44C19" w:rsidRDefault="00241947" w:rsidP="00241947">
      <w:pPr>
        <w:pStyle w:val="Content"/>
        <w:spacing w:after="120"/>
        <w:jc w:val="left"/>
      </w:pPr>
      <w:r w:rsidRPr="00B44C19">
        <w:t>Download the</w:t>
      </w:r>
      <w:r w:rsidR="00746C67" w:rsidRPr="00B44C19">
        <w:t xml:space="preserve"> PCI DSS</w:t>
      </w:r>
      <w:r w:rsidRPr="00B44C19">
        <w:t xml:space="preserve"> standard at: </w:t>
      </w:r>
      <w:hyperlink r:id="rId14" w:history="1">
        <w:r w:rsidR="00757E68" w:rsidRPr="00B44C19">
          <w:rPr>
            <w:rStyle w:val="Hyperlink"/>
          </w:rPr>
          <w:t>https://www.pcisecuritystandards.org/document_library</w:t>
        </w:r>
      </w:hyperlink>
    </w:p>
    <w:p w14:paraId="01C544C1" w14:textId="77777777" w:rsidR="00746C67" w:rsidRPr="00B44C19" w:rsidRDefault="00746C67" w:rsidP="00746C67">
      <w:pPr>
        <w:pStyle w:val="Content"/>
        <w:spacing w:after="0"/>
      </w:pPr>
    </w:p>
    <w:p w14:paraId="388283A4" w14:textId="66E6E0D5" w:rsidR="00117796" w:rsidRPr="00B44C19" w:rsidRDefault="00746C67" w:rsidP="00746C67">
      <w:pPr>
        <w:pStyle w:val="Content"/>
        <w:spacing w:after="0"/>
      </w:pPr>
      <w:r w:rsidRPr="00B44C19">
        <w:t>Download the PCI DSS Security Awareness Program Guidelines at:</w:t>
      </w:r>
    </w:p>
    <w:p w14:paraId="6B744B59" w14:textId="7CF7EEA1" w:rsidR="00746C67" w:rsidRPr="00B44C19" w:rsidRDefault="00000000" w:rsidP="00EA42AA">
      <w:pPr>
        <w:pStyle w:val="Content"/>
        <w:rPr>
          <w:rFonts w:ascii="Noteworthy Light" w:hAnsi="Noteworthy Light" w:cs="Noteworthy Light"/>
        </w:rPr>
      </w:pPr>
      <w:hyperlink r:id="rId15" w:history="1">
        <w:r w:rsidR="00746C67" w:rsidRPr="00B44C19">
          <w:rPr>
            <w:rStyle w:val="Hyperlink"/>
          </w:rPr>
          <w:t>https://www.pcisecuritystandards.org/documents/PCI_DSS_V1.0_Best_Practices_for_Implementing_Security_Awareness_Program.pdf</w:t>
        </w:r>
      </w:hyperlink>
      <w:r w:rsidR="00746C67" w:rsidRPr="00B44C19">
        <w:rPr>
          <w:rFonts w:ascii="Noteworthy Light" w:hAnsi="Noteworthy Light" w:cs="Noteworthy Light"/>
        </w:rPr>
        <w:t>﻿</w:t>
      </w:r>
    </w:p>
    <w:p w14:paraId="61B5A1CE" w14:textId="77777777" w:rsidR="00B44C19" w:rsidRPr="00B44C19" w:rsidRDefault="00B44C19" w:rsidP="00B44C19">
      <w:pPr>
        <w:pStyle w:val="Content"/>
        <w:spacing w:after="0"/>
      </w:pPr>
    </w:p>
    <w:p w14:paraId="4603E781" w14:textId="77777777" w:rsidR="00EF35DA" w:rsidRPr="00B44C19" w:rsidRDefault="00EF35DA" w:rsidP="00EF35DA">
      <w:pPr>
        <w:pStyle w:val="Heading1"/>
        <w:numPr>
          <w:ilvl w:val="0"/>
          <w:numId w:val="0"/>
        </w:numPr>
      </w:pPr>
      <w:r w:rsidRPr="00B44C19">
        <w:t>General Data Protection Regulation (GDPR)</w:t>
      </w:r>
    </w:p>
    <w:p w14:paraId="1ED508D9" w14:textId="0A92C90F" w:rsidR="00EF35DA" w:rsidRPr="00B44C19" w:rsidRDefault="00EF35DA" w:rsidP="00EF35DA">
      <w:pPr>
        <w:pStyle w:val="Content"/>
        <w:rPr>
          <w:bCs/>
        </w:rPr>
      </w:pPr>
      <w:r w:rsidRPr="00B44C19">
        <w:rPr>
          <w:bCs/>
        </w:rPr>
        <w:t xml:space="preserve">The General Data Protection Regulation (GDPR) is </w:t>
      </w:r>
      <w:r w:rsidR="00E64A7E" w:rsidRPr="00B44C19">
        <w:rPr>
          <w:bCs/>
        </w:rPr>
        <w:t>currently the most comprehensive</w:t>
      </w:r>
      <w:r w:rsidRPr="00B44C19">
        <w:rPr>
          <w:bCs/>
        </w:rPr>
        <w:t xml:space="preserve"> data security legislation in the European Union. The European Union has directed all European member countries to develop and define laws regarding the protecting of personal privacy of the citizens of their respective country. This regulation has specific requirements for data breach notification (within 72 hours) and fines up to 4% of the organization’s global revenues. Although each country’s implementation of this regulation is different and unique, the regulation does require a security awareness program</w:t>
      </w:r>
      <w:r w:rsidR="00692C2D">
        <w:rPr>
          <w:bCs/>
        </w:rPr>
        <w:t xml:space="preserve"> u</w:t>
      </w:r>
      <w:r w:rsidRPr="00B44C19">
        <w:rPr>
          <w:bCs/>
        </w:rPr>
        <w:t>nder Article 39</w:t>
      </w:r>
      <w:r w:rsidR="00692C2D">
        <w:rPr>
          <w:bCs/>
        </w:rPr>
        <w:t>, which states</w:t>
      </w:r>
      <w:r w:rsidRPr="00B44C19">
        <w:rPr>
          <w:bCs/>
        </w:rPr>
        <w:t>:</w:t>
      </w:r>
    </w:p>
    <w:p w14:paraId="6DC11D29" w14:textId="4C59D7CF" w:rsidR="00EF35DA" w:rsidRPr="00B44C19" w:rsidRDefault="00EF35DA" w:rsidP="00EF35DA">
      <w:pPr>
        <w:pStyle w:val="Content"/>
        <w:rPr>
          <w:bCs/>
          <w:i/>
        </w:rPr>
      </w:pPr>
      <w:r w:rsidRPr="00B44C19">
        <w:rPr>
          <w:bCs/>
          <w:i/>
        </w:rPr>
        <w:t xml:space="preserve">The data protection officer shall have at least the following tasks: </w:t>
      </w:r>
      <w:r w:rsidR="00692C2D">
        <w:rPr>
          <w:bCs/>
          <w:i/>
        </w:rPr>
        <w:t>[</w:t>
      </w:r>
      <w:r w:rsidRPr="00B44C19">
        <w:rPr>
          <w:bCs/>
          <w:i/>
        </w:rPr>
        <w:t>...</w:t>
      </w:r>
      <w:r w:rsidR="00692C2D">
        <w:rPr>
          <w:bCs/>
          <w:i/>
        </w:rPr>
        <w:t>]</w:t>
      </w:r>
      <w:r w:rsidRPr="00B44C19">
        <w:rPr>
          <w:bCs/>
          <w:i/>
        </w:rPr>
        <w:t xml:space="preserve"> (b) to monitor compliance with this Regulation, with other Union or Member State data protection provisions and with the policies of the controller or processor in relation to the protection of personal data, including the assignment of responsibilities, awareness-raising and training of staff involved in processing operations, and the related audits</w:t>
      </w:r>
      <w:r w:rsidR="00692C2D">
        <w:rPr>
          <w:bCs/>
          <w:i/>
        </w:rPr>
        <w:t>.</w:t>
      </w:r>
      <w:r w:rsidRPr="00B44C19">
        <w:rPr>
          <w:bCs/>
          <w:i/>
        </w:rPr>
        <w:t>...</w:t>
      </w:r>
    </w:p>
    <w:p w14:paraId="24888DCE" w14:textId="54EF6451" w:rsidR="00EF35DA" w:rsidRPr="00B44C19" w:rsidRDefault="00EF35DA" w:rsidP="00EF35DA">
      <w:pPr>
        <w:pStyle w:val="Content"/>
        <w:spacing w:after="600"/>
      </w:pPr>
      <w:r w:rsidRPr="00B44C19">
        <w:rPr>
          <w:bCs/>
        </w:rPr>
        <w:t xml:space="preserve">Learn more at: </w:t>
      </w:r>
      <w:hyperlink r:id="rId16" w:history="1">
        <w:r w:rsidR="00E64A7E" w:rsidRPr="00B44C19">
          <w:rPr>
            <w:rStyle w:val="Hyperlink"/>
          </w:rPr>
          <w:t>https://gdpr.eu/</w:t>
        </w:r>
      </w:hyperlink>
    </w:p>
    <w:p w14:paraId="26C86CA1" w14:textId="77777777" w:rsidR="00EF35DA" w:rsidRPr="00B44C19" w:rsidRDefault="00EF35DA">
      <w:pPr>
        <w:spacing w:line="240" w:lineRule="auto"/>
        <w:rPr>
          <w:rFonts w:ascii="Arial" w:hAnsi="Arial" w:cs="Arial"/>
          <w:b/>
          <w:kern w:val="32"/>
          <w:sz w:val="32"/>
        </w:rPr>
      </w:pPr>
      <w:r w:rsidRPr="00B44C19">
        <w:br w:type="page"/>
      </w:r>
    </w:p>
    <w:p w14:paraId="6CD9C198" w14:textId="2DB903DB" w:rsidR="000D10B1" w:rsidRPr="00B44C19" w:rsidRDefault="005E672C" w:rsidP="000E1A7C">
      <w:pPr>
        <w:pStyle w:val="Heading1"/>
        <w:numPr>
          <w:ilvl w:val="0"/>
          <w:numId w:val="0"/>
        </w:numPr>
      </w:pPr>
      <w:r w:rsidRPr="00B44C19">
        <w:lastRenderedPageBreak/>
        <w:t>NIST SP</w:t>
      </w:r>
      <w:r w:rsidR="00266DE4">
        <w:t xml:space="preserve"> </w:t>
      </w:r>
      <w:r w:rsidRPr="00B44C19">
        <w:t>800-53</w:t>
      </w:r>
      <w:r w:rsidR="00266DE4">
        <w:t xml:space="preserve"> Rev. </w:t>
      </w:r>
      <w:r w:rsidR="00266DE4" w:rsidRPr="00B44C19">
        <w:t>5</w:t>
      </w:r>
    </w:p>
    <w:p w14:paraId="64E7496B" w14:textId="7A287066" w:rsidR="00DE2ADD" w:rsidRPr="00B44C19" w:rsidRDefault="005E672C" w:rsidP="00DE2ADD">
      <w:pPr>
        <w:pStyle w:val="Content"/>
        <w:spacing w:after="240"/>
        <w:rPr>
          <w:i/>
        </w:rPr>
      </w:pPr>
      <w:r w:rsidRPr="00B44C19">
        <w:t>AT-1 thru AT-6</w:t>
      </w:r>
      <w:r w:rsidR="00692C2D">
        <w:t>:</w:t>
      </w:r>
      <w:r w:rsidRPr="00B44C19">
        <w:t xml:space="preserve"> Awareness and Training</w:t>
      </w:r>
    </w:p>
    <w:p w14:paraId="4E9A3791" w14:textId="3B300D06" w:rsidR="0056251A" w:rsidRPr="00B44C19" w:rsidRDefault="000D10B1" w:rsidP="00DE2ADD">
      <w:pPr>
        <w:pStyle w:val="Content"/>
        <w:spacing w:after="240"/>
      </w:pPr>
      <w:r w:rsidRPr="00B44C19">
        <w:t xml:space="preserve">Learn more at: </w:t>
      </w:r>
      <w:hyperlink r:id="rId17" w:history="1">
        <w:r w:rsidR="005E672C" w:rsidRPr="00B44C19">
          <w:rPr>
            <w:rStyle w:val="Hyperlink"/>
          </w:rPr>
          <w:t>https://csrc.nist.gov/publications/detail/sp/800-53/rev-5/final</w:t>
        </w:r>
      </w:hyperlink>
    </w:p>
    <w:p w14:paraId="13801E78" w14:textId="648501A4" w:rsidR="007360FA" w:rsidRPr="00B44C19" w:rsidRDefault="007360FA">
      <w:pPr>
        <w:spacing w:line="240" w:lineRule="auto"/>
        <w:rPr>
          <w:rFonts w:ascii="Arial" w:hAnsi="Arial" w:cs="Arial"/>
          <w:b/>
          <w:kern w:val="32"/>
          <w:sz w:val="32"/>
        </w:rPr>
      </w:pPr>
    </w:p>
    <w:p w14:paraId="5AFC8AB5" w14:textId="54B222F0" w:rsidR="001E49C6" w:rsidRPr="00B44C19" w:rsidRDefault="001E49C6" w:rsidP="000E1A7C">
      <w:pPr>
        <w:pStyle w:val="Heading1"/>
        <w:numPr>
          <w:ilvl w:val="0"/>
          <w:numId w:val="0"/>
        </w:numPr>
      </w:pPr>
      <w:r w:rsidRPr="00B44C19">
        <w:t>Gramm-Leach</w:t>
      </w:r>
      <w:r w:rsidR="00E257A8" w:rsidRPr="00B44C19">
        <w:t>-</w:t>
      </w:r>
      <w:r w:rsidRPr="00B44C19">
        <w:t>Bliley Act</w:t>
      </w:r>
    </w:p>
    <w:p w14:paraId="3327BAD4" w14:textId="558F9DB1" w:rsidR="00DE2ADD" w:rsidRPr="00B87CBC" w:rsidRDefault="00132602" w:rsidP="00132602">
      <w:pPr>
        <w:pStyle w:val="Content"/>
        <w:spacing w:after="120"/>
        <w:rPr>
          <w:iCs/>
        </w:rPr>
      </w:pPr>
      <w:r w:rsidRPr="00B87CBC">
        <w:rPr>
          <w:iCs/>
        </w:rPr>
        <w:t xml:space="preserve">The Safeguards Rule requires companies to assess and address the risks to customer information in all areas of their operation, including three areas that are particularly important to information security: </w:t>
      </w:r>
      <w:r w:rsidR="00B375C6" w:rsidRPr="00655A0C">
        <w:rPr>
          <w:iCs/>
        </w:rPr>
        <w:t>employee management and training</w:t>
      </w:r>
      <w:r w:rsidR="00B375C6">
        <w:rPr>
          <w:iCs/>
        </w:rPr>
        <w:t>,</w:t>
      </w:r>
      <w:r w:rsidR="00B375C6" w:rsidRPr="00655A0C">
        <w:rPr>
          <w:iCs/>
        </w:rPr>
        <w:t xml:space="preserve"> information systems</w:t>
      </w:r>
      <w:r w:rsidR="00B375C6">
        <w:rPr>
          <w:iCs/>
        </w:rPr>
        <w:t>,</w:t>
      </w:r>
      <w:r w:rsidR="00B375C6" w:rsidRPr="00655A0C">
        <w:rPr>
          <w:iCs/>
        </w:rPr>
        <w:t xml:space="preserve"> and detecting and managing system failures</w:t>
      </w:r>
      <w:r w:rsidRPr="00B87CBC">
        <w:rPr>
          <w:iCs/>
        </w:rPr>
        <w:t xml:space="preserve">. Depending on the nature of their business operations, firms should consider implementing </w:t>
      </w:r>
      <w:r w:rsidR="00B375C6" w:rsidRPr="00655A0C">
        <w:rPr>
          <w:iCs/>
        </w:rPr>
        <w:t>employee management and training</w:t>
      </w:r>
      <w:r w:rsidRPr="00B87CBC">
        <w:rPr>
          <w:iCs/>
        </w:rPr>
        <w:t>. The success of your information security plan depends largely on the employees who implement it.</w:t>
      </w:r>
    </w:p>
    <w:p w14:paraId="6ADA96C9" w14:textId="01A16852" w:rsidR="00DE2ADD" w:rsidRPr="00B44C19" w:rsidRDefault="00DE2ADD" w:rsidP="000E1A7C">
      <w:pPr>
        <w:pStyle w:val="Content"/>
        <w:spacing w:after="120"/>
        <w:jc w:val="left"/>
      </w:pPr>
      <w:r w:rsidRPr="00B44C19">
        <w:t xml:space="preserve">GLBA </w:t>
      </w:r>
      <w:r w:rsidR="00266DE4">
        <w:t>o</w:t>
      </w:r>
      <w:r w:rsidRPr="00B44C19">
        <w:t xml:space="preserve">verview: </w:t>
      </w:r>
      <w:hyperlink r:id="rId18" w:history="1">
        <w:r w:rsidRPr="00B44C19">
          <w:rPr>
            <w:rStyle w:val="Hyperlink"/>
          </w:rPr>
          <w:t>https://www.ftc.gov/tips-advice/business-center/privacy-and-security/gramm-leach-bliley-act</w:t>
        </w:r>
      </w:hyperlink>
    </w:p>
    <w:p w14:paraId="67FA8537" w14:textId="7B17D3C7" w:rsidR="0047197C" w:rsidRPr="00B44C19" w:rsidRDefault="00DE2ADD" w:rsidP="000E1A7C">
      <w:pPr>
        <w:pStyle w:val="Content"/>
        <w:spacing w:after="120"/>
        <w:jc w:val="left"/>
      </w:pPr>
      <w:r w:rsidRPr="00B44C19">
        <w:t xml:space="preserve">Safeguards Rule: </w:t>
      </w:r>
      <w:hyperlink r:id="rId19" w:history="1">
        <w:r w:rsidRPr="00B44C19">
          <w:rPr>
            <w:rStyle w:val="Hyperlink"/>
          </w:rPr>
          <w:t>https://www.ftc.gov/tips-advice/business-center/guidance/financial-institutions-customer-information-complying</w:t>
        </w:r>
      </w:hyperlink>
    </w:p>
    <w:p w14:paraId="7B020561" w14:textId="77777777" w:rsidR="00DE2ADD" w:rsidRPr="00B44C19" w:rsidRDefault="00DE2ADD" w:rsidP="00DE2ADD">
      <w:pPr>
        <w:pStyle w:val="Content"/>
        <w:spacing w:after="120"/>
        <w:jc w:val="left"/>
      </w:pPr>
    </w:p>
    <w:p w14:paraId="3275E153" w14:textId="77777777" w:rsidR="00EF35DA" w:rsidRPr="00B44C19" w:rsidRDefault="00EF35DA" w:rsidP="00EF35DA">
      <w:pPr>
        <w:pStyle w:val="Heading1"/>
        <w:numPr>
          <w:ilvl w:val="0"/>
          <w:numId w:val="0"/>
        </w:numPr>
      </w:pPr>
      <w:r w:rsidRPr="00B44C19">
        <w:t>NERC CIP</w:t>
      </w:r>
    </w:p>
    <w:p w14:paraId="25DBB47A" w14:textId="282BBD2D" w:rsidR="00AE7D29" w:rsidRDefault="00EF35DA" w:rsidP="00EF35DA">
      <w:pPr>
        <w:pStyle w:val="Content"/>
      </w:pPr>
      <w:r w:rsidRPr="00B44C19">
        <w:t>The North American Electric Reliability Corporation (NERC) Critical Infrastructure Protection Standard</w:t>
      </w:r>
      <w:r w:rsidR="00AE7D29" w:rsidRPr="00B44C19">
        <w:t>.</w:t>
      </w:r>
    </w:p>
    <w:p w14:paraId="6F51FDEC" w14:textId="268DB815" w:rsidR="00EF35DA" w:rsidRPr="00B44C19" w:rsidRDefault="00EF35DA" w:rsidP="00EF35DA">
      <w:pPr>
        <w:pStyle w:val="Content"/>
        <w:rPr>
          <w:i/>
        </w:rPr>
      </w:pPr>
      <w:r w:rsidRPr="00B44C19">
        <w:rPr>
          <w:i/>
        </w:rPr>
        <w:t>CIP-004-5.1 R1 – Each Responsible Entity shall implement one or more documented processes that collectively include security awareness that, at least once each calendar quarter, reinforces cyber security practices (which may include associated physical security practices) for the Responsible Entity</w:t>
      </w:r>
      <w:r w:rsidRPr="00B44C19">
        <w:rPr>
          <w:rFonts w:eastAsia="Helvetica" w:cs="Helvetica"/>
          <w:i/>
        </w:rPr>
        <w:t xml:space="preserve">’s personnel who have authorized electronic or authorized unescorted physical access to BES Cyber </w:t>
      </w:r>
      <w:r w:rsidRPr="00B44C19">
        <w:rPr>
          <w:i/>
        </w:rPr>
        <w:t>Systems.</w:t>
      </w:r>
    </w:p>
    <w:p w14:paraId="70CBE811" w14:textId="1F46E54A" w:rsidR="00EF35DA" w:rsidRPr="00B44C19" w:rsidRDefault="00EF35DA" w:rsidP="00B3241A">
      <w:pPr>
        <w:pStyle w:val="Content"/>
        <w:spacing w:before="360"/>
        <w:rPr>
          <w:rFonts w:ascii="Arial" w:hAnsi="Arial" w:cs="Arial"/>
          <w:b/>
          <w:kern w:val="32"/>
          <w:sz w:val="32"/>
        </w:rPr>
      </w:pPr>
      <w:r w:rsidRPr="00B44C19">
        <w:t xml:space="preserve">Learn more at: </w:t>
      </w:r>
      <w:r w:rsidR="00B3241A" w:rsidRPr="00B3241A">
        <w:t>https://www.nerc.com/pa/Stand/Pages/USRelStand.aspx</w:t>
      </w:r>
      <w:r w:rsidRPr="00B44C19">
        <w:br w:type="page"/>
      </w:r>
    </w:p>
    <w:p w14:paraId="592527EC" w14:textId="31052158" w:rsidR="00746C67" w:rsidRPr="00B44C19" w:rsidRDefault="00746C67" w:rsidP="000E1A7C">
      <w:pPr>
        <w:pStyle w:val="Heading1"/>
        <w:numPr>
          <w:ilvl w:val="0"/>
          <w:numId w:val="0"/>
        </w:numPr>
      </w:pPr>
      <w:r w:rsidRPr="00B44C19">
        <w:lastRenderedPageBreak/>
        <w:t xml:space="preserve">Health Insurance Portability </w:t>
      </w:r>
      <w:r w:rsidR="00EA42AA" w:rsidRPr="00B44C19">
        <w:t>and</w:t>
      </w:r>
      <w:r w:rsidR="00004D03" w:rsidRPr="00B44C19">
        <w:t xml:space="preserve"> </w:t>
      </w:r>
      <w:r w:rsidRPr="00B44C19">
        <w:t>Accountability Act (HIPAA)</w:t>
      </w:r>
    </w:p>
    <w:p w14:paraId="01797A7B" w14:textId="2881DCE0" w:rsidR="00746C67" w:rsidRPr="00B44C19" w:rsidRDefault="00746C67" w:rsidP="00746C67">
      <w:pPr>
        <w:pStyle w:val="Content"/>
        <w:spacing w:after="240"/>
        <w:rPr>
          <w:i/>
        </w:rPr>
      </w:pPr>
      <w:r w:rsidRPr="00B87CBC">
        <w:rPr>
          <w:i/>
          <w:iCs/>
        </w:rPr>
        <w:t>§164.</w:t>
      </w:r>
      <w:proofErr w:type="gramStart"/>
      <w:r w:rsidRPr="00B87CBC">
        <w:rPr>
          <w:i/>
          <w:iCs/>
        </w:rPr>
        <w:t>308.(</w:t>
      </w:r>
      <w:proofErr w:type="gramEnd"/>
      <w:r w:rsidRPr="00B87CBC">
        <w:rPr>
          <w:i/>
          <w:iCs/>
        </w:rPr>
        <w:t>a).(5).(i)</w:t>
      </w:r>
      <w:r w:rsidR="00004D03" w:rsidRPr="00B87CBC">
        <w:rPr>
          <w:i/>
          <w:iCs/>
        </w:rPr>
        <w:t>:</w:t>
      </w:r>
      <w:r w:rsidRPr="00B87CBC">
        <w:rPr>
          <w:i/>
          <w:iCs/>
        </w:rPr>
        <w:t xml:space="preserve"> </w:t>
      </w:r>
      <w:r w:rsidRPr="00B44C19">
        <w:rPr>
          <w:i/>
        </w:rPr>
        <w:t>Implement a security awareness and training program for all members of its workforce (including management).</w:t>
      </w:r>
    </w:p>
    <w:p w14:paraId="3C63E915" w14:textId="5A9F839B" w:rsidR="00EA42AA" w:rsidRPr="00B44C19" w:rsidRDefault="00746C67" w:rsidP="00EF35DA">
      <w:pPr>
        <w:pStyle w:val="Content"/>
        <w:spacing w:after="720"/>
      </w:pPr>
      <w:r w:rsidRPr="00B44C19">
        <w:t xml:space="preserve">Learn more at: </w:t>
      </w:r>
      <w:hyperlink r:id="rId20" w:history="1">
        <w:r w:rsidR="00DE2ADD" w:rsidRPr="00B44C19">
          <w:rPr>
            <w:rStyle w:val="Hyperlink"/>
          </w:rPr>
          <w:t>http://www.hhs.gov/hipaa/for-professionals/index.html</w:t>
        </w:r>
      </w:hyperlink>
    </w:p>
    <w:p w14:paraId="682DBDEC" w14:textId="1026D271" w:rsidR="00746C67" w:rsidRPr="00B44C19" w:rsidRDefault="00746C67" w:rsidP="000E1A7C">
      <w:pPr>
        <w:pStyle w:val="Heading1"/>
        <w:numPr>
          <w:ilvl w:val="0"/>
          <w:numId w:val="0"/>
        </w:numPr>
      </w:pPr>
      <w:r w:rsidRPr="00B44C19">
        <w:t>Red Flags Rule</w:t>
      </w:r>
    </w:p>
    <w:p w14:paraId="3DDBED50" w14:textId="524277C9" w:rsidR="00746C67" w:rsidRPr="00B44C19" w:rsidRDefault="00746C67" w:rsidP="00746C67">
      <w:pPr>
        <w:pStyle w:val="Content"/>
        <w:rPr>
          <w:i/>
          <w:shd w:val="clear" w:color="auto" w:fill="FFFFFF"/>
        </w:rPr>
      </w:pPr>
      <w:r w:rsidRPr="00B44C19">
        <w:rPr>
          <w:i/>
          <w:shd w:val="clear" w:color="auto" w:fill="FFFFFF"/>
        </w:rPr>
        <w:t>§16 CFR 681.1(d)-(e)</w:t>
      </w:r>
      <w:r w:rsidR="00004D03" w:rsidRPr="00B44C19">
        <w:rPr>
          <w:i/>
          <w:shd w:val="clear" w:color="auto" w:fill="FFFFFF"/>
        </w:rPr>
        <w:t>:</w:t>
      </w:r>
      <w:r w:rsidRPr="00B44C19">
        <w:rPr>
          <w:i/>
          <w:shd w:val="clear" w:color="auto" w:fill="FFFFFF"/>
        </w:rPr>
        <w:t xml:space="preserve"> Employees should be trained about the various red flags to look for and any other relevant aspect of the organization’s Identity Theft Prevention Program.</w:t>
      </w:r>
    </w:p>
    <w:p w14:paraId="7B136A3D" w14:textId="2AD333EC" w:rsidR="00DE2ADD" w:rsidRPr="00B44C19" w:rsidRDefault="00746C67" w:rsidP="00746C67">
      <w:pPr>
        <w:pStyle w:val="Content"/>
      </w:pPr>
      <w:r w:rsidRPr="00B44C19">
        <w:rPr>
          <w:shd w:val="clear" w:color="auto" w:fill="FFFFFF"/>
        </w:rPr>
        <w:t xml:space="preserve">Learn more at: </w:t>
      </w:r>
      <w:hyperlink r:id="rId21" w:history="1">
        <w:r w:rsidR="00DE2ADD" w:rsidRPr="00B44C19">
          <w:rPr>
            <w:rStyle w:val="Hyperlink"/>
          </w:rPr>
          <w:t>https://www.ftc.gov/tips-advice/business-center/privacy-and-security/red-flags-rule</w:t>
        </w:r>
      </w:hyperlink>
    </w:p>
    <w:p w14:paraId="76D6486E" w14:textId="6D8C06F0" w:rsidR="00DE2ADD" w:rsidRPr="00B44C19" w:rsidRDefault="00DE2ADD">
      <w:pPr>
        <w:spacing w:line="240" w:lineRule="auto"/>
        <w:rPr>
          <w:rFonts w:ascii="Arial" w:hAnsi="Arial" w:cs="Arial"/>
          <w:b/>
          <w:kern w:val="32"/>
          <w:sz w:val="32"/>
        </w:rPr>
      </w:pPr>
    </w:p>
    <w:p w14:paraId="4E06F30D" w14:textId="2CDD0293" w:rsidR="00241947" w:rsidRPr="00B44C19" w:rsidRDefault="00AE7D29" w:rsidP="000E1A7C">
      <w:pPr>
        <w:pStyle w:val="Heading1"/>
        <w:numPr>
          <w:ilvl w:val="0"/>
          <w:numId w:val="0"/>
        </w:numPr>
      </w:pPr>
      <w:r w:rsidRPr="00B44C19">
        <w:t>C</w:t>
      </w:r>
      <w:r>
        <w:t>OBI</w:t>
      </w:r>
      <w:r w:rsidRPr="00B44C19">
        <w:t>T</w:t>
      </w:r>
    </w:p>
    <w:p w14:paraId="7BA70998" w14:textId="3E2AF795" w:rsidR="00241947" w:rsidRPr="00B44C19" w:rsidRDefault="00241947" w:rsidP="00241947">
      <w:pPr>
        <w:pStyle w:val="Content"/>
        <w:rPr>
          <w:i/>
        </w:rPr>
      </w:pPr>
      <w:r w:rsidRPr="00B87CBC">
        <w:rPr>
          <w:i/>
          <w:iCs/>
        </w:rPr>
        <w:t>PO7.4 Personnel Training</w:t>
      </w:r>
      <w:r w:rsidR="00004D03" w:rsidRPr="00B87CBC">
        <w:rPr>
          <w:i/>
          <w:iCs/>
        </w:rPr>
        <w:t>:</w:t>
      </w:r>
      <w:r w:rsidRPr="00B87CBC">
        <w:rPr>
          <w:i/>
          <w:iCs/>
        </w:rPr>
        <w:t xml:space="preserve"> </w:t>
      </w:r>
      <w:r w:rsidRPr="00B44C19">
        <w:rPr>
          <w:i/>
        </w:rPr>
        <w:t>Provide IT employees with appropriate orientation when hired and ongoing training to maintain their knowledge, skills, abilities, internal controls</w:t>
      </w:r>
      <w:r w:rsidR="00004D03" w:rsidRPr="00B44C19">
        <w:rPr>
          <w:i/>
        </w:rPr>
        <w:t>,</w:t>
      </w:r>
      <w:r w:rsidRPr="00B44C19">
        <w:rPr>
          <w:i/>
        </w:rPr>
        <w:t xml:space="preserve"> and security awareness at the level required to achieve organizational goals.</w:t>
      </w:r>
    </w:p>
    <w:p w14:paraId="5227FE2F" w14:textId="35B89C2E" w:rsidR="00241947" w:rsidRPr="00B44C19" w:rsidRDefault="00241947" w:rsidP="00241947">
      <w:pPr>
        <w:pStyle w:val="Content"/>
      </w:pPr>
      <w:r w:rsidRPr="00B87CBC">
        <w:rPr>
          <w:i/>
          <w:iCs/>
        </w:rPr>
        <w:t>§DS7</w:t>
      </w:r>
      <w:r w:rsidR="00004D03" w:rsidRPr="00B87CBC">
        <w:rPr>
          <w:i/>
          <w:iCs/>
        </w:rPr>
        <w:t>:</w:t>
      </w:r>
      <w:r w:rsidRPr="00B87CBC">
        <w:rPr>
          <w:i/>
          <w:iCs/>
        </w:rPr>
        <w:t xml:space="preserve"> </w:t>
      </w:r>
      <w:r w:rsidRPr="00B44C19">
        <w:rPr>
          <w:i/>
        </w:rPr>
        <w:t xml:space="preserve">Management of the process </w:t>
      </w:r>
      <w:r w:rsidR="003C3B38" w:rsidRPr="00B44C19">
        <w:rPr>
          <w:i/>
        </w:rPr>
        <w:t xml:space="preserve">to </w:t>
      </w:r>
      <w:r w:rsidR="00004D03" w:rsidRPr="00B44C19">
        <w:rPr>
          <w:i/>
        </w:rPr>
        <w:t>e</w:t>
      </w:r>
      <w:r w:rsidRPr="00B44C19">
        <w:rPr>
          <w:i/>
        </w:rPr>
        <w:t xml:space="preserve">ducate and train users that satisfies the business requirement for IT of effectively and efficiently using applications and technology solutions and ensuring user compliance with policies and procedures is: […] 3 Defined when </w:t>
      </w:r>
      <w:r w:rsidR="00240922" w:rsidRPr="00B44C19">
        <w:rPr>
          <w:i/>
        </w:rPr>
        <w:t>a</w:t>
      </w:r>
      <w:r w:rsidRPr="00B44C19">
        <w:rPr>
          <w:i/>
        </w:rPr>
        <w:t xml:space="preserve"> training and education program is instituted and communicated, and employees and managers identify and document training needs. Training and education processes are standardized and documented. Budgets, resources, facilities</w:t>
      </w:r>
      <w:r w:rsidR="00004D03" w:rsidRPr="00B44C19">
        <w:rPr>
          <w:i/>
        </w:rPr>
        <w:t>,</w:t>
      </w:r>
      <w:r w:rsidRPr="00B44C19">
        <w:rPr>
          <w:i/>
        </w:rPr>
        <w:t xml:space="preserve"> and trainers are established to support the training and education program. Formal classes are given to employees on ethical conduct and system security awareness and practices. Most training and education processes are monitored, but not all deviations are likely to be detected by management. Analysis of training and education problems is </w:t>
      </w:r>
      <w:r w:rsidR="00F122A5" w:rsidRPr="00B44C19">
        <w:rPr>
          <w:i/>
        </w:rPr>
        <w:t xml:space="preserve">applied </w:t>
      </w:r>
      <w:r w:rsidRPr="00B44C19">
        <w:rPr>
          <w:i/>
        </w:rPr>
        <w:t>only occasionally</w:t>
      </w:r>
      <w:r w:rsidR="00795E37" w:rsidRPr="00B44C19">
        <w:rPr>
          <w:i/>
        </w:rPr>
        <w:t>.</w:t>
      </w:r>
    </w:p>
    <w:p w14:paraId="45C2E0B8" w14:textId="7A8FE275" w:rsidR="0060402D" w:rsidRPr="00B44C19" w:rsidRDefault="00241947" w:rsidP="00241947">
      <w:pPr>
        <w:pStyle w:val="Content"/>
      </w:pPr>
      <w:r w:rsidRPr="00B44C19">
        <w:t xml:space="preserve">Learn more at: </w:t>
      </w:r>
      <w:hyperlink r:id="rId22" w:history="1">
        <w:r w:rsidR="00384F17" w:rsidRPr="00B44C19">
          <w:rPr>
            <w:rStyle w:val="Hyperlink"/>
          </w:rPr>
          <w:t>https://www.isaca.org/resources/cobit</w:t>
        </w:r>
      </w:hyperlink>
    </w:p>
    <w:p w14:paraId="7E1CD44E" w14:textId="77777777" w:rsidR="00EF35DA" w:rsidRPr="00B44C19" w:rsidRDefault="00EF35DA">
      <w:pPr>
        <w:spacing w:line="240" w:lineRule="auto"/>
        <w:rPr>
          <w:rFonts w:ascii="Arial" w:hAnsi="Arial" w:cs="Arial"/>
          <w:b/>
          <w:kern w:val="32"/>
          <w:sz w:val="32"/>
        </w:rPr>
      </w:pPr>
      <w:r w:rsidRPr="00B44C19">
        <w:br w:type="page"/>
      </w:r>
    </w:p>
    <w:p w14:paraId="5B9DC800" w14:textId="3488C5E6" w:rsidR="00117796" w:rsidRPr="00B44C19" w:rsidRDefault="00117796" w:rsidP="000E1A7C">
      <w:pPr>
        <w:pStyle w:val="Heading1"/>
        <w:numPr>
          <w:ilvl w:val="0"/>
          <w:numId w:val="0"/>
        </w:numPr>
      </w:pPr>
      <w:r w:rsidRPr="00B44C19">
        <w:lastRenderedPageBreak/>
        <w:t>U</w:t>
      </w:r>
      <w:r w:rsidR="00004D03" w:rsidRPr="00B44C19">
        <w:t>.</w:t>
      </w:r>
      <w:r w:rsidRPr="00B44C19">
        <w:t>S</w:t>
      </w:r>
      <w:r w:rsidR="00004D03" w:rsidRPr="00B44C19">
        <w:t>.</w:t>
      </w:r>
      <w:r w:rsidRPr="00B44C19">
        <w:t xml:space="preserve"> State Privacy Laws</w:t>
      </w:r>
    </w:p>
    <w:p w14:paraId="1CE62EEF" w14:textId="77777777" w:rsidR="00332910" w:rsidRDefault="00117796" w:rsidP="00EF35DA">
      <w:pPr>
        <w:pStyle w:val="Content"/>
        <w:spacing w:after="240"/>
        <w:rPr>
          <w:bCs/>
        </w:rPr>
      </w:pPr>
      <w:r w:rsidRPr="00B44C19">
        <w:t>Many states in the United States have individual privacy laws.</w:t>
      </w:r>
      <w:r w:rsidR="00F122A5" w:rsidRPr="00B44C19">
        <w:t xml:space="preserve"> </w:t>
      </w:r>
      <w:r w:rsidRPr="00B44C19">
        <w:t xml:space="preserve">You can find a listing of most of those state privacy laws at the </w:t>
      </w:r>
      <w:r w:rsidRPr="00B44C19">
        <w:rPr>
          <w:bCs/>
        </w:rPr>
        <w:t xml:space="preserve">Morrison &amp; Foerster's Privacy Library. Many of these privacy laws require some type of awareness training or at a minimum that the privacy requirements </w:t>
      </w:r>
      <w:r w:rsidR="003A7E21" w:rsidRPr="00B44C19">
        <w:rPr>
          <w:bCs/>
        </w:rPr>
        <w:t>be</w:t>
      </w:r>
      <w:r w:rsidRPr="00B44C19">
        <w:rPr>
          <w:bCs/>
        </w:rPr>
        <w:t xml:space="preserve"> communicated to employees in that state.</w:t>
      </w:r>
    </w:p>
    <w:p w14:paraId="2DE05482" w14:textId="064C5995" w:rsidR="00DE2ADD" w:rsidRPr="00B44C19" w:rsidRDefault="00117796" w:rsidP="00EF35DA">
      <w:pPr>
        <w:pStyle w:val="Content"/>
        <w:spacing w:after="240"/>
        <w:rPr>
          <w:rStyle w:val="Hyperlink"/>
        </w:rPr>
      </w:pPr>
      <w:r w:rsidRPr="00B44C19">
        <w:rPr>
          <w:bCs/>
        </w:rPr>
        <w:t xml:space="preserve">Learn more at: </w:t>
      </w:r>
      <w:hyperlink r:id="rId23" w:history="1">
        <w:r w:rsidR="001856D1" w:rsidRPr="00B44C19">
          <w:rPr>
            <w:rStyle w:val="Hyperlink"/>
          </w:rPr>
          <w:t>https://www.mofo.com/privacy-library</w:t>
        </w:r>
      </w:hyperlink>
    </w:p>
    <w:p w14:paraId="2A8E7091" w14:textId="77777777" w:rsidR="00EF35DA" w:rsidRPr="00B44C19" w:rsidRDefault="00EF35DA" w:rsidP="00EF35DA">
      <w:pPr>
        <w:pStyle w:val="Content"/>
        <w:spacing w:after="240"/>
      </w:pPr>
    </w:p>
    <w:p w14:paraId="08F1395E" w14:textId="07D320B0" w:rsidR="00117D14" w:rsidRPr="00B44C19" w:rsidRDefault="000B7F00" w:rsidP="000E1A7C">
      <w:pPr>
        <w:pStyle w:val="Heading1"/>
        <w:numPr>
          <w:ilvl w:val="0"/>
          <w:numId w:val="0"/>
        </w:numPr>
      </w:pPr>
      <w:r w:rsidRPr="00B44C19">
        <w:t>Australian Government InfoSec Manual</w:t>
      </w:r>
    </w:p>
    <w:p w14:paraId="14FE6A08" w14:textId="3022CC38" w:rsidR="000B7F00" w:rsidRPr="00B44C19" w:rsidRDefault="000B7F00" w:rsidP="000B7F00">
      <w:pPr>
        <w:pStyle w:val="Content"/>
      </w:pPr>
      <w:r w:rsidRPr="00B44C19">
        <w:t>§0252</w:t>
      </w:r>
      <w:r w:rsidR="00004D03" w:rsidRPr="00B44C19">
        <w:t>:</w:t>
      </w:r>
      <w:r w:rsidRPr="00B44C19">
        <w:t xml:space="preserve"> Information security awareness and training: Revision: 2; Updated: Nov-10; Applicability: U, IC, R/P, C, S/HP, TS; Compliance: </w:t>
      </w:r>
    </w:p>
    <w:p w14:paraId="7BC243D0" w14:textId="19F05A6E" w:rsidR="000B7F00" w:rsidRPr="00B44C19" w:rsidRDefault="000B7F00" w:rsidP="00836075">
      <w:pPr>
        <w:pStyle w:val="Content"/>
        <w:spacing w:after="240" w:line="360" w:lineRule="auto"/>
        <w:rPr>
          <w:i/>
        </w:rPr>
      </w:pPr>
      <w:r w:rsidRPr="00B44C19">
        <w:rPr>
          <w:i/>
        </w:rPr>
        <w:t>Agencies must provide ongoing information security awareness and training for personnel on information security policies including topics such as responsibilities, consequences of noncompliance, and potential security risks and countermeasures.</w:t>
      </w:r>
    </w:p>
    <w:p w14:paraId="78BBDB15" w14:textId="49731181" w:rsidR="00384F17" w:rsidRPr="00B44C19" w:rsidRDefault="000B7F00" w:rsidP="001856D1">
      <w:pPr>
        <w:pStyle w:val="Content"/>
        <w:spacing w:after="0"/>
      </w:pPr>
      <w:r w:rsidRPr="00B44C19">
        <w:t>Download the manual at:</w:t>
      </w:r>
      <w:r w:rsidR="001856D1" w:rsidRPr="00B44C19">
        <w:t xml:space="preserve"> </w:t>
      </w:r>
      <w:hyperlink r:id="rId24" w:history="1">
        <w:r w:rsidR="00384F17" w:rsidRPr="00B44C19">
          <w:rPr>
            <w:rStyle w:val="Hyperlink"/>
          </w:rPr>
          <w:t>https://www.cyber.gov.au/acsc/view-all-content/ism</w:t>
        </w:r>
      </w:hyperlink>
    </w:p>
    <w:p w14:paraId="3A3F8229" w14:textId="77777777" w:rsidR="001856D1" w:rsidRPr="00B44C19" w:rsidRDefault="001856D1" w:rsidP="001856D1">
      <w:pPr>
        <w:pStyle w:val="Content"/>
        <w:spacing w:after="0"/>
      </w:pPr>
    </w:p>
    <w:p w14:paraId="79C65DB4" w14:textId="1DEFF692" w:rsidR="00836075" w:rsidRPr="00B44C19" w:rsidRDefault="00836075" w:rsidP="000E1A7C">
      <w:pPr>
        <w:pStyle w:val="Heading1"/>
        <w:numPr>
          <w:ilvl w:val="0"/>
          <w:numId w:val="0"/>
        </w:numPr>
      </w:pPr>
      <w:r w:rsidRPr="00B44C19">
        <w:t>PAS</w:t>
      </w:r>
      <w:r w:rsidR="00E16D2E" w:rsidRPr="00B44C19">
        <w:t xml:space="preserve"> </w:t>
      </w:r>
      <w:r w:rsidRPr="00B44C19">
        <w:t>555 Cyber Security Risk</w:t>
      </w:r>
      <w:r w:rsidR="00004D03" w:rsidRPr="00B44C19">
        <w:t>:</w:t>
      </w:r>
      <w:r w:rsidRPr="00B44C19">
        <w:t xml:space="preserve"> Governance </w:t>
      </w:r>
      <w:r w:rsidR="00004D03" w:rsidRPr="00B44C19">
        <w:t>and</w:t>
      </w:r>
      <w:r w:rsidR="00F122A5" w:rsidRPr="00B44C19">
        <w:t xml:space="preserve"> </w:t>
      </w:r>
      <w:r w:rsidR="00240922" w:rsidRPr="00B44C19">
        <w:t>M</w:t>
      </w:r>
      <w:r w:rsidR="00004D03" w:rsidRPr="00B44C19">
        <w:t>ana</w:t>
      </w:r>
      <w:r w:rsidR="00240922" w:rsidRPr="00B44C19">
        <w:t>g</w:t>
      </w:r>
      <w:r w:rsidR="00004D03" w:rsidRPr="00B44C19">
        <w:t>e</w:t>
      </w:r>
      <w:r w:rsidR="00240922" w:rsidRPr="00B44C19">
        <w:t>m</w:t>
      </w:r>
      <w:r w:rsidR="00004D03" w:rsidRPr="00B44C19">
        <w:t>en</w:t>
      </w:r>
      <w:r w:rsidR="00240922" w:rsidRPr="00B44C19">
        <w:t>t</w:t>
      </w:r>
    </w:p>
    <w:p w14:paraId="33692FF9" w14:textId="380DA1D6" w:rsidR="000D10B1" w:rsidRPr="00B44C19" w:rsidRDefault="00836075" w:rsidP="000D10B1">
      <w:pPr>
        <w:jc w:val="both"/>
        <w:rPr>
          <w:rFonts w:ascii="Verdana" w:eastAsia="Times New Roman" w:hAnsi="Verdana" w:cs="Times"/>
          <w:color w:val="181818"/>
          <w:sz w:val="20"/>
          <w:szCs w:val="20"/>
        </w:rPr>
      </w:pPr>
      <w:r w:rsidRPr="00B44C19">
        <w:rPr>
          <w:rFonts w:ascii="Verdana" w:eastAsia="Times New Roman" w:hAnsi="Verdana" w:cs="Times"/>
          <w:color w:val="181818"/>
          <w:sz w:val="20"/>
          <w:szCs w:val="20"/>
        </w:rPr>
        <w:t xml:space="preserve">PAS 555 is a UK standard </w:t>
      </w:r>
      <w:r w:rsidR="00F122A5" w:rsidRPr="00B44C19">
        <w:rPr>
          <w:rFonts w:ascii="Verdana" w:eastAsia="Times New Roman" w:hAnsi="Verdana" w:cs="Times"/>
          <w:color w:val="181818"/>
          <w:sz w:val="20"/>
          <w:szCs w:val="20"/>
        </w:rPr>
        <w:t xml:space="preserve">that </w:t>
      </w:r>
      <w:r w:rsidRPr="00B44C19">
        <w:rPr>
          <w:rFonts w:ascii="Verdana" w:eastAsia="Times New Roman" w:hAnsi="Verdana" w:cs="Times"/>
          <w:color w:val="181818"/>
          <w:sz w:val="20"/>
          <w:szCs w:val="20"/>
        </w:rPr>
        <w:t>offers a framework that defines the outcome of good cybersecurity practice</w:t>
      </w:r>
      <w:r w:rsidR="00766AB1">
        <w:rPr>
          <w:rFonts w:ascii="Verdana" w:eastAsia="Times New Roman" w:hAnsi="Verdana" w:cs="Times"/>
          <w:color w:val="181818"/>
          <w:sz w:val="20"/>
          <w:szCs w:val="20"/>
        </w:rPr>
        <w:t>s</w:t>
      </w:r>
      <w:r w:rsidRPr="00B44C19">
        <w:rPr>
          <w:rFonts w:ascii="Verdana" w:eastAsia="Times New Roman" w:hAnsi="Verdana" w:cs="Times"/>
          <w:color w:val="181818"/>
          <w:sz w:val="20"/>
          <w:szCs w:val="20"/>
        </w:rPr>
        <w:t>. It extends beyond the technical aspects of cybersecurity risk to encompass physical and people (behavioral) security aspects as well.</w:t>
      </w:r>
    </w:p>
    <w:p w14:paraId="03832D8C" w14:textId="77777777" w:rsidR="000D10B1" w:rsidRPr="00B44C19" w:rsidRDefault="000D10B1" w:rsidP="000D10B1">
      <w:pPr>
        <w:jc w:val="both"/>
        <w:rPr>
          <w:rFonts w:ascii="Verdana" w:eastAsia="Times New Roman" w:hAnsi="Verdana" w:cs="Times"/>
          <w:color w:val="181818"/>
          <w:sz w:val="20"/>
          <w:szCs w:val="20"/>
        </w:rPr>
      </w:pPr>
    </w:p>
    <w:p w14:paraId="58CE16B0" w14:textId="6CF572F5" w:rsidR="004D154E" w:rsidRPr="00B44C19" w:rsidRDefault="00836075" w:rsidP="004D154E">
      <w:pPr>
        <w:jc w:val="both"/>
        <w:rPr>
          <w:rFonts w:ascii="Verdana" w:eastAsia="Times New Roman" w:hAnsi="Verdana" w:cs="Courier"/>
          <w:i/>
          <w:color w:val="auto"/>
          <w:sz w:val="20"/>
          <w:szCs w:val="20"/>
        </w:rPr>
      </w:pPr>
      <w:r w:rsidRPr="00B87CBC">
        <w:rPr>
          <w:rFonts w:ascii="Verdana" w:eastAsia="Times New Roman" w:hAnsi="Verdana" w:cs="Courier"/>
          <w:i/>
          <w:iCs/>
          <w:color w:val="auto"/>
          <w:sz w:val="20"/>
          <w:szCs w:val="20"/>
        </w:rPr>
        <w:t>Clause 4</w:t>
      </w:r>
      <w:r w:rsidR="00004D03" w:rsidRPr="00B87CBC">
        <w:rPr>
          <w:rFonts w:ascii="Verdana" w:eastAsia="Times New Roman" w:hAnsi="Verdana" w:cs="Courier"/>
          <w:i/>
          <w:iCs/>
          <w:color w:val="auto"/>
          <w:sz w:val="20"/>
          <w:szCs w:val="20"/>
        </w:rPr>
        <w:t>:</w:t>
      </w:r>
      <w:r w:rsidRPr="00B87CBC">
        <w:rPr>
          <w:rFonts w:ascii="Verdana" w:eastAsia="Times New Roman" w:hAnsi="Verdana" w:cs="Courier"/>
          <w:i/>
          <w:iCs/>
          <w:color w:val="auto"/>
          <w:sz w:val="20"/>
          <w:szCs w:val="20"/>
        </w:rPr>
        <w:t xml:space="preserve"> </w:t>
      </w:r>
      <w:r w:rsidR="000D10B1" w:rsidRPr="00B87CBC">
        <w:rPr>
          <w:rFonts w:ascii="Verdana" w:eastAsia="Times New Roman" w:hAnsi="Verdana" w:cs="Courier"/>
          <w:i/>
          <w:iCs/>
          <w:color w:val="auto"/>
          <w:sz w:val="20"/>
          <w:szCs w:val="20"/>
        </w:rPr>
        <w:t>Commitment to a Cyber Security C</w:t>
      </w:r>
      <w:r w:rsidRPr="00B87CBC">
        <w:rPr>
          <w:rFonts w:ascii="Verdana" w:eastAsia="Times New Roman" w:hAnsi="Verdana" w:cs="Courier"/>
          <w:i/>
          <w:iCs/>
          <w:color w:val="auto"/>
          <w:sz w:val="20"/>
          <w:szCs w:val="20"/>
        </w:rPr>
        <w:t>ulture</w:t>
      </w:r>
      <w:r w:rsidR="000D10B1" w:rsidRPr="00B87CBC">
        <w:rPr>
          <w:rFonts w:ascii="Verdana" w:eastAsia="Times New Roman" w:hAnsi="Verdana" w:cs="Courier"/>
          <w:i/>
          <w:iCs/>
          <w:color w:val="auto"/>
          <w:sz w:val="20"/>
          <w:szCs w:val="20"/>
        </w:rPr>
        <w:t xml:space="preserve">: </w:t>
      </w:r>
      <w:r w:rsidRPr="00B44C19">
        <w:rPr>
          <w:rFonts w:ascii="Verdana" w:eastAsia="Times New Roman" w:hAnsi="Verdana" w:cs="Courier"/>
          <w:i/>
          <w:color w:val="auto"/>
          <w:sz w:val="20"/>
          <w:szCs w:val="20"/>
        </w:rPr>
        <w:t>The organization's top management shall define and demonstrate how it engenders a culture of cyber security within the organization.</w:t>
      </w:r>
      <w:r w:rsidR="000D10B1" w:rsidRPr="00B44C19">
        <w:rPr>
          <w:rFonts w:ascii="Verdana" w:eastAsia="Times New Roman" w:hAnsi="Verdana" w:cs="Courier"/>
          <w:i/>
          <w:color w:val="auto"/>
          <w:sz w:val="20"/>
          <w:szCs w:val="20"/>
        </w:rPr>
        <w:t xml:space="preserve"> </w:t>
      </w:r>
      <w:r w:rsidRPr="00B44C19">
        <w:rPr>
          <w:rFonts w:ascii="Verdana" w:eastAsia="Times New Roman" w:hAnsi="Verdana" w:cs="Courier"/>
          <w:i/>
          <w:color w:val="auto"/>
          <w:sz w:val="20"/>
          <w:szCs w:val="20"/>
        </w:rPr>
        <w:t>(Note</w:t>
      </w:r>
      <w:r w:rsidR="00F122A5" w:rsidRPr="00B44C19">
        <w:rPr>
          <w:rFonts w:ascii="Verdana" w:eastAsia="Times New Roman" w:hAnsi="Verdana" w:cs="Courier"/>
          <w:i/>
          <w:color w:val="auto"/>
          <w:sz w:val="20"/>
          <w:szCs w:val="20"/>
        </w:rPr>
        <w:t>:</w:t>
      </w:r>
      <w:r w:rsidRPr="00B44C19">
        <w:rPr>
          <w:rFonts w:ascii="Verdana" w:eastAsia="Times New Roman" w:hAnsi="Verdana" w:cs="Courier"/>
          <w:i/>
          <w:color w:val="auto"/>
          <w:sz w:val="20"/>
          <w:szCs w:val="20"/>
        </w:rPr>
        <w:t xml:space="preserve"> A cyber security culture is one </w:t>
      </w:r>
      <w:r w:rsidR="00F122A5" w:rsidRPr="00B44C19">
        <w:rPr>
          <w:rFonts w:ascii="Verdana" w:eastAsia="Times New Roman" w:hAnsi="Verdana" w:cs="Courier"/>
          <w:i/>
          <w:color w:val="auto"/>
          <w:sz w:val="20"/>
          <w:szCs w:val="20"/>
        </w:rPr>
        <w:t xml:space="preserve">in which </w:t>
      </w:r>
      <w:r w:rsidRPr="00B44C19">
        <w:rPr>
          <w:rFonts w:ascii="Verdana" w:eastAsia="Times New Roman" w:hAnsi="Verdana" w:cs="Courier"/>
          <w:i/>
          <w:color w:val="auto"/>
          <w:sz w:val="20"/>
          <w:szCs w:val="20"/>
        </w:rPr>
        <w:t>values, attitudes</w:t>
      </w:r>
      <w:r w:rsidR="00F122A5" w:rsidRPr="00B44C19">
        <w:rPr>
          <w:rFonts w:ascii="Verdana" w:eastAsia="Times New Roman" w:hAnsi="Verdana" w:cs="Courier"/>
          <w:i/>
          <w:color w:val="auto"/>
          <w:sz w:val="20"/>
          <w:szCs w:val="20"/>
        </w:rPr>
        <w:t>,</w:t>
      </w:r>
      <w:r w:rsidRPr="00B44C19">
        <w:rPr>
          <w:rFonts w:ascii="Verdana" w:eastAsia="Times New Roman" w:hAnsi="Verdana" w:cs="Courier"/>
          <w:i/>
          <w:color w:val="auto"/>
          <w:sz w:val="20"/>
          <w:szCs w:val="20"/>
        </w:rPr>
        <w:t xml:space="preserve"> and behaviors are the foundation of day-to-day life in the organization. It is one where being careless about (cyber) security is not acceptable.</w:t>
      </w:r>
      <w:r w:rsidR="00EF35DA" w:rsidRPr="00B44C19">
        <w:rPr>
          <w:rFonts w:ascii="Verdana" w:eastAsia="Times New Roman" w:hAnsi="Verdana" w:cs="Courier"/>
          <w:i/>
          <w:color w:val="auto"/>
          <w:sz w:val="20"/>
          <w:szCs w:val="20"/>
        </w:rPr>
        <w:t>)</w:t>
      </w:r>
    </w:p>
    <w:p w14:paraId="147AA424" w14:textId="77777777" w:rsidR="004D154E" w:rsidRPr="00B44C19" w:rsidRDefault="004D154E" w:rsidP="004D154E">
      <w:pPr>
        <w:jc w:val="both"/>
        <w:rPr>
          <w:rFonts w:ascii="Verdana" w:eastAsia="Times New Roman" w:hAnsi="Verdana" w:cs="Courier"/>
          <w:i/>
          <w:color w:val="auto"/>
          <w:sz w:val="20"/>
          <w:szCs w:val="20"/>
        </w:rPr>
      </w:pPr>
    </w:p>
    <w:p w14:paraId="6F96BBAD" w14:textId="75730800" w:rsidR="00836075" w:rsidRPr="00B44C19" w:rsidRDefault="004D154E" w:rsidP="004D154E">
      <w:pPr>
        <w:jc w:val="both"/>
        <w:rPr>
          <w:rFonts w:ascii="Verdana" w:eastAsia="Times New Roman" w:hAnsi="Verdana" w:cs="Courier"/>
          <w:i/>
          <w:color w:val="auto"/>
          <w:sz w:val="20"/>
          <w:szCs w:val="20"/>
        </w:rPr>
      </w:pPr>
      <w:r w:rsidRPr="00766AB1">
        <w:rPr>
          <w:rFonts w:ascii="Verdana" w:eastAsia="Times New Roman" w:hAnsi="Verdana" w:cs="Courier"/>
          <w:i/>
          <w:color w:val="auto"/>
          <w:sz w:val="20"/>
          <w:szCs w:val="20"/>
        </w:rPr>
        <w:t>Cl</w:t>
      </w:r>
      <w:r w:rsidR="00836075" w:rsidRPr="00B87CBC">
        <w:rPr>
          <w:rFonts w:ascii="Verdana" w:eastAsia="Times New Roman" w:hAnsi="Verdana" w:cs="Courier"/>
          <w:i/>
          <w:color w:val="auto"/>
          <w:sz w:val="20"/>
          <w:szCs w:val="20"/>
        </w:rPr>
        <w:t>ause 7</w:t>
      </w:r>
      <w:r w:rsidR="00004D03" w:rsidRPr="00B87CBC">
        <w:rPr>
          <w:rFonts w:ascii="Verdana" w:eastAsia="Times New Roman" w:hAnsi="Verdana" w:cs="Courier"/>
          <w:i/>
          <w:color w:val="auto"/>
          <w:sz w:val="20"/>
          <w:szCs w:val="20"/>
        </w:rPr>
        <w:t>:</w:t>
      </w:r>
      <w:r w:rsidR="00836075" w:rsidRPr="00B87CBC">
        <w:rPr>
          <w:rFonts w:ascii="Verdana" w:eastAsia="Times New Roman" w:hAnsi="Verdana" w:cs="Courier"/>
          <w:i/>
          <w:color w:val="auto"/>
          <w:sz w:val="20"/>
          <w:szCs w:val="20"/>
        </w:rPr>
        <w:t xml:space="preserve"> </w:t>
      </w:r>
      <w:r w:rsidR="000D10B1" w:rsidRPr="00B87CBC">
        <w:rPr>
          <w:rFonts w:ascii="Verdana" w:eastAsia="Times New Roman" w:hAnsi="Verdana" w:cs="Courier"/>
          <w:i/>
          <w:color w:val="auto"/>
          <w:sz w:val="20"/>
          <w:szCs w:val="20"/>
        </w:rPr>
        <w:t>Capability Development S</w:t>
      </w:r>
      <w:r w:rsidR="00836075" w:rsidRPr="00B87CBC">
        <w:rPr>
          <w:rFonts w:ascii="Verdana" w:eastAsia="Times New Roman" w:hAnsi="Verdana" w:cs="Courier"/>
          <w:i/>
          <w:color w:val="auto"/>
          <w:sz w:val="20"/>
          <w:szCs w:val="20"/>
        </w:rPr>
        <w:t>trategy</w:t>
      </w:r>
      <w:r w:rsidR="000D10B1" w:rsidRPr="00B87CBC">
        <w:rPr>
          <w:rFonts w:ascii="Verdana" w:eastAsia="Times New Roman" w:hAnsi="Verdana" w:cs="Courier"/>
          <w:i/>
          <w:color w:val="auto"/>
          <w:sz w:val="20"/>
          <w:szCs w:val="20"/>
        </w:rPr>
        <w:t xml:space="preserve">: </w:t>
      </w:r>
      <w:r w:rsidR="00836075" w:rsidRPr="00B44C19">
        <w:rPr>
          <w:rFonts w:ascii="Verdana" w:eastAsia="Times New Roman" w:hAnsi="Verdana" w:cs="Courier"/>
          <w:i/>
          <w:color w:val="auto"/>
          <w:sz w:val="20"/>
          <w:szCs w:val="20"/>
        </w:rPr>
        <w:t>The organization shall have cyber security awareness programs, training</w:t>
      </w:r>
      <w:r w:rsidR="00F122A5" w:rsidRPr="00B44C19">
        <w:rPr>
          <w:rFonts w:ascii="Verdana" w:eastAsia="Times New Roman" w:hAnsi="Verdana" w:cs="Courier"/>
          <w:i/>
          <w:color w:val="auto"/>
          <w:sz w:val="20"/>
          <w:szCs w:val="20"/>
        </w:rPr>
        <w:t>,</w:t>
      </w:r>
      <w:r w:rsidR="00836075" w:rsidRPr="00B44C19">
        <w:rPr>
          <w:rFonts w:ascii="Verdana" w:eastAsia="Times New Roman" w:hAnsi="Verdana" w:cs="Courier"/>
          <w:i/>
          <w:color w:val="auto"/>
          <w:sz w:val="20"/>
          <w:szCs w:val="20"/>
        </w:rPr>
        <w:t xml:space="preserve"> and development so that all individuals in the extended enterprise have the awareness and competence to fulfill their cyber security role and contribute to an effective cyber security culture</w:t>
      </w:r>
      <w:r w:rsidR="00F122A5" w:rsidRPr="00B44C19">
        <w:rPr>
          <w:rFonts w:ascii="Verdana" w:eastAsia="Times New Roman" w:hAnsi="Verdana" w:cs="Courier"/>
          <w:i/>
          <w:color w:val="auto"/>
          <w:sz w:val="20"/>
          <w:szCs w:val="20"/>
        </w:rPr>
        <w:t>.</w:t>
      </w:r>
    </w:p>
    <w:p w14:paraId="146C59ED" w14:textId="77777777" w:rsidR="000D10B1" w:rsidRPr="00B44C19" w:rsidRDefault="000D10B1" w:rsidP="000D10B1">
      <w:pPr>
        <w:spacing w:line="360" w:lineRule="auto"/>
        <w:jc w:val="both"/>
        <w:rPr>
          <w:rFonts w:ascii="Verdana" w:eastAsia="Times New Roman" w:hAnsi="Verdana" w:cs="Times"/>
          <w:i/>
          <w:color w:val="181818"/>
          <w:sz w:val="20"/>
          <w:szCs w:val="20"/>
        </w:rPr>
      </w:pPr>
    </w:p>
    <w:p w14:paraId="1E73BF5E" w14:textId="6E99E5E3" w:rsidR="00836075" w:rsidRPr="00B44C19" w:rsidRDefault="000D10B1" w:rsidP="00836075">
      <w:pPr>
        <w:rPr>
          <w:rFonts w:ascii="Verdana" w:hAnsi="Verdana"/>
          <w:sz w:val="20"/>
          <w:szCs w:val="20"/>
        </w:rPr>
      </w:pPr>
      <w:r w:rsidRPr="00B44C19">
        <w:rPr>
          <w:rFonts w:ascii="Verdana" w:eastAsia="Times New Roman" w:hAnsi="Verdana" w:cs="Times"/>
          <w:color w:val="181818"/>
          <w:sz w:val="20"/>
          <w:szCs w:val="20"/>
        </w:rPr>
        <w:t>Learn more</w:t>
      </w:r>
      <w:r w:rsidR="00836075" w:rsidRPr="00B44C19">
        <w:rPr>
          <w:rFonts w:ascii="Verdana" w:eastAsia="Times New Roman" w:hAnsi="Verdana" w:cs="Times"/>
          <w:color w:val="181818"/>
          <w:sz w:val="20"/>
          <w:szCs w:val="20"/>
        </w:rPr>
        <w:t xml:space="preserve"> at</w:t>
      </w:r>
      <w:r w:rsidR="00766AB1">
        <w:rPr>
          <w:rFonts w:ascii="Verdana" w:eastAsia="Times New Roman" w:hAnsi="Verdana" w:cs="Times"/>
          <w:color w:val="181818"/>
          <w:sz w:val="20"/>
          <w:szCs w:val="20"/>
        </w:rPr>
        <w:t>:</w:t>
      </w:r>
      <w:r w:rsidRPr="00B44C19">
        <w:rPr>
          <w:rFonts w:ascii="Verdana" w:eastAsia="Times New Roman" w:hAnsi="Verdana" w:cs="Times"/>
          <w:color w:val="181818"/>
          <w:sz w:val="20"/>
          <w:szCs w:val="20"/>
        </w:rPr>
        <w:t xml:space="preserve"> </w:t>
      </w:r>
      <w:hyperlink r:id="rId25" w:history="1">
        <w:r w:rsidR="00836075" w:rsidRPr="00B44C19">
          <w:rPr>
            <w:rStyle w:val="Hyperlink"/>
            <w:rFonts w:ascii="Verdana" w:hAnsi="Verdana"/>
            <w:sz w:val="20"/>
            <w:szCs w:val="20"/>
          </w:rPr>
          <w:t>http://shop.bsigroup.com/en/ProductDetail/?pid=000000000030261972</w:t>
        </w:r>
      </w:hyperlink>
      <w:r w:rsidR="00836075" w:rsidRPr="00B44C19">
        <w:rPr>
          <w:rFonts w:ascii="Verdana" w:hAnsi="Verdana"/>
          <w:sz w:val="20"/>
          <w:szCs w:val="20"/>
        </w:rPr>
        <w:t xml:space="preserve"> </w:t>
      </w:r>
    </w:p>
    <w:sectPr w:rsidR="00836075" w:rsidRPr="00B44C19" w:rsidSect="00524030">
      <w:headerReference w:type="even" r:id="rId26"/>
      <w:headerReference w:type="default" r:id="rId27"/>
      <w:footerReference w:type="even" r:id="rId28"/>
      <w:footerReference w:type="default" r:id="rId29"/>
      <w:pgSz w:w="12240" w:h="15840"/>
      <w:pgMar w:top="1440" w:right="1440" w:bottom="1440" w:left="1440" w:header="504"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24EED" w14:textId="77777777" w:rsidR="00F31DD9" w:rsidRDefault="00F31DD9">
      <w:r>
        <w:separator/>
      </w:r>
    </w:p>
  </w:endnote>
  <w:endnote w:type="continuationSeparator" w:id="0">
    <w:p w14:paraId="1CDDC97C" w14:textId="77777777" w:rsidR="00F31DD9" w:rsidRDefault="00F31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Segoe UI"/>
    <w:panose1 w:val="020B0600040502020204"/>
    <w:charset w:val="00"/>
    <w:family w:val="swiss"/>
    <w:pitch w:val="variable"/>
    <w:sig w:usb0="E1000AEF" w:usb1="5000A1FF" w:usb2="00000000" w:usb3="00000000" w:csb0="000001BF" w:csb1="00000000"/>
  </w:font>
  <w:font w:name="Wingdings">
    <w:panose1 w:val="05000000000000000000"/>
    <w:charset w:val="4D"/>
    <w:family w:val="decorative"/>
    <w:pitch w:val="variable"/>
    <w:sig w:usb0="00000003" w:usb1="00000000" w:usb2="00000000" w:usb3="00000000" w:csb0="80000001" w:csb1="00000000"/>
  </w:font>
  <w:font w:name="Bodoni SvtyTwo OS ITC TT-Book">
    <w:altName w:val="Calibri"/>
    <w:panose1 w:val="00000400000000000000"/>
    <w:charset w:val="00"/>
    <w:family w:val="auto"/>
    <w:pitch w:val="variable"/>
    <w:sig w:usb0="00000003" w:usb1="00000000" w:usb2="00000000" w:usb3="00000000" w:csb0="00000001" w:csb1="00000000"/>
  </w:font>
  <w:font w:name="ヒラギノ角ゴ Pro W3">
    <w:altName w:val="Yu Gothic"/>
    <w:panose1 w:val="020B0604020202020204"/>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doni SvtyTwo ITC TT-Book">
    <w:altName w:val="Calibri"/>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Futura">
    <w:altName w:val="Century Gothic"/>
    <w:panose1 w:val="020B0602020204020303"/>
    <w:charset w:val="00"/>
    <w:family w:val="swiss"/>
    <w:pitch w:val="variable"/>
    <w:sig w:usb0="A0000AEF" w:usb1="5000214A" w:usb2="00000000" w:usb3="00000000" w:csb0="000001FF" w:csb1="00000000"/>
  </w:font>
  <w:font w:name="Cambria">
    <w:panose1 w:val="02040503050406030204"/>
    <w:charset w:val="00"/>
    <w:family w:val="roman"/>
    <w:pitch w:val="variable"/>
    <w:sig w:usb0="E00006FF" w:usb1="420024FF" w:usb2="02000000" w:usb3="00000000" w:csb0="0000019F" w:csb1="00000000"/>
  </w:font>
  <w:font w:name="Noteworthy Light">
    <w:altName w:val="NOTEWORTHY LIGHT"/>
    <w:panose1 w:val="02000400000000000000"/>
    <w:charset w:val="4D"/>
    <w:family w:val="auto"/>
    <w:pitch w:val="variable"/>
    <w:sig w:usb0="8000006F" w:usb1="08000048" w:usb2="14600000" w:usb3="00000000" w:csb0="00000111" w:csb1="00000000"/>
  </w:font>
  <w:font w:name="Times">
    <w:panose1 w:val="020B0604020202020204"/>
    <w:charset w:val="00"/>
    <w:family w:val="auto"/>
    <w:pitch w:val="variable"/>
    <w:sig w:usb0="E0002EFF" w:usb1="D000785B" w:usb2="00000009" w:usb3="00000000" w:csb0="000001FF" w:csb1="00000000"/>
  </w:font>
  <w:font w:name="Courier">
    <w:panose1 w:val="02070309020205020404"/>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B1272" w14:textId="77777777" w:rsidR="00141F77" w:rsidRDefault="00141F77">
    <w:pPr>
      <w:spacing w:line="240" w:lineRule="auto"/>
      <w:jc w:val="both"/>
      <w:rPr>
        <w:rFonts w:ascii="Times New Roman" w:eastAsia="Times New Roman" w:hAnsi="Times New Roman"/>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97C36" w14:textId="77777777" w:rsidR="00141F77" w:rsidRDefault="00141F77">
    <w:pPr>
      <w:spacing w:line="240" w:lineRule="auto"/>
      <w:jc w:val="both"/>
      <w:rPr>
        <w:rFonts w:ascii="Times New Roman" w:eastAsia="Times New Roman" w:hAnsi="Times New Roman"/>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AA4DC" w14:textId="77777777" w:rsidR="00141F77" w:rsidRDefault="00141F77">
    <w:pPr>
      <w:spacing w:line="240" w:lineRule="auto"/>
      <w:jc w:val="both"/>
      <w:rPr>
        <w:rFonts w:ascii="Times New Roman" w:eastAsia="Times New Roman" w:hAnsi="Times New Roman"/>
        <w:color w:val="auto"/>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EF653" w14:textId="77777777" w:rsidR="00141F77" w:rsidRDefault="00141F77" w:rsidP="00F20A16">
    <w:pPr>
      <w:pStyle w:val="HeaderFooter"/>
    </w:pPr>
    <w:r>
      <w:t xml:space="preserve">Security Awareness Materials - Confidential                                                                                                              Page  </w:t>
    </w:r>
    <w:r>
      <w:fldChar w:fldCharType="begin"/>
    </w:r>
    <w:r>
      <w:instrText xml:space="preserve"> PAGE </w:instrText>
    </w:r>
    <w:r>
      <w:fldChar w:fldCharType="separate"/>
    </w:r>
    <w:r>
      <w:rPr>
        <w:noProof/>
      </w:rPr>
      <w:t>4</w:t>
    </w:r>
    <w:r>
      <w:rPr>
        <w:noProof/>
      </w:rPr>
      <w:fldChar w:fldCharType="end"/>
    </w:r>
    <w:r>
      <w:t xml:space="preserve"> of </w:t>
    </w:r>
    <w:r w:rsidR="00C76A8F">
      <w:rPr>
        <w:noProof/>
      </w:rPr>
      <w:fldChar w:fldCharType="begin"/>
    </w:r>
    <w:r w:rsidR="00C76A8F">
      <w:rPr>
        <w:noProof/>
      </w:rPr>
      <w:instrText xml:space="preserve"> NUMPAGES </w:instrText>
    </w:r>
    <w:r w:rsidR="00C76A8F">
      <w:rPr>
        <w:noProof/>
      </w:rPr>
      <w:fldChar w:fldCharType="separate"/>
    </w:r>
    <w:r w:rsidR="00C33352">
      <w:rPr>
        <w:noProof/>
      </w:rPr>
      <w:t>6</w:t>
    </w:r>
    <w:r w:rsidR="00C76A8F">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15F6E" w14:textId="7933042B" w:rsidR="00524030" w:rsidRPr="00524030" w:rsidRDefault="00524030" w:rsidP="00FA2B69">
    <w:pPr>
      <w:pStyle w:val="Footer"/>
      <w:tabs>
        <w:tab w:val="clear" w:pos="4680"/>
        <w:tab w:val="clear" w:pos="9360"/>
        <w:tab w:val="left" w:pos="2093"/>
      </w:tabs>
      <w:jc w:val="center"/>
      <w:rPr>
        <w:rFonts w:ascii="Arial" w:hAnsi="Arial" w:cs="Arial"/>
        <w:sz w:val="18"/>
      </w:rPr>
    </w:pPr>
    <w:r w:rsidRPr="00524030">
      <w:rPr>
        <w:rFonts w:ascii="Arial" w:hAnsi="Arial" w:cs="Arial"/>
        <w:sz w:val="18"/>
      </w:rPr>
      <w:t xml:space="preserve">SANS MGT433 </w:t>
    </w:r>
    <w:r w:rsidR="009C1B44">
      <w:rPr>
        <w:rFonts w:ascii="Arial" w:hAnsi="Arial" w:cs="Arial"/>
        <w:sz w:val="18"/>
      </w:rPr>
      <w:t>–</w:t>
    </w:r>
    <w:r w:rsidRPr="00524030">
      <w:rPr>
        <w:rFonts w:ascii="Arial" w:hAnsi="Arial" w:cs="Arial"/>
        <w:sz w:val="18"/>
      </w:rPr>
      <w:t xml:space="preserve"> </w:t>
    </w:r>
    <w:r w:rsidR="00FA2B69" w:rsidRPr="00FA2B69">
      <w:rPr>
        <w:rFonts w:ascii="Arial" w:hAnsi="Arial" w:cs="Arial"/>
        <w:sz w:val="18"/>
      </w:rPr>
      <w:t>https://www.sans.org/</w:t>
    </w:r>
    <w:r w:rsidR="00883661">
      <w:rPr>
        <w:rFonts w:ascii="Arial" w:hAnsi="Arial" w:cs="Arial"/>
        <w:sz w:val="18"/>
      </w:rPr>
      <w:t>mgt433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EF9A9" w14:textId="77777777" w:rsidR="00F31DD9" w:rsidRDefault="00F31DD9">
      <w:r>
        <w:separator/>
      </w:r>
    </w:p>
  </w:footnote>
  <w:footnote w:type="continuationSeparator" w:id="0">
    <w:p w14:paraId="7F2578BA" w14:textId="77777777" w:rsidR="00F31DD9" w:rsidRDefault="00F31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2BC9B" w14:textId="77777777" w:rsidR="00141F77" w:rsidRDefault="00141F77" w:rsidP="00F20A16">
    <w:pPr>
      <w:pStyle w:val="HeaderFooter"/>
    </w:pPr>
    <w:r>
      <w:rPr>
        <w:noProof/>
      </w:rPr>
      <w:drawing>
        <wp:anchor distT="0" distB="0" distL="114300" distR="114300" simplePos="0" relativeHeight="251658752" behindDoc="0" locked="0" layoutInCell="1" allowOverlap="1" wp14:anchorId="562C5A5C" wp14:editId="7E935FD3">
          <wp:simplePos x="0" y="0"/>
          <wp:positionH relativeFrom="page">
            <wp:posOffset>5457825</wp:posOffset>
          </wp:positionH>
          <wp:positionV relativeFrom="page">
            <wp:posOffset>250825</wp:posOffset>
          </wp:positionV>
          <wp:extent cx="1290320" cy="381000"/>
          <wp:effectExtent l="2540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3D7A45D9" w14:textId="77777777" w:rsidR="00141F77" w:rsidRDefault="00141F77" w:rsidP="00F20A16">
    <w:pPr>
      <w:pStyle w:val="HeaderFooter"/>
    </w:pPr>
  </w:p>
  <w:p w14:paraId="16D670DF" w14:textId="77777777" w:rsidR="00141F77" w:rsidRDefault="00000000" w:rsidP="00F20A16">
    <w:pPr>
      <w:pStyle w:val="HeaderFooter"/>
    </w:pPr>
    <w:hyperlink r:id="rId2" w:history="1">
      <w:r w:rsidR="00141F77">
        <w:t>Info@honeytech.com</w:t>
      </w:r>
    </w:hyperlink>
    <w:r w:rsidR="00141F77">
      <w:t xml:space="preserve">  |  http://www.honeytech.com</w:t>
    </w:r>
  </w:p>
  <w:p w14:paraId="3BB4E916" w14:textId="79393816" w:rsidR="00141F77" w:rsidRDefault="00141F77" w:rsidP="00F20A16">
    <w:pPr>
      <w:pStyle w:val="HeaderFooter"/>
    </w:pPr>
    <w:r>
      <w:rPr>
        <w:noProof/>
      </w:rPr>
      <mc:AlternateContent>
        <mc:Choice Requires="wps">
          <w:drawing>
            <wp:anchor distT="0" distB="0" distL="114300" distR="114300" simplePos="0" relativeHeight="251656704" behindDoc="0" locked="0" layoutInCell="1" allowOverlap="1" wp14:anchorId="76D00AC6" wp14:editId="1F1B6688">
              <wp:simplePos x="0" y="0"/>
              <wp:positionH relativeFrom="character">
                <wp:posOffset>-2914015</wp:posOffset>
              </wp:positionH>
              <wp:positionV relativeFrom="line">
                <wp:posOffset>70485</wp:posOffset>
              </wp:positionV>
              <wp:extent cx="5951220" cy="7620"/>
              <wp:effectExtent l="19685" t="19685" r="36195" b="36195"/>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071D4" id="Line 5" o:spid="_x0000_s1026" style="position:absolute;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45pt,5.55pt" to="239.15pt,6.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fnnjswEAAEwDAAAOAAAAZHJzL2Uyb0RvYy54bWysU01v2zAMvQ/YfxB0X+wESLcacXpI1126&#13;&#10;LUC7H8BIsi1UEgVRiZ1/P0lxs6/bUB8EUiSfHh/pzd1kDTupQBpdy5eLmjPlBErt+pb/eH748Ikz&#13;&#10;iuAkGHSq5WdF/G77/t1m9I1a4YBGqsASiKNm9C0fYvRNVZEYlAVaoFcuBTsMFmJyQ1/JAGNCt6Za&#13;&#10;1fVNNWKQPqBQROn2/hLk24LfdUrE711HKjLT8sQtljOU85DParuBpg/gBy1mGvAfLCxolx69Qt1D&#13;&#10;BHYM+h8oq0VAwi4uBNoKu04LVXpI3Szrv7p5GsCr0ksSh/xVJno7WPHttHP7kKmLyT35RxQvxBzu&#13;&#10;BnC9KgSezz4NbpmlqkZPzbUkO+T3gR3GryhTDhwjFhWmLtgMmfpjUxH7fBVbTZGJdLm+XS9XqzQT&#13;&#10;kWIfb5KVH4DmtdYHil8UWpaNlhvtshTQwOmR4iX1NSVfO3zQxpRxGsfGRPi2XtelgtBomaM5j0J/&#13;&#10;2JnATpA3onzzw3+kBTw6WdAGBfLzbEfQ5mInosbNgmQN8sJRc0B53odMLntpZKWjeb3yTvzul6xf&#13;&#10;P8H2JwAAAP//AwBQSwMEFAAGAAgAAAAhAD258rLiAAAADwEAAA8AAABkcnMvZG93bnJldi54bWxM&#13;&#10;Tz1PwzAQ3ZH4D9YhsbVO2hTcNE4FRSzdGqqW0Y1NEhGfo9hNk3/PMcFy0t179z6y7WhbNpjeNw4l&#13;&#10;xPMImMHS6QYrCceP95kA5oNCrVqHRsJkPGzz+7tMpdrd8GCGIlSMRNCnSkIdQpdy7svaWOXnrjNI&#13;&#10;2JfrrQq09hXXvbqRuG35IoqeuFUNkkOtOrOrTfldXC2prM7ida/EcZra4nOd7E77Aa2Ujw/j24bG&#13;&#10;ywZYMGP4+4DfDpQfcgp2cVfUnrUSZslKrIlLSBwDI0byLJbALnRYLIHnGf/fI/8BAAD//wMAUEsB&#13;&#10;Ai0AFAAGAAgAAAAhALaDOJL+AAAA4QEAABMAAAAAAAAAAAAAAAAAAAAAAFtDb250ZW50X1R5cGVz&#13;&#10;XS54bWxQSwECLQAUAAYACAAAACEAOP0h/9YAAACUAQAACwAAAAAAAAAAAAAAAAAvAQAAX3JlbHMv&#13;&#10;LnJlbHNQSwECLQAUAAYACAAAACEA9X5547MBAABMAwAADgAAAAAAAAAAAAAAAAAuAgAAZHJzL2Uy&#13;&#10;b0RvYy54bWxQSwECLQAUAAYACAAAACEAPbnysuIAAAAPAQAADwAAAAAAAAAAAAAAAAANBAAAZHJz&#13;&#10;L2Rvd25yZXYueG1sUEsFBgAAAAAEAAQA8wAAABwFAAAAAA==&#13;&#10;" strokeweight="1.5pt">
              <w10:wrap anchory="line"/>
            </v:line>
          </w:pict>
        </mc:Fallback>
      </mc:AlternateContent>
    </w:r>
  </w:p>
  <w:p w14:paraId="265ED52C" w14:textId="77777777" w:rsidR="00141F77" w:rsidRDefault="00141F77"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12406" w14:textId="18392A26" w:rsidR="00141F77" w:rsidRDefault="000D1C8C" w:rsidP="00F20A16">
    <w:pPr>
      <w:pStyle w:val="HeaderFooter"/>
    </w:pPr>
    <w:r>
      <w:rPr>
        <w:noProof/>
      </w:rPr>
      <w:drawing>
        <wp:anchor distT="0" distB="0" distL="114300" distR="114300" simplePos="0" relativeHeight="251659776" behindDoc="1" locked="0" layoutInCell="1" allowOverlap="1" wp14:anchorId="6412AE8C" wp14:editId="46CBAB4F">
          <wp:simplePos x="0" y="0"/>
          <wp:positionH relativeFrom="column">
            <wp:posOffset>3747135</wp:posOffset>
          </wp:positionH>
          <wp:positionV relativeFrom="paragraph">
            <wp:posOffset>-12742</wp:posOffset>
          </wp:positionV>
          <wp:extent cx="2188720" cy="318133"/>
          <wp:effectExtent l="0" t="0" r="0" b="12700"/>
          <wp:wrapNone/>
          <wp:docPr id="3" name="Picture 3" descr="/Volumes/STH/Dropbox (SANS)/Community/MGT433/Update/SANS-SA-Logo-Lo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STH/Dropbox (SANS)/Community/MGT433/Update/SANS-SA-Logo-Lo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1406" cy="32869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8E9B07" w14:textId="77777777" w:rsidR="00DE2ADD" w:rsidRDefault="00DE2ADD" w:rsidP="00524030">
    <w:pPr>
      <w:pStyle w:val="HeaderFooter"/>
      <w:jc w:val="left"/>
    </w:pPr>
  </w:p>
  <w:p w14:paraId="7BEFCC59" w14:textId="77777777" w:rsidR="00141F77" w:rsidRPr="00F00C3B" w:rsidRDefault="00141F77" w:rsidP="00F20A16">
    <w:pPr>
      <w:pStyle w:val="HeaderFooter"/>
      <w:rPr>
        <w:rFonts w:ascii="Times New Roman" w:eastAsia="Times New Roman" w:hAnsi="Times New Roman"/>
        <w:color w:val="auto"/>
        <w:spacing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94EE87E"/>
    <w:lvl w:ilvl="0">
      <w:numFmt w:val="bullet"/>
      <w:suff w:val="nothing"/>
      <w:lvlText w:val=""/>
      <w:lvlJc w:val="left"/>
      <w:pPr>
        <w:ind w:left="0" w:firstLine="0"/>
      </w:pPr>
      <w:rPr>
        <w:rFonts w:hint="default"/>
        <w:position w:val="0"/>
      </w:rPr>
    </w:lvl>
    <w:lvl w:ilvl="1">
      <w:start w:val="1"/>
      <w:numFmt w:val="bullet"/>
      <w:lvlText w:val=""/>
      <w:lvlJc w:val="left"/>
      <w:pPr>
        <w:tabs>
          <w:tab w:val="num" w:pos="432"/>
        </w:tabs>
        <w:ind w:left="432"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22E5ACA"/>
    <w:multiLevelType w:val="hybridMultilevel"/>
    <w:tmpl w:val="80747910"/>
    <w:styleLink w:val="Bullet"/>
    <w:lvl w:ilvl="0" w:tplc="06987740">
      <w:start w:val="1"/>
      <w:numFmt w:val="bullet"/>
      <w:lvlText w:val=""/>
      <w:lvlJc w:val="left"/>
      <w:pPr>
        <w:tabs>
          <w:tab w:val="num" w:pos="700"/>
        </w:tabs>
        <w:ind w:left="700" w:hanging="360"/>
      </w:pPr>
      <w:rPr>
        <w:rFonts w:ascii="Symbol" w:hAnsi="Symbol" w:hint="default"/>
      </w:rPr>
    </w:lvl>
    <w:lvl w:ilvl="1" w:tplc="04090003" w:tentative="1">
      <w:start w:val="1"/>
      <w:numFmt w:val="bullet"/>
      <w:lvlText w:val="o"/>
      <w:lvlJc w:val="left"/>
      <w:pPr>
        <w:tabs>
          <w:tab w:val="num" w:pos="1420"/>
        </w:tabs>
        <w:ind w:left="1420" w:hanging="360"/>
      </w:pPr>
      <w:rPr>
        <w:rFonts w:ascii="Courier New" w:hAnsi="Courier New" w:cs="Lucida Grande" w:hint="default"/>
      </w:rPr>
    </w:lvl>
    <w:lvl w:ilvl="2" w:tplc="04090005" w:tentative="1">
      <w:start w:val="1"/>
      <w:numFmt w:val="bullet"/>
      <w:lvlText w:val=""/>
      <w:lvlJc w:val="left"/>
      <w:pPr>
        <w:tabs>
          <w:tab w:val="num" w:pos="2140"/>
        </w:tabs>
        <w:ind w:left="2140" w:hanging="360"/>
      </w:pPr>
      <w:rPr>
        <w:rFonts w:ascii="Wingdings" w:hAnsi="Wingdings" w:hint="default"/>
      </w:rPr>
    </w:lvl>
    <w:lvl w:ilvl="3" w:tplc="04090001" w:tentative="1">
      <w:start w:val="1"/>
      <w:numFmt w:val="bullet"/>
      <w:lvlText w:val=""/>
      <w:lvlJc w:val="left"/>
      <w:pPr>
        <w:tabs>
          <w:tab w:val="num" w:pos="2860"/>
        </w:tabs>
        <w:ind w:left="2860" w:hanging="360"/>
      </w:pPr>
      <w:rPr>
        <w:rFonts w:ascii="Symbol" w:hAnsi="Symbol" w:hint="default"/>
      </w:rPr>
    </w:lvl>
    <w:lvl w:ilvl="4" w:tplc="04090003" w:tentative="1">
      <w:start w:val="1"/>
      <w:numFmt w:val="bullet"/>
      <w:lvlText w:val="o"/>
      <w:lvlJc w:val="left"/>
      <w:pPr>
        <w:tabs>
          <w:tab w:val="num" w:pos="3580"/>
        </w:tabs>
        <w:ind w:left="3580" w:hanging="360"/>
      </w:pPr>
      <w:rPr>
        <w:rFonts w:ascii="Courier New" w:hAnsi="Courier New" w:cs="Lucida Grande" w:hint="default"/>
      </w:rPr>
    </w:lvl>
    <w:lvl w:ilvl="5" w:tplc="04090005" w:tentative="1">
      <w:start w:val="1"/>
      <w:numFmt w:val="bullet"/>
      <w:lvlText w:val=""/>
      <w:lvlJc w:val="left"/>
      <w:pPr>
        <w:tabs>
          <w:tab w:val="num" w:pos="4300"/>
        </w:tabs>
        <w:ind w:left="4300" w:hanging="360"/>
      </w:pPr>
      <w:rPr>
        <w:rFonts w:ascii="Wingdings" w:hAnsi="Wingdings" w:hint="default"/>
      </w:rPr>
    </w:lvl>
    <w:lvl w:ilvl="6" w:tplc="04090001" w:tentative="1">
      <w:start w:val="1"/>
      <w:numFmt w:val="bullet"/>
      <w:lvlText w:val=""/>
      <w:lvlJc w:val="left"/>
      <w:pPr>
        <w:tabs>
          <w:tab w:val="num" w:pos="5020"/>
        </w:tabs>
        <w:ind w:left="5020" w:hanging="360"/>
      </w:pPr>
      <w:rPr>
        <w:rFonts w:ascii="Symbol" w:hAnsi="Symbol" w:hint="default"/>
      </w:rPr>
    </w:lvl>
    <w:lvl w:ilvl="7" w:tplc="04090003" w:tentative="1">
      <w:start w:val="1"/>
      <w:numFmt w:val="bullet"/>
      <w:lvlText w:val="o"/>
      <w:lvlJc w:val="left"/>
      <w:pPr>
        <w:tabs>
          <w:tab w:val="num" w:pos="5740"/>
        </w:tabs>
        <w:ind w:left="5740" w:hanging="360"/>
      </w:pPr>
      <w:rPr>
        <w:rFonts w:ascii="Courier New" w:hAnsi="Courier New" w:cs="Lucida Grande" w:hint="default"/>
      </w:rPr>
    </w:lvl>
    <w:lvl w:ilvl="8" w:tplc="04090005" w:tentative="1">
      <w:start w:val="1"/>
      <w:numFmt w:val="bullet"/>
      <w:lvlText w:val=""/>
      <w:lvlJc w:val="left"/>
      <w:pPr>
        <w:tabs>
          <w:tab w:val="num" w:pos="6460"/>
        </w:tabs>
        <w:ind w:left="6460" w:hanging="360"/>
      </w:pPr>
      <w:rPr>
        <w:rFonts w:ascii="Wingdings" w:hAnsi="Wingdings" w:hint="default"/>
      </w:rPr>
    </w:lvl>
  </w:abstractNum>
  <w:abstractNum w:abstractNumId="2" w15:restartNumberingAfterBreak="0">
    <w:nsid w:val="04CD6AB2"/>
    <w:multiLevelType w:val="multilevel"/>
    <w:tmpl w:val="00D8B2BA"/>
    <w:lvl w:ilvl="0">
      <w:start w:val="1"/>
      <w:numFmt w:val="decimal"/>
      <w:isLgl/>
      <w:lvlText w:val="%1."/>
      <w:lvlJc w:val="left"/>
      <w:pPr>
        <w:tabs>
          <w:tab w:val="num" w:pos="432"/>
        </w:tabs>
        <w:ind w:left="432" w:firstLine="288"/>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pStyle w:val="Bullet-Numbers"/>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3" w15:restartNumberingAfterBreak="0">
    <w:nsid w:val="09DB3B68"/>
    <w:multiLevelType w:val="hybridMultilevel"/>
    <w:tmpl w:val="743A62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A055B2"/>
    <w:multiLevelType w:val="hybridMultilevel"/>
    <w:tmpl w:val="8F5C3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0E5C87"/>
    <w:multiLevelType w:val="hybridMultilevel"/>
    <w:tmpl w:val="EB98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D1847"/>
    <w:multiLevelType w:val="hybridMultilevel"/>
    <w:tmpl w:val="25ACB4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115E49"/>
    <w:multiLevelType w:val="hybridMultilevel"/>
    <w:tmpl w:val="D8CA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83D87"/>
    <w:multiLevelType w:val="hybridMultilevel"/>
    <w:tmpl w:val="E6B6535E"/>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9" w15:restartNumberingAfterBreak="0">
    <w:nsid w:val="2ACA410B"/>
    <w:multiLevelType w:val="hybridMultilevel"/>
    <w:tmpl w:val="F16C8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CF6896"/>
    <w:multiLevelType w:val="hybridMultilevel"/>
    <w:tmpl w:val="1BEA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331EF4"/>
    <w:multiLevelType w:val="hybridMultilevel"/>
    <w:tmpl w:val="7BF86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A5D40"/>
    <w:multiLevelType w:val="hybridMultilevel"/>
    <w:tmpl w:val="6A50DA1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010A75"/>
    <w:multiLevelType w:val="hybridMultilevel"/>
    <w:tmpl w:val="A1A4A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1B21A3D"/>
    <w:multiLevelType w:val="multilevel"/>
    <w:tmpl w:val="69EE258A"/>
    <w:lvl w:ilvl="0">
      <w:start w:val="1"/>
      <w:numFmt w:val="decimal"/>
      <w:pStyle w:val="Heading1"/>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4B170563"/>
    <w:multiLevelType w:val="singleLevel"/>
    <w:tmpl w:val="5C02257A"/>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6" w15:restartNumberingAfterBreak="0">
    <w:nsid w:val="57DF49D9"/>
    <w:multiLevelType w:val="hybridMultilevel"/>
    <w:tmpl w:val="76309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BA0109"/>
    <w:multiLevelType w:val="hybridMultilevel"/>
    <w:tmpl w:val="7990FF0A"/>
    <w:lvl w:ilvl="0" w:tplc="04090001">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B5230A"/>
    <w:multiLevelType w:val="hybridMultilevel"/>
    <w:tmpl w:val="C89EE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4022AE"/>
    <w:multiLevelType w:val="hybridMultilevel"/>
    <w:tmpl w:val="2FD45290"/>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325AE2"/>
    <w:multiLevelType w:val="hybridMultilevel"/>
    <w:tmpl w:val="A530C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1431EF"/>
    <w:multiLevelType w:val="hybridMultilevel"/>
    <w:tmpl w:val="1068E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173103"/>
    <w:multiLevelType w:val="hybridMultilevel"/>
    <w:tmpl w:val="2CCCE9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BB54B5C"/>
    <w:multiLevelType w:val="hybridMultilevel"/>
    <w:tmpl w:val="84B0C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EF5074"/>
    <w:multiLevelType w:val="hybridMultilevel"/>
    <w:tmpl w:val="55A61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68E02FC"/>
    <w:multiLevelType w:val="hybridMultilevel"/>
    <w:tmpl w:val="7990F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3B3020"/>
    <w:multiLevelType w:val="hybridMultilevel"/>
    <w:tmpl w:val="E9005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4B34FB"/>
    <w:multiLevelType w:val="hybridMultilevel"/>
    <w:tmpl w:val="D3469FE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6768539">
    <w:abstractNumId w:val="0"/>
  </w:num>
  <w:num w:numId="2" w16cid:durableId="902569543">
    <w:abstractNumId w:val="15"/>
  </w:num>
  <w:num w:numId="3" w16cid:durableId="943345130">
    <w:abstractNumId w:val="14"/>
  </w:num>
  <w:num w:numId="4" w16cid:durableId="905871179">
    <w:abstractNumId w:val="2"/>
  </w:num>
  <w:num w:numId="5" w16cid:durableId="749279829">
    <w:abstractNumId w:val="10"/>
  </w:num>
  <w:num w:numId="6" w16cid:durableId="2055426735">
    <w:abstractNumId w:val="8"/>
  </w:num>
  <w:num w:numId="7" w16cid:durableId="320429538">
    <w:abstractNumId w:val="4"/>
  </w:num>
  <w:num w:numId="8" w16cid:durableId="559679366">
    <w:abstractNumId w:val="26"/>
  </w:num>
  <w:num w:numId="9" w16cid:durableId="1350450244">
    <w:abstractNumId w:val="22"/>
  </w:num>
  <w:num w:numId="10" w16cid:durableId="2082673622">
    <w:abstractNumId w:val="6"/>
  </w:num>
  <w:num w:numId="11" w16cid:durableId="1805611852">
    <w:abstractNumId w:val="18"/>
  </w:num>
  <w:num w:numId="12" w16cid:durableId="1512916718">
    <w:abstractNumId w:val="27"/>
  </w:num>
  <w:num w:numId="13" w16cid:durableId="1266841313">
    <w:abstractNumId w:val="19"/>
  </w:num>
  <w:num w:numId="14" w16cid:durableId="2074885794">
    <w:abstractNumId w:val="12"/>
  </w:num>
  <w:num w:numId="15" w16cid:durableId="1742293946">
    <w:abstractNumId w:val="5"/>
  </w:num>
  <w:num w:numId="16" w16cid:durableId="1926302936">
    <w:abstractNumId w:val="23"/>
  </w:num>
  <w:num w:numId="17" w16cid:durableId="622425738">
    <w:abstractNumId w:val="3"/>
  </w:num>
  <w:num w:numId="18" w16cid:durableId="1048994810">
    <w:abstractNumId w:val="21"/>
  </w:num>
  <w:num w:numId="19" w16cid:durableId="938683387">
    <w:abstractNumId w:val="13"/>
  </w:num>
  <w:num w:numId="20" w16cid:durableId="1050615620">
    <w:abstractNumId w:val="1"/>
  </w:num>
  <w:num w:numId="21" w16cid:durableId="2087453682">
    <w:abstractNumId w:val="16"/>
  </w:num>
  <w:num w:numId="22" w16cid:durableId="1723216649">
    <w:abstractNumId w:val="7"/>
  </w:num>
  <w:num w:numId="23" w16cid:durableId="974989065">
    <w:abstractNumId w:val="25"/>
  </w:num>
  <w:num w:numId="24" w16cid:durableId="960109764">
    <w:abstractNumId w:val="17"/>
  </w:num>
  <w:num w:numId="25" w16cid:durableId="1771927208">
    <w:abstractNumId w:val="24"/>
  </w:num>
  <w:num w:numId="26" w16cid:durableId="1901474345">
    <w:abstractNumId w:val="20"/>
  </w:num>
  <w:num w:numId="27" w16cid:durableId="29191038">
    <w:abstractNumId w:val="9"/>
  </w:num>
  <w:num w:numId="28" w16cid:durableId="11776225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DateAndTime/>
  <w:embedSystemFonts/>
  <w:bordersDoNotSurroundHeader/>
  <w:bordersDoNotSurroundFooter/>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proofState w:spelling="clean" w:grammar="clean"/>
  <w:defaultTabStop w:val="720"/>
  <w:defaultTableStyle w:val="Normal"/>
  <w:drawingGridHorizontalSpacing w:val="120"/>
  <w:drawingGridVerticalSpacing w:val="163"/>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A44"/>
    <w:rsid w:val="00002A2F"/>
    <w:rsid w:val="00004D03"/>
    <w:rsid w:val="0002365A"/>
    <w:rsid w:val="0003019B"/>
    <w:rsid w:val="000418AD"/>
    <w:rsid w:val="0006209C"/>
    <w:rsid w:val="00062B18"/>
    <w:rsid w:val="00062DD4"/>
    <w:rsid w:val="000719A3"/>
    <w:rsid w:val="000720EF"/>
    <w:rsid w:val="00072A18"/>
    <w:rsid w:val="0007324C"/>
    <w:rsid w:val="00074162"/>
    <w:rsid w:val="00077A66"/>
    <w:rsid w:val="000815D9"/>
    <w:rsid w:val="000B1996"/>
    <w:rsid w:val="000B4397"/>
    <w:rsid w:val="000B4AF8"/>
    <w:rsid w:val="000B7F00"/>
    <w:rsid w:val="000D10B1"/>
    <w:rsid w:val="000D1C8C"/>
    <w:rsid w:val="000E1A7C"/>
    <w:rsid w:val="000E49D4"/>
    <w:rsid w:val="000E6499"/>
    <w:rsid w:val="000F44ED"/>
    <w:rsid w:val="000F7672"/>
    <w:rsid w:val="00107939"/>
    <w:rsid w:val="0011064F"/>
    <w:rsid w:val="0011177F"/>
    <w:rsid w:val="001132AA"/>
    <w:rsid w:val="001176BF"/>
    <w:rsid w:val="00117796"/>
    <w:rsid w:val="00117D14"/>
    <w:rsid w:val="00123049"/>
    <w:rsid w:val="00123B5A"/>
    <w:rsid w:val="001244B8"/>
    <w:rsid w:val="00132602"/>
    <w:rsid w:val="00136629"/>
    <w:rsid w:val="00140A5A"/>
    <w:rsid w:val="00141F77"/>
    <w:rsid w:val="00180824"/>
    <w:rsid w:val="0018468B"/>
    <w:rsid w:val="001856D1"/>
    <w:rsid w:val="001A4B69"/>
    <w:rsid w:val="001A60A3"/>
    <w:rsid w:val="001A6CB1"/>
    <w:rsid w:val="001B0221"/>
    <w:rsid w:val="001C753C"/>
    <w:rsid w:val="001D33F8"/>
    <w:rsid w:val="001D3F75"/>
    <w:rsid w:val="001D69C5"/>
    <w:rsid w:val="001D6E1E"/>
    <w:rsid w:val="001E49C6"/>
    <w:rsid w:val="001F1902"/>
    <w:rsid w:val="001F2691"/>
    <w:rsid w:val="00202CAC"/>
    <w:rsid w:val="002152B0"/>
    <w:rsid w:val="002235CB"/>
    <w:rsid w:val="00224DD5"/>
    <w:rsid w:val="002341DA"/>
    <w:rsid w:val="00240572"/>
    <w:rsid w:val="00240922"/>
    <w:rsid w:val="00240EF5"/>
    <w:rsid w:val="00241947"/>
    <w:rsid w:val="00247AAC"/>
    <w:rsid w:val="00261737"/>
    <w:rsid w:val="00266576"/>
    <w:rsid w:val="00266DE4"/>
    <w:rsid w:val="00267135"/>
    <w:rsid w:val="00271E3D"/>
    <w:rsid w:val="0027336F"/>
    <w:rsid w:val="002761C4"/>
    <w:rsid w:val="00290276"/>
    <w:rsid w:val="002A4A44"/>
    <w:rsid w:val="002A7C10"/>
    <w:rsid w:val="002B15EE"/>
    <w:rsid w:val="002B4C53"/>
    <w:rsid w:val="002C6AEA"/>
    <w:rsid w:val="002D0776"/>
    <w:rsid w:val="002D415E"/>
    <w:rsid w:val="002F01EB"/>
    <w:rsid w:val="0030097F"/>
    <w:rsid w:val="00332910"/>
    <w:rsid w:val="003343FE"/>
    <w:rsid w:val="00340F07"/>
    <w:rsid w:val="00345951"/>
    <w:rsid w:val="00355BBE"/>
    <w:rsid w:val="00361E37"/>
    <w:rsid w:val="00370FC8"/>
    <w:rsid w:val="00373000"/>
    <w:rsid w:val="003841EA"/>
    <w:rsid w:val="00384F17"/>
    <w:rsid w:val="0038555D"/>
    <w:rsid w:val="00386EAC"/>
    <w:rsid w:val="00391079"/>
    <w:rsid w:val="00394992"/>
    <w:rsid w:val="003A7E21"/>
    <w:rsid w:val="003B6E1D"/>
    <w:rsid w:val="003C3B38"/>
    <w:rsid w:val="003F0F45"/>
    <w:rsid w:val="004144A1"/>
    <w:rsid w:val="00420136"/>
    <w:rsid w:val="004251A1"/>
    <w:rsid w:val="004257D1"/>
    <w:rsid w:val="00430D35"/>
    <w:rsid w:val="004329DD"/>
    <w:rsid w:val="004464CC"/>
    <w:rsid w:val="00446D00"/>
    <w:rsid w:val="004473A6"/>
    <w:rsid w:val="0045134A"/>
    <w:rsid w:val="004556BC"/>
    <w:rsid w:val="00456AA4"/>
    <w:rsid w:val="00464B11"/>
    <w:rsid w:val="0047197C"/>
    <w:rsid w:val="00474DD1"/>
    <w:rsid w:val="00480E06"/>
    <w:rsid w:val="004A1BA5"/>
    <w:rsid w:val="004B725D"/>
    <w:rsid w:val="004D07B5"/>
    <w:rsid w:val="004D154E"/>
    <w:rsid w:val="004D7AF4"/>
    <w:rsid w:val="004E6628"/>
    <w:rsid w:val="004E7BDF"/>
    <w:rsid w:val="004F0017"/>
    <w:rsid w:val="004F2328"/>
    <w:rsid w:val="004F3E6C"/>
    <w:rsid w:val="00504B12"/>
    <w:rsid w:val="00524030"/>
    <w:rsid w:val="00525A9A"/>
    <w:rsid w:val="00526FA3"/>
    <w:rsid w:val="0055407D"/>
    <w:rsid w:val="00556986"/>
    <w:rsid w:val="0056251A"/>
    <w:rsid w:val="00580D8A"/>
    <w:rsid w:val="0059085A"/>
    <w:rsid w:val="005A4006"/>
    <w:rsid w:val="005A6A5D"/>
    <w:rsid w:val="005B7E5A"/>
    <w:rsid w:val="005C46F3"/>
    <w:rsid w:val="005D50D2"/>
    <w:rsid w:val="005D66EE"/>
    <w:rsid w:val="005E672C"/>
    <w:rsid w:val="005F042D"/>
    <w:rsid w:val="005F13BA"/>
    <w:rsid w:val="005F2BE9"/>
    <w:rsid w:val="0060402D"/>
    <w:rsid w:val="00613E55"/>
    <w:rsid w:val="00630B63"/>
    <w:rsid w:val="00636F00"/>
    <w:rsid w:val="006435BF"/>
    <w:rsid w:val="00655A68"/>
    <w:rsid w:val="006601A7"/>
    <w:rsid w:val="00665147"/>
    <w:rsid w:val="006672C8"/>
    <w:rsid w:val="00673502"/>
    <w:rsid w:val="00682C4C"/>
    <w:rsid w:val="00692C2D"/>
    <w:rsid w:val="006A27E9"/>
    <w:rsid w:val="006A2DD2"/>
    <w:rsid w:val="006C4E1A"/>
    <w:rsid w:val="006C5509"/>
    <w:rsid w:val="006E507F"/>
    <w:rsid w:val="006F46E1"/>
    <w:rsid w:val="00701FE4"/>
    <w:rsid w:val="0070311C"/>
    <w:rsid w:val="0071302A"/>
    <w:rsid w:val="007169EB"/>
    <w:rsid w:val="007216D9"/>
    <w:rsid w:val="00735551"/>
    <w:rsid w:val="007360FA"/>
    <w:rsid w:val="007369D7"/>
    <w:rsid w:val="007375D3"/>
    <w:rsid w:val="00745FC7"/>
    <w:rsid w:val="00746C67"/>
    <w:rsid w:val="0075131C"/>
    <w:rsid w:val="00757E68"/>
    <w:rsid w:val="00761E35"/>
    <w:rsid w:val="0076437C"/>
    <w:rsid w:val="00766AB1"/>
    <w:rsid w:val="00767F49"/>
    <w:rsid w:val="0079142F"/>
    <w:rsid w:val="00795E37"/>
    <w:rsid w:val="00797FA3"/>
    <w:rsid w:val="007B002D"/>
    <w:rsid w:val="007B097C"/>
    <w:rsid w:val="007B25C1"/>
    <w:rsid w:val="007C4F6A"/>
    <w:rsid w:val="007D7888"/>
    <w:rsid w:val="007E40C0"/>
    <w:rsid w:val="007F26FE"/>
    <w:rsid w:val="0080241E"/>
    <w:rsid w:val="00805888"/>
    <w:rsid w:val="008109F0"/>
    <w:rsid w:val="00832A1A"/>
    <w:rsid w:val="00833876"/>
    <w:rsid w:val="00836075"/>
    <w:rsid w:val="0084614A"/>
    <w:rsid w:val="00847EF1"/>
    <w:rsid w:val="0085012E"/>
    <w:rsid w:val="00853EE6"/>
    <w:rsid w:val="00882DBE"/>
    <w:rsid w:val="00883661"/>
    <w:rsid w:val="00887938"/>
    <w:rsid w:val="00891036"/>
    <w:rsid w:val="008B3B66"/>
    <w:rsid w:val="008D1A27"/>
    <w:rsid w:val="008E1776"/>
    <w:rsid w:val="008F246C"/>
    <w:rsid w:val="00900F68"/>
    <w:rsid w:val="00905132"/>
    <w:rsid w:val="009065D2"/>
    <w:rsid w:val="009173C6"/>
    <w:rsid w:val="00925DAE"/>
    <w:rsid w:val="00926B47"/>
    <w:rsid w:val="00933C1B"/>
    <w:rsid w:val="00946805"/>
    <w:rsid w:val="00955BCE"/>
    <w:rsid w:val="00956F1A"/>
    <w:rsid w:val="00964837"/>
    <w:rsid w:val="00970243"/>
    <w:rsid w:val="00971D2E"/>
    <w:rsid w:val="00980712"/>
    <w:rsid w:val="00992226"/>
    <w:rsid w:val="009A0C11"/>
    <w:rsid w:val="009A6B1F"/>
    <w:rsid w:val="009B1B32"/>
    <w:rsid w:val="009B44A8"/>
    <w:rsid w:val="009C1B44"/>
    <w:rsid w:val="009C2D78"/>
    <w:rsid w:val="009D3A40"/>
    <w:rsid w:val="009E3E2C"/>
    <w:rsid w:val="009E3F54"/>
    <w:rsid w:val="009E7ECF"/>
    <w:rsid w:val="009F1FAD"/>
    <w:rsid w:val="009F26FB"/>
    <w:rsid w:val="009F6C7B"/>
    <w:rsid w:val="00A015F2"/>
    <w:rsid w:val="00A122E1"/>
    <w:rsid w:val="00A17D82"/>
    <w:rsid w:val="00A21B5B"/>
    <w:rsid w:val="00A31245"/>
    <w:rsid w:val="00A426D5"/>
    <w:rsid w:val="00A576DC"/>
    <w:rsid w:val="00A57CE3"/>
    <w:rsid w:val="00A722D2"/>
    <w:rsid w:val="00A8436C"/>
    <w:rsid w:val="00A84D5B"/>
    <w:rsid w:val="00A90353"/>
    <w:rsid w:val="00A944E5"/>
    <w:rsid w:val="00A9477B"/>
    <w:rsid w:val="00A97C2F"/>
    <w:rsid w:val="00AA322E"/>
    <w:rsid w:val="00AA4523"/>
    <w:rsid w:val="00AA7167"/>
    <w:rsid w:val="00AC4CE8"/>
    <w:rsid w:val="00AD01AB"/>
    <w:rsid w:val="00AD0DC2"/>
    <w:rsid w:val="00AD3ABC"/>
    <w:rsid w:val="00AD50CD"/>
    <w:rsid w:val="00AE193D"/>
    <w:rsid w:val="00AE77D2"/>
    <w:rsid w:val="00AE7D29"/>
    <w:rsid w:val="00AF2BF3"/>
    <w:rsid w:val="00AF2C9E"/>
    <w:rsid w:val="00B05B29"/>
    <w:rsid w:val="00B10E9E"/>
    <w:rsid w:val="00B21FCC"/>
    <w:rsid w:val="00B22C1C"/>
    <w:rsid w:val="00B307A2"/>
    <w:rsid w:val="00B3241A"/>
    <w:rsid w:val="00B375C6"/>
    <w:rsid w:val="00B44C19"/>
    <w:rsid w:val="00B571A3"/>
    <w:rsid w:val="00B65654"/>
    <w:rsid w:val="00B87CBC"/>
    <w:rsid w:val="00BA7757"/>
    <w:rsid w:val="00BB43B3"/>
    <w:rsid w:val="00BC1A5D"/>
    <w:rsid w:val="00BC4684"/>
    <w:rsid w:val="00BC7AA7"/>
    <w:rsid w:val="00BD1752"/>
    <w:rsid w:val="00BD42DD"/>
    <w:rsid w:val="00BD74AF"/>
    <w:rsid w:val="00BE0973"/>
    <w:rsid w:val="00BE7016"/>
    <w:rsid w:val="00BE7340"/>
    <w:rsid w:val="00BF1134"/>
    <w:rsid w:val="00BF689E"/>
    <w:rsid w:val="00C0341E"/>
    <w:rsid w:val="00C156DE"/>
    <w:rsid w:val="00C173DA"/>
    <w:rsid w:val="00C23DA2"/>
    <w:rsid w:val="00C300FA"/>
    <w:rsid w:val="00C33352"/>
    <w:rsid w:val="00C36FAE"/>
    <w:rsid w:val="00C51C7A"/>
    <w:rsid w:val="00C52BC7"/>
    <w:rsid w:val="00C564FD"/>
    <w:rsid w:val="00C65BD6"/>
    <w:rsid w:val="00C71121"/>
    <w:rsid w:val="00C76A8F"/>
    <w:rsid w:val="00C82FD4"/>
    <w:rsid w:val="00C933AC"/>
    <w:rsid w:val="00C9348E"/>
    <w:rsid w:val="00C96591"/>
    <w:rsid w:val="00CA076C"/>
    <w:rsid w:val="00CA2D2B"/>
    <w:rsid w:val="00CA5F09"/>
    <w:rsid w:val="00CC2B00"/>
    <w:rsid w:val="00CC7825"/>
    <w:rsid w:val="00CD2CC1"/>
    <w:rsid w:val="00CD7AA0"/>
    <w:rsid w:val="00CE04AC"/>
    <w:rsid w:val="00CE3D72"/>
    <w:rsid w:val="00CF413C"/>
    <w:rsid w:val="00D1087B"/>
    <w:rsid w:val="00D11B26"/>
    <w:rsid w:val="00D178B3"/>
    <w:rsid w:val="00D201AC"/>
    <w:rsid w:val="00D234D5"/>
    <w:rsid w:val="00D23641"/>
    <w:rsid w:val="00D35DA5"/>
    <w:rsid w:val="00D42103"/>
    <w:rsid w:val="00D56A2C"/>
    <w:rsid w:val="00D604D7"/>
    <w:rsid w:val="00D711B1"/>
    <w:rsid w:val="00D75AAC"/>
    <w:rsid w:val="00D87581"/>
    <w:rsid w:val="00DB60E7"/>
    <w:rsid w:val="00DC4541"/>
    <w:rsid w:val="00DD22E0"/>
    <w:rsid w:val="00DD6AE1"/>
    <w:rsid w:val="00DE2ADD"/>
    <w:rsid w:val="00DF16E5"/>
    <w:rsid w:val="00DF53A9"/>
    <w:rsid w:val="00E000D1"/>
    <w:rsid w:val="00E02EE9"/>
    <w:rsid w:val="00E12AFD"/>
    <w:rsid w:val="00E1306F"/>
    <w:rsid w:val="00E16D2E"/>
    <w:rsid w:val="00E17134"/>
    <w:rsid w:val="00E257A8"/>
    <w:rsid w:val="00E442B7"/>
    <w:rsid w:val="00E64A7E"/>
    <w:rsid w:val="00E654A4"/>
    <w:rsid w:val="00E73C47"/>
    <w:rsid w:val="00E82AB5"/>
    <w:rsid w:val="00E852FC"/>
    <w:rsid w:val="00E911ED"/>
    <w:rsid w:val="00E93CEE"/>
    <w:rsid w:val="00EA42AA"/>
    <w:rsid w:val="00EA5E89"/>
    <w:rsid w:val="00EB1BDD"/>
    <w:rsid w:val="00EB3133"/>
    <w:rsid w:val="00EC4C8C"/>
    <w:rsid w:val="00ED480A"/>
    <w:rsid w:val="00ED783C"/>
    <w:rsid w:val="00EE1188"/>
    <w:rsid w:val="00EE49EA"/>
    <w:rsid w:val="00EF35DA"/>
    <w:rsid w:val="00F065CA"/>
    <w:rsid w:val="00F122A5"/>
    <w:rsid w:val="00F20A16"/>
    <w:rsid w:val="00F31DD9"/>
    <w:rsid w:val="00F3703C"/>
    <w:rsid w:val="00F441D5"/>
    <w:rsid w:val="00F6402B"/>
    <w:rsid w:val="00F673CA"/>
    <w:rsid w:val="00F82207"/>
    <w:rsid w:val="00FA2B69"/>
    <w:rsid w:val="00FB1EB3"/>
    <w:rsid w:val="00FB73EF"/>
    <w:rsid w:val="00FD7392"/>
    <w:rsid w:val="00FE77C3"/>
    <w:rsid w:val="00FF2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1A6C924"/>
  <w15:docId w15:val="{3953DA94-7D09-4CA1-93A5-BEC74BDFF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B10E9E"/>
    <w:pPr>
      <w:spacing w:line="336" w:lineRule="auto"/>
    </w:pPr>
    <w:rPr>
      <w:rFonts w:ascii="Bodoni SvtyTwo OS ITC TT-Book" w:eastAsia="ヒラギノ角ゴ Pro W3" w:hAnsi="Bodoni SvtyTwo OS ITC TT-Book"/>
      <w:color w:val="000000"/>
    </w:rPr>
  </w:style>
  <w:style w:type="paragraph" w:styleId="Heading1">
    <w:name w:val="heading 1"/>
    <w:next w:val="Normal"/>
    <w:autoRedefine/>
    <w:qFormat/>
    <w:rsid w:val="00EA42AA"/>
    <w:pPr>
      <w:keepNext/>
      <w:numPr>
        <w:numId w:val="3"/>
      </w:numPr>
      <w:pBdr>
        <w:bottom w:val="single" w:sz="4" w:space="1" w:color="auto"/>
      </w:pBdr>
      <w:spacing w:before="240" w:after="60"/>
      <w:outlineLvl w:val="0"/>
    </w:pPr>
    <w:rPr>
      <w:rFonts w:ascii="Arial" w:eastAsia="ヒラギノ角ゴ Pro W3" w:hAnsi="Arial" w:cs="Arial"/>
      <w:b/>
      <w:color w:val="000000"/>
      <w:kern w:val="32"/>
      <w:sz w:val="32"/>
    </w:rPr>
  </w:style>
  <w:style w:type="paragraph" w:styleId="Heading2">
    <w:name w:val="heading 2"/>
    <w:next w:val="Normal"/>
    <w:qFormat/>
    <w:rsid w:val="00B10E9E"/>
    <w:pPr>
      <w:keepNext/>
      <w:tabs>
        <w:tab w:val="left" w:pos="576"/>
      </w:tabs>
      <w:spacing w:before="240" w:after="60"/>
      <w:outlineLvl w:val="1"/>
    </w:pPr>
    <w:rPr>
      <w:rFonts w:ascii="Tahoma" w:eastAsia="ヒラギノ角ゴ Pro W3" w:hAnsi="Tahoma"/>
      <w:b/>
      <w:color w:val="000000"/>
      <w:sz w:val="26"/>
    </w:rPr>
  </w:style>
  <w:style w:type="paragraph" w:styleId="Heading3">
    <w:name w:val="heading 3"/>
    <w:basedOn w:val="Normal"/>
    <w:next w:val="Normal"/>
    <w:link w:val="Heading3Char"/>
    <w:rsid w:val="000418AD"/>
    <w:pPr>
      <w:keepNext/>
      <w:spacing w:before="24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F00C3B"/>
    <w:pPr>
      <w:tabs>
        <w:tab w:val="right" w:pos="8640"/>
      </w:tabs>
      <w:spacing w:line="216" w:lineRule="auto"/>
      <w:jc w:val="center"/>
    </w:pPr>
    <w:rPr>
      <w:rFonts w:ascii="Arial" w:eastAsia="ヒラギノ角ゴ Pro W3" w:hAnsi="Arial"/>
      <w:color w:val="4D4D4D"/>
      <w:spacing w:val="-5"/>
      <w:sz w:val="18"/>
    </w:rPr>
  </w:style>
  <w:style w:type="paragraph" w:customStyle="1" w:styleId="Heading">
    <w:name w:val="Heading"/>
    <w:next w:val="Body"/>
    <w:autoRedefine/>
    <w:rsid w:val="00B10E9E"/>
    <w:pPr>
      <w:keepNext/>
      <w:spacing w:before="400" w:after="80"/>
    </w:pPr>
    <w:rPr>
      <w:rFonts w:ascii="Bodoni SvtyTwo ITC TT-Book" w:eastAsia="ヒラギノ角ゴ Pro W3" w:hAnsi="Bodoni SvtyTwo ITC TT-Book"/>
      <w:caps/>
      <w:color w:val="117CB2"/>
      <w:sz w:val="28"/>
    </w:rPr>
  </w:style>
  <w:style w:type="paragraph" w:customStyle="1" w:styleId="Body">
    <w:name w:val="Body"/>
    <w:autoRedefine/>
    <w:rsid w:val="00CE04AC"/>
    <w:rPr>
      <w:rFonts w:ascii="Verdana" w:eastAsia="ヒラギノ角ゴ Pro W3" w:hAnsi="Verdana"/>
      <w:color w:val="000000"/>
      <w:sz w:val="20"/>
    </w:rPr>
  </w:style>
  <w:style w:type="paragraph" w:customStyle="1" w:styleId="Title1">
    <w:name w:val="Title1"/>
    <w:next w:val="Sub-title"/>
    <w:autoRedefine/>
    <w:rsid w:val="00E94278"/>
    <w:pPr>
      <w:keepNext/>
    </w:pPr>
    <w:rPr>
      <w:rFonts w:ascii="Helvetica" w:eastAsia="ヒラギノ角ゴ Pro W3" w:hAnsi="Helvetica"/>
      <w:color w:val="000000"/>
      <w:sz w:val="70"/>
    </w:rPr>
  </w:style>
  <w:style w:type="paragraph" w:customStyle="1" w:styleId="Sub-title">
    <w:name w:val="Sub-title"/>
    <w:next w:val="Body"/>
    <w:autoRedefine/>
    <w:rsid w:val="00B10E9E"/>
    <w:rPr>
      <w:rFonts w:ascii="Helvetica" w:eastAsia="ヒラギノ角ゴ Pro W3" w:hAnsi="Helvetica"/>
      <w:color w:val="000000"/>
      <w:sz w:val="36"/>
    </w:rPr>
  </w:style>
  <w:style w:type="paragraph" w:customStyle="1" w:styleId="AuthorInformation">
    <w:name w:val="Author Information"/>
    <w:rsid w:val="00B10E9E"/>
    <w:rPr>
      <w:rFonts w:ascii="Futura" w:eastAsia="ヒラギノ角ゴ Pro W3" w:hAnsi="Futura"/>
      <w:color w:val="000000"/>
    </w:rPr>
  </w:style>
  <w:style w:type="paragraph" w:customStyle="1" w:styleId="Header1">
    <w:name w:val="Header1"/>
    <w:autoRedefine/>
    <w:rsid w:val="00B10E9E"/>
    <w:pPr>
      <w:tabs>
        <w:tab w:val="center" w:pos="4320"/>
        <w:tab w:val="right" w:pos="8640"/>
      </w:tabs>
    </w:pPr>
    <w:rPr>
      <w:rFonts w:eastAsia="ヒラギノ角ゴ Pro W3"/>
      <w:color w:val="000000"/>
    </w:rPr>
  </w:style>
  <w:style w:type="numbering" w:customStyle="1" w:styleId="NumberedList">
    <w:name w:val="Numbered List"/>
    <w:rsid w:val="00B10E9E"/>
  </w:style>
  <w:style w:type="numbering" w:customStyle="1" w:styleId="List1">
    <w:name w:val="List 1"/>
    <w:rsid w:val="00B10E9E"/>
  </w:style>
  <w:style w:type="paragraph" w:customStyle="1" w:styleId="Sub-heading">
    <w:name w:val="Sub-heading"/>
    <w:next w:val="Body"/>
    <w:autoRedefine/>
    <w:rsid w:val="0070311C"/>
    <w:pPr>
      <w:keepNext/>
      <w:spacing w:before="360" w:line="288" w:lineRule="auto"/>
      <w:jc w:val="right"/>
    </w:pPr>
    <w:rPr>
      <w:rFonts w:ascii="Verdana" w:eastAsia="ヒラギノ角ゴ Pro W3" w:hAnsi="Verdana"/>
      <w:b/>
      <w:color w:val="000000"/>
    </w:rPr>
  </w:style>
  <w:style w:type="numbering" w:customStyle="1" w:styleId="Bullet">
    <w:name w:val="Bullet"/>
    <w:autoRedefine/>
    <w:rsid w:val="00B10E9E"/>
    <w:pPr>
      <w:numPr>
        <w:numId w:val="20"/>
      </w:numPr>
    </w:pPr>
  </w:style>
  <w:style w:type="paragraph" w:customStyle="1" w:styleId="1Sub-heading2">
    <w:name w:val="1.  Sub-heading 2"/>
    <w:next w:val="Body"/>
    <w:autoRedefine/>
    <w:rsid w:val="00B10E9E"/>
    <w:pPr>
      <w:keepNext/>
      <w:spacing w:before="360" w:line="288" w:lineRule="auto"/>
    </w:pPr>
    <w:rPr>
      <w:rFonts w:ascii="Verdana" w:eastAsia="ヒラギノ角ゴ Pro W3" w:hAnsi="Verdana"/>
      <w:b/>
      <w:color w:val="000000"/>
    </w:rPr>
  </w:style>
  <w:style w:type="paragraph" w:styleId="BodyText">
    <w:name w:val="Body Text"/>
    <w:basedOn w:val="Normal"/>
    <w:link w:val="BodyTextChar"/>
    <w:locked/>
    <w:rsid w:val="00A07FC0"/>
    <w:pPr>
      <w:widowControl w:val="0"/>
      <w:spacing w:line="240" w:lineRule="auto"/>
    </w:pPr>
    <w:rPr>
      <w:rFonts w:ascii="Times New Roman" w:eastAsia="Times New Roman" w:hAnsi="Times New Roman"/>
      <w:color w:val="auto"/>
      <w:sz w:val="22"/>
      <w:szCs w:val="20"/>
    </w:rPr>
  </w:style>
  <w:style w:type="character" w:customStyle="1" w:styleId="BodyTextChar">
    <w:name w:val="Body Text Char"/>
    <w:basedOn w:val="DefaultParagraphFont"/>
    <w:link w:val="BodyText"/>
    <w:rsid w:val="00A07FC0"/>
    <w:rPr>
      <w:sz w:val="22"/>
    </w:rPr>
  </w:style>
  <w:style w:type="paragraph" w:customStyle="1" w:styleId="TableText">
    <w:name w:val="Table Text"/>
    <w:basedOn w:val="Normal"/>
    <w:rsid w:val="00A07FC0"/>
    <w:pPr>
      <w:spacing w:before="60" w:line="240" w:lineRule="auto"/>
    </w:pPr>
    <w:rPr>
      <w:rFonts w:ascii="Verdana" w:eastAsia="Times New Roman" w:hAnsi="Verdana"/>
      <w:color w:val="auto"/>
      <w:spacing w:val="-5"/>
      <w:sz w:val="16"/>
      <w:szCs w:val="20"/>
    </w:rPr>
  </w:style>
  <w:style w:type="paragraph" w:styleId="ListBullet">
    <w:name w:val="List Bullet"/>
    <w:basedOn w:val="List"/>
    <w:locked/>
    <w:rsid w:val="00A07FC0"/>
    <w:pPr>
      <w:numPr>
        <w:numId w:val="2"/>
      </w:numPr>
      <w:tabs>
        <w:tab w:val="clear" w:pos="1440"/>
      </w:tabs>
      <w:spacing w:before="40" w:after="40" w:line="240" w:lineRule="auto"/>
      <w:ind w:left="720"/>
      <w:contextualSpacing w:val="0"/>
    </w:pPr>
    <w:rPr>
      <w:rFonts w:ascii="Arial" w:eastAsia="Times New Roman" w:hAnsi="Arial" w:cs="Arial"/>
      <w:color w:val="auto"/>
      <w:spacing w:val="-5"/>
      <w:kern w:val="20"/>
      <w:sz w:val="18"/>
      <w:szCs w:val="20"/>
    </w:rPr>
  </w:style>
  <w:style w:type="character" w:customStyle="1" w:styleId="application">
    <w:name w:val="application"/>
    <w:basedOn w:val="DefaultParagraphFont"/>
    <w:rsid w:val="00A07FC0"/>
  </w:style>
  <w:style w:type="paragraph" w:styleId="List">
    <w:name w:val="List"/>
    <w:basedOn w:val="Normal"/>
    <w:locked/>
    <w:rsid w:val="00A07FC0"/>
    <w:pPr>
      <w:ind w:left="360" w:hanging="360"/>
      <w:contextualSpacing/>
    </w:pPr>
  </w:style>
  <w:style w:type="paragraph" w:styleId="Header">
    <w:name w:val="header"/>
    <w:basedOn w:val="Normal"/>
    <w:locked/>
    <w:rsid w:val="00693AE3"/>
    <w:pPr>
      <w:tabs>
        <w:tab w:val="center" w:pos="4320"/>
        <w:tab w:val="right" w:pos="8640"/>
      </w:tabs>
    </w:pPr>
  </w:style>
  <w:style w:type="paragraph" w:styleId="TOC1">
    <w:name w:val="toc 1"/>
    <w:basedOn w:val="Normal"/>
    <w:next w:val="Normal"/>
    <w:autoRedefine/>
    <w:uiPriority w:val="39"/>
    <w:semiHidden/>
    <w:locked/>
    <w:rsid w:val="00F87FEC"/>
    <w:pPr>
      <w:spacing w:before="240" w:after="120"/>
    </w:pPr>
    <w:rPr>
      <w:rFonts w:ascii="Cambria" w:hAnsi="Cambria"/>
      <w:b/>
      <w:caps/>
      <w:sz w:val="22"/>
      <w:szCs w:val="22"/>
      <w:u w:val="single"/>
    </w:rPr>
  </w:style>
  <w:style w:type="paragraph" w:styleId="TOC2">
    <w:name w:val="toc 2"/>
    <w:basedOn w:val="Normal"/>
    <w:next w:val="Normal"/>
    <w:autoRedefine/>
    <w:uiPriority w:val="39"/>
    <w:semiHidden/>
    <w:locked/>
    <w:rsid w:val="005530CE"/>
    <w:rPr>
      <w:rFonts w:ascii="Cambria" w:hAnsi="Cambria"/>
      <w:b/>
      <w:smallCaps/>
      <w:sz w:val="22"/>
      <w:szCs w:val="22"/>
    </w:rPr>
  </w:style>
  <w:style w:type="character" w:styleId="Hyperlink">
    <w:name w:val="Hyperlink"/>
    <w:basedOn w:val="DefaultParagraphFont"/>
    <w:locked/>
    <w:rsid w:val="005530CE"/>
    <w:rPr>
      <w:color w:val="0000FF"/>
      <w:u w:val="single"/>
    </w:rPr>
  </w:style>
  <w:style w:type="table" w:styleId="TableGrid">
    <w:name w:val="Table Grid"/>
    <w:basedOn w:val="TableNormal"/>
    <w:locked/>
    <w:rsid w:val="005B21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57593"/>
    <w:pPr>
      <w:keepLines/>
      <w:numPr>
        <w:numId w:val="0"/>
      </w:numPr>
      <w:pBdr>
        <w:bottom w:val="none" w:sz="0" w:space="0" w:color="auto"/>
      </w:pBdr>
      <w:spacing w:before="480" w:after="0" w:line="276" w:lineRule="auto"/>
      <w:outlineLvl w:val="9"/>
    </w:pPr>
    <w:rPr>
      <w:rFonts w:ascii="Calibri" w:eastAsia="Times New Roman" w:hAnsi="Calibri" w:cs="Times New Roman"/>
      <w:bCs/>
      <w:color w:val="365F91"/>
      <w:kern w:val="0"/>
      <w:sz w:val="28"/>
      <w:szCs w:val="28"/>
    </w:rPr>
  </w:style>
  <w:style w:type="paragraph" w:styleId="TOC3">
    <w:name w:val="toc 3"/>
    <w:basedOn w:val="Normal"/>
    <w:next w:val="Normal"/>
    <w:autoRedefine/>
    <w:uiPriority w:val="39"/>
    <w:rsid w:val="00B57593"/>
    <w:rPr>
      <w:rFonts w:ascii="Cambria" w:hAnsi="Cambria"/>
      <w:smallCaps/>
      <w:sz w:val="22"/>
      <w:szCs w:val="22"/>
    </w:rPr>
  </w:style>
  <w:style w:type="paragraph" w:styleId="TOC4">
    <w:name w:val="toc 4"/>
    <w:basedOn w:val="Normal"/>
    <w:next w:val="Normal"/>
    <w:autoRedefine/>
    <w:rsid w:val="00B57593"/>
    <w:rPr>
      <w:rFonts w:ascii="Cambria" w:hAnsi="Cambria"/>
      <w:sz w:val="22"/>
      <w:szCs w:val="22"/>
    </w:rPr>
  </w:style>
  <w:style w:type="paragraph" w:styleId="TOC5">
    <w:name w:val="toc 5"/>
    <w:basedOn w:val="Normal"/>
    <w:next w:val="Normal"/>
    <w:autoRedefine/>
    <w:rsid w:val="00B57593"/>
    <w:rPr>
      <w:rFonts w:ascii="Cambria" w:hAnsi="Cambria"/>
      <w:sz w:val="22"/>
      <w:szCs w:val="22"/>
    </w:rPr>
  </w:style>
  <w:style w:type="paragraph" w:styleId="TOC6">
    <w:name w:val="toc 6"/>
    <w:basedOn w:val="Normal"/>
    <w:next w:val="Normal"/>
    <w:autoRedefine/>
    <w:rsid w:val="00B57593"/>
    <w:rPr>
      <w:rFonts w:ascii="Cambria" w:hAnsi="Cambria"/>
      <w:sz w:val="22"/>
      <w:szCs w:val="22"/>
    </w:rPr>
  </w:style>
  <w:style w:type="paragraph" w:styleId="TOC7">
    <w:name w:val="toc 7"/>
    <w:basedOn w:val="Normal"/>
    <w:next w:val="Normal"/>
    <w:autoRedefine/>
    <w:rsid w:val="00B57593"/>
    <w:rPr>
      <w:rFonts w:ascii="Cambria" w:hAnsi="Cambria"/>
      <w:sz w:val="22"/>
      <w:szCs w:val="22"/>
    </w:rPr>
  </w:style>
  <w:style w:type="paragraph" w:styleId="TOC8">
    <w:name w:val="toc 8"/>
    <w:basedOn w:val="Normal"/>
    <w:next w:val="Normal"/>
    <w:autoRedefine/>
    <w:rsid w:val="00B57593"/>
    <w:rPr>
      <w:rFonts w:ascii="Cambria" w:hAnsi="Cambria"/>
      <w:sz w:val="22"/>
      <w:szCs w:val="22"/>
    </w:rPr>
  </w:style>
  <w:style w:type="paragraph" w:styleId="TOC9">
    <w:name w:val="toc 9"/>
    <w:basedOn w:val="Normal"/>
    <w:next w:val="Normal"/>
    <w:autoRedefine/>
    <w:rsid w:val="00B57593"/>
    <w:rPr>
      <w:rFonts w:ascii="Cambria" w:hAnsi="Cambria"/>
      <w:sz w:val="22"/>
      <w:szCs w:val="22"/>
    </w:rPr>
  </w:style>
  <w:style w:type="paragraph" w:customStyle="1" w:styleId="Bullet-Numbers">
    <w:name w:val="Bullet - Numbers"/>
    <w:basedOn w:val="Normal"/>
    <w:qFormat/>
    <w:rsid w:val="003841EA"/>
    <w:pPr>
      <w:numPr>
        <w:ilvl w:val="2"/>
        <w:numId w:val="4"/>
      </w:numPr>
      <w:tabs>
        <w:tab w:val="clear" w:pos="360"/>
      </w:tabs>
      <w:ind w:left="720" w:hanging="360"/>
      <w:jc w:val="both"/>
    </w:pPr>
    <w:rPr>
      <w:rFonts w:ascii="Verdana" w:hAnsi="Verdana"/>
      <w:sz w:val="20"/>
      <w:szCs w:val="20"/>
    </w:rPr>
  </w:style>
  <w:style w:type="paragraph" w:customStyle="1" w:styleId="Numbers">
    <w:name w:val="Numbers"/>
    <w:basedOn w:val="Bullet-Numbers"/>
    <w:qFormat/>
    <w:rsid w:val="005B3BC2"/>
  </w:style>
  <w:style w:type="character" w:customStyle="1" w:styleId="Heading3Char">
    <w:name w:val="Heading 3 Char"/>
    <w:basedOn w:val="DefaultParagraphFont"/>
    <w:link w:val="Heading3"/>
    <w:rsid w:val="000418AD"/>
    <w:rPr>
      <w:rFonts w:ascii="Calibri" w:hAnsi="Calibri"/>
      <w:b/>
      <w:bCs/>
      <w:color w:val="000000"/>
      <w:sz w:val="26"/>
      <w:szCs w:val="26"/>
    </w:rPr>
  </w:style>
  <w:style w:type="paragraph" w:styleId="BodyTextIndent">
    <w:name w:val="Body Text Indent"/>
    <w:basedOn w:val="Normal"/>
    <w:link w:val="BodyTextIndentChar"/>
    <w:rsid w:val="00A97C2F"/>
    <w:pPr>
      <w:spacing w:after="120"/>
      <w:ind w:left="360"/>
    </w:pPr>
  </w:style>
  <w:style w:type="character" w:customStyle="1" w:styleId="BodyTextIndentChar">
    <w:name w:val="Body Text Indent Char"/>
    <w:basedOn w:val="DefaultParagraphFont"/>
    <w:link w:val="BodyTextIndent"/>
    <w:rsid w:val="00A97C2F"/>
    <w:rPr>
      <w:rFonts w:ascii="Bodoni SvtyTwo OS ITC TT-Book" w:eastAsia="ヒラギノ角ゴ Pro W3" w:hAnsi="Bodoni SvtyTwo OS ITC TT-Book"/>
      <w:color w:val="000000"/>
      <w:sz w:val="24"/>
      <w:szCs w:val="24"/>
    </w:rPr>
  </w:style>
  <w:style w:type="paragraph" w:customStyle="1" w:styleId="Content">
    <w:name w:val="Content"/>
    <w:basedOn w:val="Normal"/>
    <w:qFormat/>
    <w:rsid w:val="00123B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color w:val="auto"/>
      <w:sz w:val="20"/>
      <w:szCs w:val="20"/>
    </w:rPr>
  </w:style>
  <w:style w:type="paragraph" w:styleId="ListParagraph">
    <w:name w:val="List Paragraph"/>
    <w:basedOn w:val="Normal"/>
    <w:rsid w:val="00FD7392"/>
    <w:pPr>
      <w:ind w:left="720"/>
      <w:contextualSpacing/>
    </w:pPr>
  </w:style>
  <w:style w:type="paragraph" w:styleId="BalloonText">
    <w:name w:val="Balloon Text"/>
    <w:basedOn w:val="Normal"/>
    <w:link w:val="BalloonTextChar"/>
    <w:rsid w:val="00C51C7A"/>
    <w:pPr>
      <w:spacing w:line="240" w:lineRule="auto"/>
    </w:pPr>
    <w:rPr>
      <w:rFonts w:ascii="Lucida Grande" w:hAnsi="Lucida Grande"/>
      <w:sz w:val="18"/>
      <w:szCs w:val="18"/>
    </w:rPr>
  </w:style>
  <w:style w:type="character" w:customStyle="1" w:styleId="BalloonTextChar">
    <w:name w:val="Balloon Text Char"/>
    <w:basedOn w:val="DefaultParagraphFont"/>
    <w:link w:val="BalloonText"/>
    <w:rsid w:val="00C51C7A"/>
    <w:rPr>
      <w:rFonts w:ascii="Lucida Grande" w:eastAsia="ヒラギノ角ゴ Pro W3" w:hAnsi="Lucida Grande"/>
      <w:color w:val="000000"/>
      <w:sz w:val="18"/>
      <w:szCs w:val="18"/>
    </w:rPr>
  </w:style>
  <w:style w:type="paragraph" w:customStyle="1" w:styleId="Heading-List">
    <w:name w:val="Heading - List"/>
    <w:basedOn w:val="Content"/>
    <w:qFormat/>
    <w:rsid w:val="00EB1BDD"/>
    <w:pPr>
      <w:spacing w:after="0"/>
    </w:pPr>
    <w:rPr>
      <w:b/>
    </w:rPr>
  </w:style>
  <w:style w:type="character" w:customStyle="1" w:styleId="apple-style-span">
    <w:name w:val="apple-style-span"/>
    <w:basedOn w:val="DefaultParagraphFont"/>
    <w:rsid w:val="00CA2D2B"/>
  </w:style>
  <w:style w:type="character" w:styleId="FollowedHyperlink">
    <w:name w:val="FollowedHyperlink"/>
    <w:basedOn w:val="DefaultParagraphFont"/>
    <w:rsid w:val="004D154E"/>
    <w:rPr>
      <w:color w:val="800080" w:themeColor="followedHyperlink"/>
      <w:u w:val="single"/>
    </w:rPr>
  </w:style>
  <w:style w:type="paragraph" w:styleId="Footer">
    <w:name w:val="footer"/>
    <w:basedOn w:val="Normal"/>
    <w:link w:val="FooterChar"/>
    <w:rsid w:val="007F26FE"/>
    <w:pPr>
      <w:tabs>
        <w:tab w:val="center" w:pos="4680"/>
        <w:tab w:val="right" w:pos="9360"/>
      </w:tabs>
      <w:spacing w:line="240" w:lineRule="auto"/>
    </w:pPr>
  </w:style>
  <w:style w:type="character" w:customStyle="1" w:styleId="FooterChar">
    <w:name w:val="Footer Char"/>
    <w:basedOn w:val="DefaultParagraphFont"/>
    <w:link w:val="Footer"/>
    <w:rsid w:val="007F26FE"/>
    <w:rPr>
      <w:rFonts w:ascii="Bodoni SvtyTwo OS ITC TT-Book" w:eastAsia="ヒラギノ角ゴ Pro W3" w:hAnsi="Bodoni SvtyTwo OS ITC TT-Book"/>
      <w:color w:val="000000"/>
    </w:rPr>
  </w:style>
  <w:style w:type="character" w:styleId="CommentReference">
    <w:name w:val="annotation reference"/>
    <w:basedOn w:val="DefaultParagraphFont"/>
    <w:semiHidden/>
    <w:unhideWhenUsed/>
    <w:rsid w:val="00EA5E89"/>
    <w:rPr>
      <w:sz w:val="16"/>
      <w:szCs w:val="16"/>
    </w:rPr>
  </w:style>
  <w:style w:type="paragraph" w:styleId="CommentText">
    <w:name w:val="annotation text"/>
    <w:basedOn w:val="Normal"/>
    <w:link w:val="CommentTextChar"/>
    <w:unhideWhenUsed/>
    <w:rsid w:val="00EA5E89"/>
    <w:pPr>
      <w:spacing w:line="240" w:lineRule="auto"/>
    </w:pPr>
    <w:rPr>
      <w:sz w:val="20"/>
      <w:szCs w:val="20"/>
    </w:rPr>
  </w:style>
  <w:style w:type="character" w:customStyle="1" w:styleId="CommentTextChar">
    <w:name w:val="Comment Text Char"/>
    <w:basedOn w:val="DefaultParagraphFont"/>
    <w:link w:val="CommentText"/>
    <w:rsid w:val="00EA5E89"/>
    <w:rPr>
      <w:rFonts w:ascii="Bodoni SvtyTwo OS ITC TT-Book" w:eastAsia="ヒラギノ角ゴ Pro W3" w:hAnsi="Bodoni SvtyTwo OS ITC TT-Book"/>
      <w:color w:val="000000"/>
      <w:sz w:val="20"/>
      <w:szCs w:val="20"/>
    </w:rPr>
  </w:style>
  <w:style w:type="paragraph" w:styleId="CommentSubject">
    <w:name w:val="annotation subject"/>
    <w:basedOn w:val="CommentText"/>
    <w:next w:val="CommentText"/>
    <w:link w:val="CommentSubjectChar"/>
    <w:semiHidden/>
    <w:unhideWhenUsed/>
    <w:rsid w:val="00EA5E89"/>
    <w:rPr>
      <w:b/>
      <w:bCs/>
    </w:rPr>
  </w:style>
  <w:style w:type="character" w:customStyle="1" w:styleId="CommentSubjectChar">
    <w:name w:val="Comment Subject Char"/>
    <w:basedOn w:val="CommentTextChar"/>
    <w:link w:val="CommentSubject"/>
    <w:semiHidden/>
    <w:rsid w:val="00EA5E89"/>
    <w:rPr>
      <w:rFonts w:ascii="Bodoni SvtyTwo OS ITC TT-Book" w:eastAsia="ヒラギノ角ゴ Pro W3" w:hAnsi="Bodoni SvtyTwo OS ITC TT-Book"/>
      <w:b/>
      <w:bCs/>
      <w:color w:val="000000"/>
      <w:sz w:val="20"/>
      <w:szCs w:val="20"/>
    </w:rPr>
  </w:style>
  <w:style w:type="character" w:styleId="UnresolvedMention">
    <w:name w:val="Unresolved Mention"/>
    <w:basedOn w:val="DefaultParagraphFont"/>
    <w:rsid w:val="00EF35DA"/>
    <w:rPr>
      <w:color w:val="605E5C"/>
      <w:shd w:val="clear" w:color="auto" w:fill="E1DFDD"/>
    </w:rPr>
  </w:style>
  <w:style w:type="paragraph" w:styleId="Revision">
    <w:name w:val="Revision"/>
    <w:hidden/>
    <w:semiHidden/>
    <w:rsid w:val="00B44C19"/>
    <w:rPr>
      <w:rFonts w:ascii="Bodoni SvtyTwo OS ITC TT-Book" w:eastAsia="ヒラギノ角ゴ Pro W3" w:hAnsi="Bodoni SvtyTwo OS ITC TT-Book"/>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06118">
      <w:bodyDiv w:val="1"/>
      <w:marLeft w:val="0"/>
      <w:marRight w:val="0"/>
      <w:marTop w:val="0"/>
      <w:marBottom w:val="0"/>
      <w:divBdr>
        <w:top w:val="none" w:sz="0" w:space="0" w:color="auto"/>
        <w:left w:val="none" w:sz="0" w:space="0" w:color="auto"/>
        <w:bottom w:val="none" w:sz="0" w:space="0" w:color="auto"/>
        <w:right w:val="none" w:sz="0" w:space="0" w:color="auto"/>
      </w:divBdr>
      <w:divsChild>
        <w:div w:id="1159535561">
          <w:marLeft w:val="0"/>
          <w:marRight w:val="0"/>
          <w:marTop w:val="0"/>
          <w:marBottom w:val="0"/>
          <w:divBdr>
            <w:top w:val="none" w:sz="0" w:space="0" w:color="auto"/>
            <w:left w:val="none" w:sz="0" w:space="0" w:color="auto"/>
            <w:bottom w:val="none" w:sz="0" w:space="0" w:color="auto"/>
            <w:right w:val="none" w:sz="0" w:space="0" w:color="auto"/>
          </w:divBdr>
          <w:divsChild>
            <w:div w:id="520583482">
              <w:marLeft w:val="0"/>
              <w:marRight w:val="0"/>
              <w:marTop w:val="0"/>
              <w:marBottom w:val="0"/>
              <w:divBdr>
                <w:top w:val="none" w:sz="0" w:space="0" w:color="auto"/>
                <w:left w:val="none" w:sz="0" w:space="0" w:color="auto"/>
                <w:bottom w:val="none" w:sz="0" w:space="0" w:color="auto"/>
                <w:right w:val="none" w:sz="0" w:space="0" w:color="auto"/>
              </w:divBdr>
              <w:divsChild>
                <w:div w:id="1742873717">
                  <w:marLeft w:val="0"/>
                  <w:marRight w:val="0"/>
                  <w:marTop w:val="0"/>
                  <w:marBottom w:val="0"/>
                  <w:divBdr>
                    <w:top w:val="none" w:sz="0" w:space="0" w:color="auto"/>
                    <w:left w:val="none" w:sz="0" w:space="0" w:color="auto"/>
                    <w:bottom w:val="none" w:sz="0" w:space="0" w:color="auto"/>
                    <w:right w:val="none" w:sz="0" w:space="0" w:color="auto"/>
                  </w:divBdr>
                  <w:divsChild>
                    <w:div w:id="167637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363987">
      <w:bodyDiv w:val="1"/>
      <w:marLeft w:val="0"/>
      <w:marRight w:val="0"/>
      <w:marTop w:val="0"/>
      <w:marBottom w:val="0"/>
      <w:divBdr>
        <w:top w:val="none" w:sz="0" w:space="0" w:color="auto"/>
        <w:left w:val="none" w:sz="0" w:space="0" w:color="auto"/>
        <w:bottom w:val="none" w:sz="0" w:space="0" w:color="auto"/>
        <w:right w:val="none" w:sz="0" w:space="0" w:color="auto"/>
      </w:divBdr>
    </w:div>
    <w:div w:id="265234238">
      <w:bodyDiv w:val="1"/>
      <w:marLeft w:val="0"/>
      <w:marRight w:val="0"/>
      <w:marTop w:val="0"/>
      <w:marBottom w:val="0"/>
      <w:divBdr>
        <w:top w:val="none" w:sz="0" w:space="0" w:color="auto"/>
        <w:left w:val="none" w:sz="0" w:space="0" w:color="auto"/>
        <w:bottom w:val="none" w:sz="0" w:space="0" w:color="auto"/>
        <w:right w:val="none" w:sz="0" w:space="0" w:color="auto"/>
      </w:divBdr>
    </w:div>
    <w:div w:id="355860569">
      <w:bodyDiv w:val="1"/>
      <w:marLeft w:val="0"/>
      <w:marRight w:val="0"/>
      <w:marTop w:val="0"/>
      <w:marBottom w:val="0"/>
      <w:divBdr>
        <w:top w:val="none" w:sz="0" w:space="0" w:color="auto"/>
        <w:left w:val="none" w:sz="0" w:space="0" w:color="auto"/>
        <w:bottom w:val="none" w:sz="0" w:space="0" w:color="auto"/>
        <w:right w:val="none" w:sz="0" w:space="0" w:color="auto"/>
      </w:divBdr>
    </w:div>
    <w:div w:id="374277608">
      <w:bodyDiv w:val="1"/>
      <w:marLeft w:val="0"/>
      <w:marRight w:val="0"/>
      <w:marTop w:val="0"/>
      <w:marBottom w:val="0"/>
      <w:divBdr>
        <w:top w:val="none" w:sz="0" w:space="0" w:color="auto"/>
        <w:left w:val="none" w:sz="0" w:space="0" w:color="auto"/>
        <w:bottom w:val="none" w:sz="0" w:space="0" w:color="auto"/>
        <w:right w:val="none" w:sz="0" w:space="0" w:color="auto"/>
      </w:divBdr>
    </w:div>
    <w:div w:id="590743784">
      <w:bodyDiv w:val="1"/>
      <w:marLeft w:val="0"/>
      <w:marRight w:val="0"/>
      <w:marTop w:val="0"/>
      <w:marBottom w:val="0"/>
      <w:divBdr>
        <w:top w:val="none" w:sz="0" w:space="0" w:color="auto"/>
        <w:left w:val="none" w:sz="0" w:space="0" w:color="auto"/>
        <w:bottom w:val="none" w:sz="0" w:space="0" w:color="auto"/>
        <w:right w:val="none" w:sz="0" w:space="0" w:color="auto"/>
      </w:divBdr>
    </w:div>
    <w:div w:id="605697851">
      <w:bodyDiv w:val="1"/>
      <w:marLeft w:val="0"/>
      <w:marRight w:val="0"/>
      <w:marTop w:val="0"/>
      <w:marBottom w:val="0"/>
      <w:divBdr>
        <w:top w:val="none" w:sz="0" w:space="0" w:color="auto"/>
        <w:left w:val="none" w:sz="0" w:space="0" w:color="auto"/>
        <w:bottom w:val="none" w:sz="0" w:space="0" w:color="auto"/>
        <w:right w:val="none" w:sz="0" w:space="0" w:color="auto"/>
      </w:divBdr>
    </w:div>
    <w:div w:id="629633715">
      <w:bodyDiv w:val="1"/>
      <w:marLeft w:val="0"/>
      <w:marRight w:val="0"/>
      <w:marTop w:val="0"/>
      <w:marBottom w:val="0"/>
      <w:divBdr>
        <w:top w:val="none" w:sz="0" w:space="0" w:color="auto"/>
        <w:left w:val="none" w:sz="0" w:space="0" w:color="auto"/>
        <w:bottom w:val="none" w:sz="0" w:space="0" w:color="auto"/>
        <w:right w:val="none" w:sz="0" w:space="0" w:color="auto"/>
      </w:divBdr>
    </w:div>
    <w:div w:id="1000086942">
      <w:bodyDiv w:val="1"/>
      <w:marLeft w:val="0"/>
      <w:marRight w:val="0"/>
      <w:marTop w:val="0"/>
      <w:marBottom w:val="0"/>
      <w:divBdr>
        <w:top w:val="none" w:sz="0" w:space="0" w:color="auto"/>
        <w:left w:val="none" w:sz="0" w:space="0" w:color="auto"/>
        <w:bottom w:val="none" w:sz="0" w:space="0" w:color="auto"/>
        <w:right w:val="none" w:sz="0" w:space="0" w:color="auto"/>
      </w:divBdr>
    </w:div>
    <w:div w:id="1011493251">
      <w:bodyDiv w:val="1"/>
      <w:marLeft w:val="0"/>
      <w:marRight w:val="0"/>
      <w:marTop w:val="0"/>
      <w:marBottom w:val="0"/>
      <w:divBdr>
        <w:top w:val="none" w:sz="0" w:space="0" w:color="auto"/>
        <w:left w:val="none" w:sz="0" w:space="0" w:color="auto"/>
        <w:bottom w:val="none" w:sz="0" w:space="0" w:color="auto"/>
        <w:right w:val="none" w:sz="0" w:space="0" w:color="auto"/>
      </w:divBdr>
    </w:div>
    <w:div w:id="1339651181">
      <w:bodyDiv w:val="1"/>
      <w:marLeft w:val="0"/>
      <w:marRight w:val="0"/>
      <w:marTop w:val="0"/>
      <w:marBottom w:val="0"/>
      <w:divBdr>
        <w:top w:val="none" w:sz="0" w:space="0" w:color="auto"/>
        <w:left w:val="none" w:sz="0" w:space="0" w:color="auto"/>
        <w:bottom w:val="none" w:sz="0" w:space="0" w:color="auto"/>
        <w:right w:val="none" w:sz="0" w:space="0" w:color="auto"/>
      </w:divBdr>
      <w:divsChild>
        <w:div w:id="430855416">
          <w:marLeft w:val="0"/>
          <w:marRight w:val="0"/>
          <w:marTop w:val="0"/>
          <w:marBottom w:val="0"/>
          <w:divBdr>
            <w:top w:val="none" w:sz="0" w:space="0" w:color="auto"/>
            <w:left w:val="none" w:sz="0" w:space="0" w:color="auto"/>
            <w:bottom w:val="none" w:sz="0" w:space="0" w:color="auto"/>
            <w:right w:val="none" w:sz="0" w:space="0" w:color="auto"/>
          </w:divBdr>
        </w:div>
      </w:divsChild>
    </w:div>
    <w:div w:id="1606647560">
      <w:bodyDiv w:val="1"/>
      <w:marLeft w:val="0"/>
      <w:marRight w:val="0"/>
      <w:marTop w:val="0"/>
      <w:marBottom w:val="0"/>
      <w:divBdr>
        <w:top w:val="none" w:sz="0" w:space="0" w:color="auto"/>
        <w:left w:val="none" w:sz="0" w:space="0" w:color="auto"/>
        <w:bottom w:val="none" w:sz="0" w:space="0" w:color="auto"/>
        <w:right w:val="none" w:sz="0" w:space="0" w:color="auto"/>
      </w:divBdr>
    </w:div>
    <w:div w:id="1772890715">
      <w:bodyDiv w:val="1"/>
      <w:marLeft w:val="0"/>
      <w:marRight w:val="0"/>
      <w:marTop w:val="0"/>
      <w:marBottom w:val="0"/>
      <w:divBdr>
        <w:top w:val="none" w:sz="0" w:space="0" w:color="auto"/>
        <w:left w:val="none" w:sz="0" w:space="0" w:color="auto"/>
        <w:bottom w:val="none" w:sz="0" w:space="0" w:color="auto"/>
        <w:right w:val="none" w:sz="0" w:space="0" w:color="auto"/>
      </w:divBdr>
    </w:div>
    <w:div w:id="1800372066">
      <w:bodyDiv w:val="1"/>
      <w:marLeft w:val="0"/>
      <w:marRight w:val="0"/>
      <w:marTop w:val="0"/>
      <w:marBottom w:val="0"/>
      <w:divBdr>
        <w:top w:val="none" w:sz="0" w:space="0" w:color="auto"/>
        <w:left w:val="none" w:sz="0" w:space="0" w:color="auto"/>
        <w:bottom w:val="none" w:sz="0" w:space="0" w:color="auto"/>
        <w:right w:val="none" w:sz="0" w:space="0" w:color="auto"/>
      </w:divBdr>
    </w:div>
    <w:div w:id="2051881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isecurity.org/controls/implement-a-security-awareness-and-training-program/" TargetMode="External"/><Relationship Id="rId18" Type="http://schemas.openxmlformats.org/officeDocument/2006/relationships/hyperlink" Target="https://www.ftc.gov/tips-advice/business-center/privacy-and-security/gramm-leach-bliley-act"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ftc.gov/tips-advice/business-center/privacy-and-security/red-flags-rule" TargetMode="External"/><Relationship Id="rId7" Type="http://schemas.openxmlformats.org/officeDocument/2006/relationships/image" Target="media/image1.jpeg"/><Relationship Id="rId12" Type="http://schemas.openxmlformats.org/officeDocument/2006/relationships/hyperlink" Target="https://www.cisecurity.org/controls/cis-controls-list" TargetMode="External"/><Relationship Id="rId17" Type="http://schemas.openxmlformats.org/officeDocument/2006/relationships/hyperlink" Target="https://csrc.nist.gov/publications/detail/sp/800-53/rev-5/final" TargetMode="External"/><Relationship Id="rId25" Type="http://schemas.openxmlformats.org/officeDocument/2006/relationships/hyperlink" Target="http://shop.bsigroup.com/en/ProductDetail/?pid=000000000030261972" TargetMode="External"/><Relationship Id="rId2" Type="http://schemas.openxmlformats.org/officeDocument/2006/relationships/styles" Target="styles.xml"/><Relationship Id="rId16" Type="http://schemas.openxmlformats.org/officeDocument/2006/relationships/hyperlink" Target="https://gdpr.eu/" TargetMode="External"/><Relationship Id="rId20" Type="http://schemas.openxmlformats.org/officeDocument/2006/relationships/hyperlink" Target="http://www.hhs.gov/hipaa/for-professionals/index.html" TargetMode="External"/><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isoiec-27001-information-security.html" TargetMode="External"/><Relationship Id="rId24" Type="http://schemas.openxmlformats.org/officeDocument/2006/relationships/hyperlink" Target="https://www.cyber.gov.au/acsc/view-all-content/ism" TargetMode="External"/><Relationship Id="rId5" Type="http://schemas.openxmlformats.org/officeDocument/2006/relationships/footnotes" Target="footnotes.xml"/><Relationship Id="rId15" Type="http://schemas.openxmlformats.org/officeDocument/2006/relationships/hyperlink" Target="https://www.pcisecuritystandards.org/documents/PCI_DSS_V1.0_Best_Practices_for_Implementing_Security_Awareness_Program.pdf" TargetMode="External"/><Relationship Id="rId23" Type="http://schemas.openxmlformats.org/officeDocument/2006/relationships/hyperlink" Target="https://www.mofo.com/privacy-library" TargetMode="External"/><Relationship Id="rId28" Type="http://schemas.openxmlformats.org/officeDocument/2006/relationships/footer" Target="footer4.xml"/><Relationship Id="rId10" Type="http://schemas.openxmlformats.org/officeDocument/2006/relationships/footer" Target="footer3.xml"/><Relationship Id="rId19" Type="http://schemas.openxmlformats.org/officeDocument/2006/relationships/hyperlink" Target="https://www.ftc.gov/tips-advice/business-center/guidance/financial-institutions-customer-information-complyin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pcisecuritystandards.org/document_library" TargetMode="External"/><Relationship Id="rId22" Type="http://schemas.openxmlformats.org/officeDocument/2006/relationships/hyperlink" Target="https://www.isaca.org/resources/cobit" TargetMode="External"/><Relationship Id="rId27" Type="http://schemas.openxmlformats.org/officeDocument/2006/relationships/header" Target="head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Info@honeytech.com"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1426</Words>
  <Characters>8130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9537</CharactersWithSpaces>
  <SharedDoc>false</SharedDoc>
  <HyperlinkBase/>
  <HLinks>
    <vt:vector size="24" baseType="variant">
      <vt:variant>
        <vt:i4>7143496</vt:i4>
      </vt:variant>
      <vt:variant>
        <vt:i4>51</vt:i4>
      </vt:variant>
      <vt:variant>
        <vt:i4>0</vt:i4>
      </vt:variant>
      <vt:variant>
        <vt:i4>5</vt:i4>
      </vt:variant>
      <vt:variant>
        <vt:lpwstr>http://www.honeynet.org</vt:lpwstr>
      </vt:variant>
      <vt:variant>
        <vt:lpwstr/>
      </vt:variant>
      <vt:variant>
        <vt:i4>7405623</vt:i4>
      </vt:variant>
      <vt:variant>
        <vt:i4>3</vt:i4>
      </vt:variant>
      <vt:variant>
        <vt:i4>0</vt:i4>
      </vt:variant>
      <vt:variant>
        <vt:i4>5</vt:i4>
      </vt:variant>
      <vt:variant>
        <vt:lpwstr>mailto:Info@honeytech.com</vt:lpwstr>
      </vt:variant>
      <vt:variant>
        <vt:lpwstr/>
      </vt:variant>
      <vt:variant>
        <vt:i4>2424852</vt:i4>
      </vt:variant>
      <vt:variant>
        <vt:i4>-1</vt:i4>
      </vt:variant>
      <vt:variant>
        <vt:i4>1031</vt:i4>
      </vt:variant>
      <vt:variant>
        <vt:i4>1</vt:i4>
      </vt:variant>
      <vt:variant>
        <vt:lpwstr>http://www.tracking-hackers.com/images/Combined.jpg</vt:lpwstr>
      </vt:variant>
      <vt:variant>
        <vt:lpwstr/>
      </vt:variant>
      <vt:variant>
        <vt:i4>7667805</vt:i4>
      </vt:variant>
      <vt:variant>
        <vt:i4>-1</vt:i4>
      </vt:variant>
      <vt:variant>
        <vt:i4>1042</vt:i4>
      </vt:variant>
      <vt:variant>
        <vt:i4>1</vt:i4>
      </vt:variant>
      <vt:variant>
        <vt:lpwstr>DuLogo2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Barton Reed</dc:creator>
  <cp:keywords/>
  <dc:description>processed_12.19.14.rr</dc:description>
  <cp:lastModifiedBy>Spitzner, Lance</cp:lastModifiedBy>
  <cp:revision>4</cp:revision>
  <cp:lastPrinted>2010-10-05T16:03:00Z</cp:lastPrinted>
  <dcterms:created xsi:type="dcterms:W3CDTF">2023-03-07T15:44:00Z</dcterms:created>
  <dcterms:modified xsi:type="dcterms:W3CDTF">2023-03-14T07:20:00Z</dcterms:modified>
  <cp:category/>
</cp:coreProperties>
</file>