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BBA50" w14:textId="779E9795" w:rsidR="0013435A" w:rsidRDefault="0013435A">
      <w:bookmarkStart w:id="0" w:name="_Toc92269965"/>
    </w:p>
    <w:sdt>
      <w:sdtPr>
        <w:rPr>
          <w:rFonts w:asciiTheme="minorHAnsi" w:eastAsiaTheme="minorEastAsia" w:hAnsiTheme="minorHAnsi" w:cstheme="minorBidi"/>
          <w:color w:val="auto"/>
          <w:sz w:val="22"/>
          <w:szCs w:val="22"/>
          <w:lang w:eastAsia="zh-CN" w:bidi="he-IL"/>
        </w:rPr>
        <w:id w:val="-404216451"/>
        <w:docPartObj>
          <w:docPartGallery w:val="Table of Contents"/>
          <w:docPartUnique/>
        </w:docPartObj>
      </w:sdtPr>
      <w:sdtEndPr>
        <w:rPr>
          <w:b/>
          <w:bCs/>
          <w:noProof/>
        </w:rPr>
      </w:sdtEndPr>
      <w:sdtContent>
        <w:p w14:paraId="2616D7C5" w14:textId="23B90EEE" w:rsidR="00773DE3" w:rsidRDefault="00773DE3">
          <w:pPr>
            <w:pStyle w:val="TOCHeading"/>
          </w:pPr>
          <w:r>
            <w:t>Contents</w:t>
          </w:r>
        </w:p>
        <w:p w14:paraId="3D6CB14A" w14:textId="4E5A505F" w:rsidR="004B6816" w:rsidRDefault="00773DE3">
          <w:pPr>
            <w:pStyle w:val="TOC1"/>
            <w:tabs>
              <w:tab w:val="left" w:pos="440"/>
              <w:tab w:val="right" w:leader="dot" w:pos="9350"/>
            </w:tabs>
            <w:rPr>
              <w:noProof/>
            </w:rPr>
          </w:pPr>
          <w:r>
            <w:fldChar w:fldCharType="begin"/>
          </w:r>
          <w:r>
            <w:instrText xml:space="preserve"> TOC \o "1-3" \h \z \u </w:instrText>
          </w:r>
          <w:r>
            <w:fldChar w:fldCharType="separate"/>
          </w:r>
          <w:hyperlink w:anchor="_Toc95501622" w:history="1">
            <w:r w:rsidR="004B6816" w:rsidRPr="007D5ED9">
              <w:rPr>
                <w:rStyle w:val="Hyperlink"/>
                <w:noProof/>
                <w:lang w:bidi="ar-SA"/>
              </w:rPr>
              <w:t>1</w:t>
            </w:r>
            <w:r w:rsidR="004B6816">
              <w:rPr>
                <w:noProof/>
              </w:rPr>
              <w:tab/>
            </w:r>
            <w:r w:rsidR="004B6816" w:rsidRPr="007D5ED9">
              <w:rPr>
                <w:rStyle w:val="Hyperlink"/>
                <w:noProof/>
                <w:lang w:bidi="ar-SA"/>
              </w:rPr>
              <w:t>Executive Summary</w:t>
            </w:r>
            <w:r w:rsidR="004B6816">
              <w:rPr>
                <w:noProof/>
                <w:webHidden/>
              </w:rPr>
              <w:tab/>
            </w:r>
            <w:r w:rsidR="004B6816">
              <w:rPr>
                <w:noProof/>
                <w:webHidden/>
              </w:rPr>
              <w:fldChar w:fldCharType="begin"/>
            </w:r>
            <w:r w:rsidR="004B6816">
              <w:rPr>
                <w:noProof/>
                <w:webHidden/>
              </w:rPr>
              <w:instrText xml:space="preserve"> PAGEREF _Toc95501622 \h </w:instrText>
            </w:r>
            <w:r w:rsidR="004B6816">
              <w:rPr>
                <w:noProof/>
                <w:webHidden/>
              </w:rPr>
            </w:r>
            <w:r w:rsidR="004B6816">
              <w:rPr>
                <w:noProof/>
                <w:webHidden/>
              </w:rPr>
              <w:fldChar w:fldCharType="separate"/>
            </w:r>
            <w:r w:rsidR="00B52D9D">
              <w:rPr>
                <w:noProof/>
                <w:webHidden/>
              </w:rPr>
              <w:t>3</w:t>
            </w:r>
            <w:r w:rsidR="004B6816">
              <w:rPr>
                <w:noProof/>
                <w:webHidden/>
              </w:rPr>
              <w:fldChar w:fldCharType="end"/>
            </w:r>
          </w:hyperlink>
        </w:p>
        <w:p w14:paraId="0DDA36D5" w14:textId="6E9F801C" w:rsidR="004B6816" w:rsidRDefault="0034122C">
          <w:pPr>
            <w:pStyle w:val="TOC1"/>
            <w:tabs>
              <w:tab w:val="left" w:pos="440"/>
              <w:tab w:val="right" w:leader="dot" w:pos="9350"/>
            </w:tabs>
            <w:rPr>
              <w:noProof/>
            </w:rPr>
          </w:pPr>
          <w:hyperlink w:anchor="_Toc95501623" w:history="1">
            <w:r w:rsidR="004B6816" w:rsidRPr="007D5ED9">
              <w:rPr>
                <w:rStyle w:val="Hyperlink"/>
                <w:noProof/>
                <w:lang w:bidi="ar-SA"/>
              </w:rPr>
              <w:t>2</w:t>
            </w:r>
            <w:r w:rsidR="004B6816">
              <w:rPr>
                <w:noProof/>
              </w:rPr>
              <w:tab/>
            </w:r>
            <w:r w:rsidR="004B6816" w:rsidRPr="007D5ED9">
              <w:rPr>
                <w:rStyle w:val="Hyperlink"/>
                <w:noProof/>
                <w:lang w:bidi="ar-SA"/>
              </w:rPr>
              <w:t>Engagement and Training</w:t>
            </w:r>
            <w:r w:rsidR="004B6816">
              <w:rPr>
                <w:noProof/>
                <w:webHidden/>
              </w:rPr>
              <w:tab/>
            </w:r>
            <w:r w:rsidR="004B6816">
              <w:rPr>
                <w:noProof/>
                <w:webHidden/>
              </w:rPr>
              <w:fldChar w:fldCharType="begin"/>
            </w:r>
            <w:r w:rsidR="004B6816">
              <w:rPr>
                <w:noProof/>
                <w:webHidden/>
              </w:rPr>
              <w:instrText xml:space="preserve"> PAGEREF _Toc95501623 \h </w:instrText>
            </w:r>
            <w:r w:rsidR="004B6816">
              <w:rPr>
                <w:noProof/>
                <w:webHidden/>
              </w:rPr>
            </w:r>
            <w:r w:rsidR="004B6816">
              <w:rPr>
                <w:noProof/>
                <w:webHidden/>
              </w:rPr>
              <w:fldChar w:fldCharType="separate"/>
            </w:r>
            <w:r w:rsidR="00B52D9D">
              <w:rPr>
                <w:noProof/>
                <w:webHidden/>
              </w:rPr>
              <w:t>4</w:t>
            </w:r>
            <w:r w:rsidR="004B6816">
              <w:rPr>
                <w:noProof/>
                <w:webHidden/>
              </w:rPr>
              <w:fldChar w:fldCharType="end"/>
            </w:r>
          </w:hyperlink>
        </w:p>
        <w:p w14:paraId="07763FC8" w14:textId="16DE8887" w:rsidR="004B6816" w:rsidRDefault="0034122C">
          <w:pPr>
            <w:pStyle w:val="TOC2"/>
            <w:tabs>
              <w:tab w:val="left" w:pos="880"/>
              <w:tab w:val="right" w:leader="dot" w:pos="9350"/>
            </w:tabs>
            <w:rPr>
              <w:noProof/>
            </w:rPr>
          </w:pPr>
          <w:hyperlink w:anchor="_Toc95501624" w:history="1">
            <w:r w:rsidR="004B6816" w:rsidRPr="007D5ED9">
              <w:rPr>
                <w:rStyle w:val="Hyperlink"/>
                <w:rFonts w:cstheme="minorHAnsi"/>
                <w:noProof/>
                <w:lang w:bidi="ar-SA"/>
              </w:rPr>
              <w:t>2.1</w:t>
            </w:r>
            <w:r w:rsidR="004B6816">
              <w:rPr>
                <w:noProof/>
              </w:rPr>
              <w:tab/>
            </w:r>
            <w:r w:rsidR="004B6816" w:rsidRPr="007D5ED9">
              <w:rPr>
                <w:rStyle w:val="Hyperlink"/>
                <w:rFonts w:cstheme="minorHAnsi"/>
                <w:noProof/>
                <w:lang w:bidi="ar-SA"/>
              </w:rPr>
              <w:t>Why Security Matters</w:t>
            </w:r>
            <w:r w:rsidR="004B6816">
              <w:rPr>
                <w:noProof/>
                <w:webHidden/>
              </w:rPr>
              <w:tab/>
            </w:r>
            <w:r w:rsidR="004B6816">
              <w:rPr>
                <w:noProof/>
                <w:webHidden/>
              </w:rPr>
              <w:fldChar w:fldCharType="begin"/>
            </w:r>
            <w:r w:rsidR="004B6816">
              <w:rPr>
                <w:noProof/>
                <w:webHidden/>
              </w:rPr>
              <w:instrText xml:space="preserve"> PAGEREF _Toc95501624 \h </w:instrText>
            </w:r>
            <w:r w:rsidR="004B6816">
              <w:rPr>
                <w:noProof/>
                <w:webHidden/>
              </w:rPr>
            </w:r>
            <w:r w:rsidR="004B6816">
              <w:rPr>
                <w:noProof/>
                <w:webHidden/>
              </w:rPr>
              <w:fldChar w:fldCharType="separate"/>
            </w:r>
            <w:r w:rsidR="00B52D9D">
              <w:rPr>
                <w:noProof/>
                <w:webHidden/>
              </w:rPr>
              <w:t>4</w:t>
            </w:r>
            <w:r w:rsidR="004B6816">
              <w:rPr>
                <w:noProof/>
                <w:webHidden/>
              </w:rPr>
              <w:fldChar w:fldCharType="end"/>
            </w:r>
          </w:hyperlink>
        </w:p>
        <w:p w14:paraId="5E798A2F" w14:textId="10697F8B" w:rsidR="004B6816" w:rsidRDefault="0034122C">
          <w:pPr>
            <w:pStyle w:val="TOC2"/>
            <w:tabs>
              <w:tab w:val="left" w:pos="880"/>
              <w:tab w:val="right" w:leader="dot" w:pos="9350"/>
            </w:tabs>
            <w:rPr>
              <w:noProof/>
            </w:rPr>
          </w:pPr>
          <w:hyperlink w:anchor="_Toc95501625" w:history="1">
            <w:r w:rsidR="004B6816" w:rsidRPr="007D5ED9">
              <w:rPr>
                <w:rStyle w:val="Hyperlink"/>
                <w:rFonts w:cstheme="minorHAnsi"/>
                <w:noProof/>
                <w:lang w:bidi="ar-SA"/>
              </w:rPr>
              <w:t>2.2</w:t>
            </w:r>
            <w:r w:rsidR="004B6816">
              <w:rPr>
                <w:noProof/>
              </w:rPr>
              <w:tab/>
            </w:r>
            <w:r w:rsidR="004B6816" w:rsidRPr="007D5ED9">
              <w:rPr>
                <w:rStyle w:val="Hyperlink"/>
                <w:rFonts w:cstheme="minorHAnsi"/>
                <w:noProof/>
                <w:lang w:bidi="ar-SA"/>
              </w:rPr>
              <w:t>Cultural Analysis</w:t>
            </w:r>
            <w:r w:rsidR="004B6816">
              <w:rPr>
                <w:noProof/>
                <w:webHidden/>
              </w:rPr>
              <w:tab/>
            </w:r>
            <w:r w:rsidR="004B6816">
              <w:rPr>
                <w:noProof/>
                <w:webHidden/>
              </w:rPr>
              <w:fldChar w:fldCharType="begin"/>
            </w:r>
            <w:r w:rsidR="004B6816">
              <w:rPr>
                <w:noProof/>
                <w:webHidden/>
              </w:rPr>
              <w:instrText xml:space="preserve"> PAGEREF _Toc95501625 \h </w:instrText>
            </w:r>
            <w:r w:rsidR="004B6816">
              <w:rPr>
                <w:noProof/>
                <w:webHidden/>
              </w:rPr>
            </w:r>
            <w:r w:rsidR="004B6816">
              <w:rPr>
                <w:noProof/>
                <w:webHidden/>
              </w:rPr>
              <w:fldChar w:fldCharType="separate"/>
            </w:r>
            <w:r w:rsidR="00B52D9D">
              <w:rPr>
                <w:noProof/>
                <w:webHidden/>
              </w:rPr>
              <w:t>4</w:t>
            </w:r>
            <w:r w:rsidR="004B6816">
              <w:rPr>
                <w:noProof/>
                <w:webHidden/>
              </w:rPr>
              <w:fldChar w:fldCharType="end"/>
            </w:r>
          </w:hyperlink>
        </w:p>
        <w:p w14:paraId="77B7258E" w14:textId="789FD181" w:rsidR="004B6816" w:rsidRDefault="0034122C">
          <w:pPr>
            <w:pStyle w:val="TOC2"/>
            <w:tabs>
              <w:tab w:val="left" w:pos="880"/>
              <w:tab w:val="right" w:leader="dot" w:pos="9350"/>
            </w:tabs>
            <w:rPr>
              <w:noProof/>
            </w:rPr>
          </w:pPr>
          <w:hyperlink w:anchor="_Toc95501626" w:history="1">
            <w:r w:rsidR="004B6816" w:rsidRPr="007D5ED9">
              <w:rPr>
                <w:rStyle w:val="Hyperlink"/>
                <w:rFonts w:cstheme="minorHAnsi"/>
                <w:noProof/>
                <w:lang w:bidi="ar-SA"/>
              </w:rPr>
              <w:t>2.3</w:t>
            </w:r>
            <w:r w:rsidR="004B6816">
              <w:rPr>
                <w:noProof/>
              </w:rPr>
              <w:tab/>
            </w:r>
            <w:r w:rsidR="004B6816" w:rsidRPr="007D5ED9">
              <w:rPr>
                <w:rStyle w:val="Hyperlink"/>
                <w:rFonts w:cstheme="minorHAnsi"/>
                <w:noProof/>
                <w:lang w:bidi="ar-SA"/>
              </w:rPr>
              <w:t>Localization Requirements</w:t>
            </w:r>
            <w:r w:rsidR="004B6816">
              <w:rPr>
                <w:noProof/>
                <w:webHidden/>
              </w:rPr>
              <w:tab/>
            </w:r>
            <w:r w:rsidR="004B6816">
              <w:rPr>
                <w:noProof/>
                <w:webHidden/>
              </w:rPr>
              <w:fldChar w:fldCharType="begin"/>
            </w:r>
            <w:r w:rsidR="004B6816">
              <w:rPr>
                <w:noProof/>
                <w:webHidden/>
              </w:rPr>
              <w:instrText xml:space="preserve"> PAGEREF _Toc95501626 \h </w:instrText>
            </w:r>
            <w:r w:rsidR="004B6816">
              <w:rPr>
                <w:noProof/>
                <w:webHidden/>
              </w:rPr>
            </w:r>
            <w:r w:rsidR="004B6816">
              <w:rPr>
                <w:noProof/>
                <w:webHidden/>
              </w:rPr>
              <w:fldChar w:fldCharType="separate"/>
            </w:r>
            <w:r w:rsidR="00B52D9D">
              <w:rPr>
                <w:noProof/>
                <w:webHidden/>
              </w:rPr>
              <w:t>5</w:t>
            </w:r>
            <w:r w:rsidR="004B6816">
              <w:rPr>
                <w:noProof/>
                <w:webHidden/>
              </w:rPr>
              <w:fldChar w:fldCharType="end"/>
            </w:r>
          </w:hyperlink>
        </w:p>
        <w:p w14:paraId="4828BBC9" w14:textId="617137BC" w:rsidR="004B6816" w:rsidRDefault="0034122C">
          <w:pPr>
            <w:pStyle w:val="TOC2"/>
            <w:tabs>
              <w:tab w:val="left" w:pos="880"/>
              <w:tab w:val="right" w:leader="dot" w:pos="9350"/>
            </w:tabs>
            <w:rPr>
              <w:noProof/>
            </w:rPr>
          </w:pPr>
          <w:hyperlink w:anchor="_Toc95501627" w:history="1">
            <w:r w:rsidR="004B6816" w:rsidRPr="007D5ED9">
              <w:rPr>
                <w:rStyle w:val="Hyperlink"/>
                <w:rFonts w:cstheme="minorHAnsi"/>
                <w:noProof/>
                <w:lang w:bidi="ar-SA"/>
              </w:rPr>
              <w:t>2.4</w:t>
            </w:r>
            <w:r w:rsidR="004B6816">
              <w:rPr>
                <w:noProof/>
              </w:rPr>
              <w:tab/>
            </w:r>
            <w:r w:rsidR="004B6816" w:rsidRPr="007D5ED9">
              <w:rPr>
                <w:rStyle w:val="Hyperlink"/>
                <w:rFonts w:cstheme="minorHAnsi"/>
                <w:noProof/>
                <w:lang w:bidi="ar-SA"/>
              </w:rPr>
              <w:t>Branding and Imagery</w:t>
            </w:r>
            <w:r w:rsidR="004B6816">
              <w:rPr>
                <w:noProof/>
                <w:webHidden/>
              </w:rPr>
              <w:tab/>
            </w:r>
            <w:r w:rsidR="004B6816">
              <w:rPr>
                <w:noProof/>
                <w:webHidden/>
              </w:rPr>
              <w:fldChar w:fldCharType="begin"/>
            </w:r>
            <w:r w:rsidR="004B6816">
              <w:rPr>
                <w:noProof/>
                <w:webHidden/>
              </w:rPr>
              <w:instrText xml:space="preserve"> PAGEREF _Toc95501627 \h </w:instrText>
            </w:r>
            <w:r w:rsidR="004B6816">
              <w:rPr>
                <w:noProof/>
                <w:webHidden/>
              </w:rPr>
            </w:r>
            <w:r w:rsidR="004B6816">
              <w:rPr>
                <w:noProof/>
                <w:webHidden/>
              </w:rPr>
              <w:fldChar w:fldCharType="separate"/>
            </w:r>
            <w:r w:rsidR="00B52D9D">
              <w:rPr>
                <w:noProof/>
                <w:webHidden/>
              </w:rPr>
              <w:t>5</w:t>
            </w:r>
            <w:r w:rsidR="004B6816">
              <w:rPr>
                <w:noProof/>
                <w:webHidden/>
              </w:rPr>
              <w:fldChar w:fldCharType="end"/>
            </w:r>
          </w:hyperlink>
        </w:p>
        <w:p w14:paraId="5DB8E9F4" w14:textId="33C925F2" w:rsidR="004B6816" w:rsidRDefault="0034122C">
          <w:pPr>
            <w:pStyle w:val="TOC2"/>
            <w:tabs>
              <w:tab w:val="left" w:pos="880"/>
              <w:tab w:val="right" w:leader="dot" w:pos="9350"/>
            </w:tabs>
            <w:rPr>
              <w:noProof/>
            </w:rPr>
          </w:pPr>
          <w:hyperlink w:anchor="_Toc95501628" w:history="1">
            <w:r w:rsidR="004B6816" w:rsidRPr="007D5ED9">
              <w:rPr>
                <w:rStyle w:val="Hyperlink"/>
                <w:rFonts w:cstheme="minorHAnsi"/>
                <w:noProof/>
                <w:lang w:bidi="ar-SA"/>
              </w:rPr>
              <w:t>2.5</w:t>
            </w:r>
            <w:r w:rsidR="004B6816">
              <w:rPr>
                <w:noProof/>
              </w:rPr>
              <w:tab/>
            </w:r>
            <w:r w:rsidR="004B6816" w:rsidRPr="007D5ED9">
              <w:rPr>
                <w:rStyle w:val="Hyperlink"/>
                <w:rFonts w:cstheme="minorHAnsi"/>
                <w:noProof/>
                <w:lang w:bidi="ar-SA"/>
              </w:rPr>
              <w:t>Training</w:t>
            </w:r>
            <w:r w:rsidR="004B6816">
              <w:rPr>
                <w:noProof/>
                <w:webHidden/>
              </w:rPr>
              <w:tab/>
            </w:r>
            <w:r w:rsidR="004B6816">
              <w:rPr>
                <w:noProof/>
                <w:webHidden/>
              </w:rPr>
              <w:fldChar w:fldCharType="begin"/>
            </w:r>
            <w:r w:rsidR="004B6816">
              <w:rPr>
                <w:noProof/>
                <w:webHidden/>
              </w:rPr>
              <w:instrText xml:space="preserve"> PAGEREF _Toc95501628 \h </w:instrText>
            </w:r>
            <w:r w:rsidR="004B6816">
              <w:rPr>
                <w:noProof/>
                <w:webHidden/>
              </w:rPr>
            </w:r>
            <w:r w:rsidR="004B6816">
              <w:rPr>
                <w:noProof/>
                <w:webHidden/>
              </w:rPr>
              <w:fldChar w:fldCharType="separate"/>
            </w:r>
            <w:r w:rsidR="00B52D9D">
              <w:rPr>
                <w:noProof/>
                <w:webHidden/>
              </w:rPr>
              <w:t>6</w:t>
            </w:r>
            <w:r w:rsidR="004B6816">
              <w:rPr>
                <w:noProof/>
                <w:webHidden/>
              </w:rPr>
              <w:fldChar w:fldCharType="end"/>
            </w:r>
          </w:hyperlink>
        </w:p>
        <w:p w14:paraId="19F430FA" w14:textId="06192722" w:rsidR="004B6816" w:rsidRDefault="0034122C">
          <w:pPr>
            <w:pStyle w:val="TOC1"/>
            <w:tabs>
              <w:tab w:val="left" w:pos="440"/>
              <w:tab w:val="right" w:leader="dot" w:pos="9350"/>
            </w:tabs>
            <w:rPr>
              <w:noProof/>
            </w:rPr>
          </w:pPr>
          <w:hyperlink w:anchor="_Toc95501629" w:history="1">
            <w:r w:rsidR="004B6816" w:rsidRPr="007D5ED9">
              <w:rPr>
                <w:rStyle w:val="Hyperlink"/>
                <w:noProof/>
                <w:lang w:bidi="ar-SA"/>
              </w:rPr>
              <w:t>3</w:t>
            </w:r>
            <w:r w:rsidR="004B6816">
              <w:rPr>
                <w:noProof/>
              </w:rPr>
              <w:tab/>
            </w:r>
            <w:r w:rsidR="004B6816" w:rsidRPr="007D5ED9">
              <w:rPr>
                <w:rStyle w:val="Hyperlink"/>
                <w:noProof/>
                <w:lang w:bidi="ar-SA"/>
              </w:rPr>
              <w:t>Metrics</w:t>
            </w:r>
            <w:r w:rsidR="004B6816">
              <w:rPr>
                <w:noProof/>
                <w:webHidden/>
              </w:rPr>
              <w:tab/>
            </w:r>
            <w:r w:rsidR="004B6816">
              <w:rPr>
                <w:noProof/>
                <w:webHidden/>
              </w:rPr>
              <w:fldChar w:fldCharType="begin"/>
            </w:r>
            <w:r w:rsidR="004B6816">
              <w:rPr>
                <w:noProof/>
                <w:webHidden/>
              </w:rPr>
              <w:instrText xml:space="preserve"> PAGEREF _Toc95501629 \h </w:instrText>
            </w:r>
            <w:r w:rsidR="004B6816">
              <w:rPr>
                <w:noProof/>
                <w:webHidden/>
              </w:rPr>
            </w:r>
            <w:r w:rsidR="004B6816">
              <w:rPr>
                <w:noProof/>
                <w:webHidden/>
              </w:rPr>
              <w:fldChar w:fldCharType="separate"/>
            </w:r>
            <w:r w:rsidR="00B52D9D">
              <w:rPr>
                <w:noProof/>
                <w:webHidden/>
              </w:rPr>
              <w:t>7</w:t>
            </w:r>
            <w:r w:rsidR="004B6816">
              <w:rPr>
                <w:noProof/>
                <w:webHidden/>
              </w:rPr>
              <w:fldChar w:fldCharType="end"/>
            </w:r>
          </w:hyperlink>
        </w:p>
        <w:p w14:paraId="4807998C" w14:textId="07366CE0" w:rsidR="004B6816" w:rsidRDefault="0034122C">
          <w:pPr>
            <w:pStyle w:val="TOC2"/>
            <w:tabs>
              <w:tab w:val="left" w:pos="880"/>
              <w:tab w:val="right" w:leader="dot" w:pos="9350"/>
            </w:tabs>
            <w:rPr>
              <w:noProof/>
            </w:rPr>
          </w:pPr>
          <w:hyperlink w:anchor="_Toc95501630" w:history="1">
            <w:r w:rsidR="004B6816" w:rsidRPr="007D5ED9">
              <w:rPr>
                <w:rStyle w:val="Hyperlink"/>
                <w:rFonts w:cstheme="minorHAnsi"/>
                <w:noProof/>
                <w:lang w:bidi="ar-SA"/>
              </w:rPr>
              <w:t>3.1</w:t>
            </w:r>
            <w:r w:rsidR="004B6816">
              <w:rPr>
                <w:noProof/>
              </w:rPr>
              <w:tab/>
            </w:r>
            <w:r w:rsidR="004B6816" w:rsidRPr="007D5ED9">
              <w:rPr>
                <w:rStyle w:val="Hyperlink"/>
                <w:rFonts w:cstheme="minorHAnsi"/>
                <w:noProof/>
                <w:lang w:bidi="ar-SA"/>
              </w:rPr>
              <w:t>Impact Metrics</w:t>
            </w:r>
            <w:r w:rsidR="004B6816">
              <w:rPr>
                <w:noProof/>
                <w:webHidden/>
              </w:rPr>
              <w:tab/>
            </w:r>
            <w:r w:rsidR="004B6816">
              <w:rPr>
                <w:noProof/>
                <w:webHidden/>
              </w:rPr>
              <w:fldChar w:fldCharType="begin"/>
            </w:r>
            <w:r w:rsidR="004B6816">
              <w:rPr>
                <w:noProof/>
                <w:webHidden/>
              </w:rPr>
              <w:instrText xml:space="preserve"> PAGEREF _Toc95501630 \h </w:instrText>
            </w:r>
            <w:r w:rsidR="004B6816">
              <w:rPr>
                <w:noProof/>
                <w:webHidden/>
              </w:rPr>
            </w:r>
            <w:r w:rsidR="004B6816">
              <w:rPr>
                <w:noProof/>
                <w:webHidden/>
              </w:rPr>
              <w:fldChar w:fldCharType="separate"/>
            </w:r>
            <w:r w:rsidR="00B52D9D">
              <w:rPr>
                <w:noProof/>
                <w:webHidden/>
              </w:rPr>
              <w:t>7</w:t>
            </w:r>
            <w:r w:rsidR="004B6816">
              <w:rPr>
                <w:noProof/>
                <w:webHidden/>
              </w:rPr>
              <w:fldChar w:fldCharType="end"/>
            </w:r>
          </w:hyperlink>
        </w:p>
        <w:p w14:paraId="669A6893" w14:textId="44FB17D3" w:rsidR="004B6816" w:rsidRDefault="0034122C">
          <w:pPr>
            <w:pStyle w:val="TOC1"/>
            <w:tabs>
              <w:tab w:val="left" w:pos="440"/>
              <w:tab w:val="right" w:leader="dot" w:pos="9350"/>
            </w:tabs>
            <w:rPr>
              <w:noProof/>
            </w:rPr>
          </w:pPr>
          <w:hyperlink w:anchor="_Toc95501631" w:history="1">
            <w:r w:rsidR="004B6816" w:rsidRPr="007D5ED9">
              <w:rPr>
                <w:rStyle w:val="Hyperlink"/>
                <w:noProof/>
                <w:lang w:bidi="ar-SA"/>
              </w:rPr>
              <w:t>4</w:t>
            </w:r>
            <w:r w:rsidR="004B6816">
              <w:rPr>
                <w:noProof/>
              </w:rPr>
              <w:tab/>
            </w:r>
            <w:r w:rsidR="004B6816" w:rsidRPr="007D5ED9">
              <w:rPr>
                <w:rStyle w:val="Hyperlink"/>
                <w:noProof/>
                <w:lang w:bidi="ar-SA"/>
              </w:rPr>
              <w:t>Appendix A: Medical Device Security Topic and Operating Unit Department Matrix</w:t>
            </w:r>
            <w:r w:rsidR="004B6816">
              <w:rPr>
                <w:noProof/>
                <w:webHidden/>
              </w:rPr>
              <w:tab/>
            </w:r>
            <w:r w:rsidR="004B6816">
              <w:rPr>
                <w:noProof/>
                <w:webHidden/>
              </w:rPr>
              <w:fldChar w:fldCharType="begin"/>
            </w:r>
            <w:r w:rsidR="004B6816">
              <w:rPr>
                <w:noProof/>
                <w:webHidden/>
              </w:rPr>
              <w:instrText xml:space="preserve"> PAGEREF _Toc95501631 \h </w:instrText>
            </w:r>
            <w:r w:rsidR="004B6816">
              <w:rPr>
                <w:noProof/>
                <w:webHidden/>
              </w:rPr>
            </w:r>
            <w:r w:rsidR="004B6816">
              <w:rPr>
                <w:noProof/>
                <w:webHidden/>
              </w:rPr>
              <w:fldChar w:fldCharType="separate"/>
            </w:r>
            <w:r w:rsidR="00B52D9D">
              <w:rPr>
                <w:noProof/>
                <w:webHidden/>
              </w:rPr>
              <w:t>8</w:t>
            </w:r>
            <w:r w:rsidR="004B6816">
              <w:rPr>
                <w:noProof/>
                <w:webHidden/>
              </w:rPr>
              <w:fldChar w:fldCharType="end"/>
            </w:r>
          </w:hyperlink>
        </w:p>
        <w:p w14:paraId="4CAAABA3" w14:textId="450F47C4" w:rsidR="004B6816" w:rsidRDefault="0034122C">
          <w:pPr>
            <w:pStyle w:val="TOC1"/>
            <w:tabs>
              <w:tab w:val="left" w:pos="440"/>
              <w:tab w:val="right" w:leader="dot" w:pos="9350"/>
            </w:tabs>
            <w:rPr>
              <w:noProof/>
            </w:rPr>
          </w:pPr>
          <w:hyperlink w:anchor="_Toc95501632" w:history="1">
            <w:r w:rsidR="004B6816" w:rsidRPr="007D5ED9">
              <w:rPr>
                <w:rStyle w:val="Hyperlink"/>
                <w:noProof/>
                <w:lang w:bidi="ar-SA"/>
              </w:rPr>
              <w:t>5</w:t>
            </w:r>
            <w:r w:rsidR="004B6816">
              <w:rPr>
                <w:noProof/>
              </w:rPr>
              <w:tab/>
            </w:r>
            <w:r w:rsidR="004B6816" w:rsidRPr="007D5ED9">
              <w:rPr>
                <w:rStyle w:val="Hyperlink"/>
                <w:noProof/>
                <w:lang w:bidi="ar-SA"/>
              </w:rPr>
              <w:t>Appendix B: Learning Objectives</w:t>
            </w:r>
            <w:r w:rsidR="004B6816">
              <w:rPr>
                <w:noProof/>
                <w:webHidden/>
              </w:rPr>
              <w:tab/>
            </w:r>
            <w:r w:rsidR="004B6816">
              <w:rPr>
                <w:noProof/>
                <w:webHidden/>
              </w:rPr>
              <w:fldChar w:fldCharType="begin"/>
            </w:r>
            <w:r w:rsidR="004B6816">
              <w:rPr>
                <w:noProof/>
                <w:webHidden/>
              </w:rPr>
              <w:instrText xml:space="preserve"> PAGEREF _Toc95501632 \h </w:instrText>
            </w:r>
            <w:r w:rsidR="004B6816">
              <w:rPr>
                <w:noProof/>
                <w:webHidden/>
              </w:rPr>
            </w:r>
            <w:r w:rsidR="004B6816">
              <w:rPr>
                <w:noProof/>
                <w:webHidden/>
              </w:rPr>
              <w:fldChar w:fldCharType="separate"/>
            </w:r>
            <w:r w:rsidR="00B52D9D">
              <w:rPr>
                <w:noProof/>
                <w:webHidden/>
              </w:rPr>
              <w:t>8</w:t>
            </w:r>
            <w:r w:rsidR="004B6816">
              <w:rPr>
                <w:noProof/>
                <w:webHidden/>
              </w:rPr>
              <w:fldChar w:fldCharType="end"/>
            </w:r>
          </w:hyperlink>
        </w:p>
        <w:p w14:paraId="4A877D0E" w14:textId="3795680C" w:rsidR="004B6816" w:rsidRDefault="0034122C">
          <w:pPr>
            <w:pStyle w:val="TOC2"/>
            <w:tabs>
              <w:tab w:val="left" w:pos="880"/>
              <w:tab w:val="right" w:leader="dot" w:pos="9350"/>
            </w:tabs>
            <w:rPr>
              <w:noProof/>
            </w:rPr>
          </w:pPr>
          <w:hyperlink w:anchor="_Toc95501633" w:history="1">
            <w:r w:rsidR="004B6816" w:rsidRPr="007D5ED9">
              <w:rPr>
                <w:rStyle w:val="Hyperlink"/>
                <w:rFonts w:cstheme="minorHAnsi"/>
                <w:noProof/>
                <w:lang w:bidi="ar-SA"/>
              </w:rPr>
              <w:t>5.1</w:t>
            </w:r>
            <w:r w:rsidR="004B6816">
              <w:rPr>
                <w:noProof/>
              </w:rPr>
              <w:tab/>
            </w:r>
            <w:r w:rsidR="004B6816" w:rsidRPr="007D5ED9">
              <w:rPr>
                <w:rStyle w:val="Hyperlink"/>
                <w:rFonts w:cstheme="minorHAnsi"/>
                <w:noProof/>
                <w:lang w:bidi="ar-SA"/>
              </w:rPr>
              <w:t>Risk</w:t>
            </w:r>
            <w:r w:rsidR="004B6816">
              <w:rPr>
                <w:noProof/>
                <w:webHidden/>
              </w:rPr>
              <w:tab/>
            </w:r>
            <w:r w:rsidR="004B6816">
              <w:rPr>
                <w:noProof/>
                <w:webHidden/>
              </w:rPr>
              <w:fldChar w:fldCharType="begin"/>
            </w:r>
            <w:r w:rsidR="004B6816">
              <w:rPr>
                <w:noProof/>
                <w:webHidden/>
              </w:rPr>
              <w:instrText xml:space="preserve"> PAGEREF _Toc95501633 \h </w:instrText>
            </w:r>
            <w:r w:rsidR="004B6816">
              <w:rPr>
                <w:noProof/>
                <w:webHidden/>
              </w:rPr>
            </w:r>
            <w:r w:rsidR="004B6816">
              <w:rPr>
                <w:noProof/>
                <w:webHidden/>
              </w:rPr>
              <w:fldChar w:fldCharType="separate"/>
            </w:r>
            <w:r w:rsidR="00B52D9D">
              <w:rPr>
                <w:noProof/>
                <w:webHidden/>
              </w:rPr>
              <w:t>8</w:t>
            </w:r>
            <w:r w:rsidR="004B6816">
              <w:rPr>
                <w:noProof/>
                <w:webHidden/>
              </w:rPr>
              <w:fldChar w:fldCharType="end"/>
            </w:r>
          </w:hyperlink>
        </w:p>
        <w:p w14:paraId="4AD5710E" w14:textId="260A6D3C" w:rsidR="004B6816" w:rsidRDefault="0034122C">
          <w:pPr>
            <w:pStyle w:val="TOC2"/>
            <w:tabs>
              <w:tab w:val="left" w:pos="880"/>
              <w:tab w:val="right" w:leader="dot" w:pos="9350"/>
            </w:tabs>
            <w:rPr>
              <w:noProof/>
            </w:rPr>
          </w:pPr>
          <w:hyperlink w:anchor="_Toc95501634" w:history="1">
            <w:r w:rsidR="004B6816" w:rsidRPr="007D5ED9">
              <w:rPr>
                <w:rStyle w:val="Hyperlink"/>
                <w:rFonts w:cstheme="minorHAnsi"/>
                <w:noProof/>
                <w:lang w:bidi="ar-SA"/>
              </w:rPr>
              <w:t>5.2</w:t>
            </w:r>
            <w:r w:rsidR="004B6816">
              <w:rPr>
                <w:noProof/>
              </w:rPr>
              <w:tab/>
            </w:r>
            <w:r w:rsidR="004B6816" w:rsidRPr="007D5ED9">
              <w:rPr>
                <w:rStyle w:val="Hyperlink"/>
                <w:rFonts w:cstheme="minorHAnsi"/>
                <w:noProof/>
                <w:lang w:bidi="ar-SA"/>
              </w:rPr>
              <w:t>Goal</w:t>
            </w:r>
            <w:r w:rsidR="004B6816">
              <w:rPr>
                <w:noProof/>
                <w:webHidden/>
              </w:rPr>
              <w:tab/>
            </w:r>
            <w:r w:rsidR="004B6816">
              <w:rPr>
                <w:noProof/>
                <w:webHidden/>
              </w:rPr>
              <w:fldChar w:fldCharType="begin"/>
            </w:r>
            <w:r w:rsidR="004B6816">
              <w:rPr>
                <w:noProof/>
                <w:webHidden/>
              </w:rPr>
              <w:instrText xml:space="preserve"> PAGEREF _Toc95501634 \h </w:instrText>
            </w:r>
            <w:r w:rsidR="004B6816">
              <w:rPr>
                <w:noProof/>
                <w:webHidden/>
              </w:rPr>
            </w:r>
            <w:r w:rsidR="004B6816">
              <w:rPr>
                <w:noProof/>
                <w:webHidden/>
              </w:rPr>
              <w:fldChar w:fldCharType="separate"/>
            </w:r>
            <w:r w:rsidR="00B52D9D">
              <w:rPr>
                <w:noProof/>
                <w:webHidden/>
              </w:rPr>
              <w:t>9</w:t>
            </w:r>
            <w:r w:rsidR="004B6816">
              <w:rPr>
                <w:noProof/>
                <w:webHidden/>
              </w:rPr>
              <w:fldChar w:fldCharType="end"/>
            </w:r>
          </w:hyperlink>
        </w:p>
        <w:p w14:paraId="795F004C" w14:textId="12CC78B8" w:rsidR="004B6816" w:rsidRDefault="0034122C">
          <w:pPr>
            <w:pStyle w:val="TOC2"/>
            <w:tabs>
              <w:tab w:val="left" w:pos="880"/>
              <w:tab w:val="right" w:leader="dot" w:pos="9350"/>
            </w:tabs>
            <w:rPr>
              <w:noProof/>
            </w:rPr>
          </w:pPr>
          <w:hyperlink w:anchor="_Toc95501635" w:history="1">
            <w:r w:rsidR="004B6816" w:rsidRPr="007D5ED9">
              <w:rPr>
                <w:rStyle w:val="Hyperlink"/>
                <w:rFonts w:cstheme="minorHAnsi"/>
                <w:noProof/>
                <w:lang w:bidi="ar-SA"/>
              </w:rPr>
              <w:t>5.3</w:t>
            </w:r>
            <w:r w:rsidR="004B6816">
              <w:rPr>
                <w:noProof/>
              </w:rPr>
              <w:tab/>
            </w:r>
            <w:r w:rsidR="004B6816" w:rsidRPr="007D5ED9">
              <w:rPr>
                <w:rStyle w:val="Hyperlink"/>
                <w:rFonts w:cstheme="minorHAnsi"/>
                <w:noProof/>
                <w:lang w:bidi="ar-SA"/>
              </w:rPr>
              <w:t>Background</w:t>
            </w:r>
            <w:r w:rsidR="004B6816">
              <w:rPr>
                <w:noProof/>
                <w:webHidden/>
              </w:rPr>
              <w:tab/>
            </w:r>
            <w:r w:rsidR="004B6816">
              <w:rPr>
                <w:noProof/>
                <w:webHidden/>
              </w:rPr>
              <w:fldChar w:fldCharType="begin"/>
            </w:r>
            <w:r w:rsidR="004B6816">
              <w:rPr>
                <w:noProof/>
                <w:webHidden/>
              </w:rPr>
              <w:instrText xml:space="preserve"> PAGEREF _Toc95501635 \h </w:instrText>
            </w:r>
            <w:r w:rsidR="004B6816">
              <w:rPr>
                <w:noProof/>
                <w:webHidden/>
              </w:rPr>
            </w:r>
            <w:r w:rsidR="004B6816">
              <w:rPr>
                <w:noProof/>
                <w:webHidden/>
              </w:rPr>
              <w:fldChar w:fldCharType="separate"/>
            </w:r>
            <w:r w:rsidR="00B52D9D">
              <w:rPr>
                <w:noProof/>
                <w:webHidden/>
              </w:rPr>
              <w:t>9</w:t>
            </w:r>
            <w:r w:rsidR="004B6816">
              <w:rPr>
                <w:noProof/>
                <w:webHidden/>
              </w:rPr>
              <w:fldChar w:fldCharType="end"/>
            </w:r>
          </w:hyperlink>
        </w:p>
        <w:p w14:paraId="4C9B581F" w14:textId="3326B71E" w:rsidR="004B6816" w:rsidRDefault="0034122C">
          <w:pPr>
            <w:pStyle w:val="TOC2"/>
            <w:tabs>
              <w:tab w:val="left" w:pos="880"/>
              <w:tab w:val="right" w:leader="dot" w:pos="9350"/>
            </w:tabs>
            <w:rPr>
              <w:noProof/>
            </w:rPr>
          </w:pPr>
          <w:hyperlink w:anchor="_Toc95501636" w:history="1">
            <w:r w:rsidR="004B6816" w:rsidRPr="007D5ED9">
              <w:rPr>
                <w:rStyle w:val="Hyperlink"/>
                <w:rFonts w:cstheme="minorHAnsi"/>
                <w:noProof/>
                <w:lang w:bidi="ar-SA"/>
              </w:rPr>
              <w:t>5.4</w:t>
            </w:r>
            <w:r w:rsidR="004B6816">
              <w:rPr>
                <w:noProof/>
              </w:rPr>
              <w:tab/>
            </w:r>
            <w:r w:rsidR="004B6816" w:rsidRPr="007D5ED9">
              <w:rPr>
                <w:rStyle w:val="Hyperlink"/>
                <w:rFonts w:cstheme="minorHAnsi"/>
                <w:noProof/>
                <w:lang w:bidi="ar-SA"/>
              </w:rPr>
              <w:t>Learning Objectives</w:t>
            </w:r>
            <w:r w:rsidR="004B6816">
              <w:rPr>
                <w:noProof/>
                <w:webHidden/>
              </w:rPr>
              <w:tab/>
            </w:r>
            <w:r w:rsidR="004B6816">
              <w:rPr>
                <w:noProof/>
                <w:webHidden/>
              </w:rPr>
              <w:fldChar w:fldCharType="begin"/>
            </w:r>
            <w:r w:rsidR="004B6816">
              <w:rPr>
                <w:noProof/>
                <w:webHidden/>
              </w:rPr>
              <w:instrText xml:space="preserve"> PAGEREF _Toc95501636 \h </w:instrText>
            </w:r>
            <w:r w:rsidR="004B6816">
              <w:rPr>
                <w:noProof/>
                <w:webHidden/>
              </w:rPr>
            </w:r>
            <w:r w:rsidR="004B6816">
              <w:rPr>
                <w:noProof/>
                <w:webHidden/>
              </w:rPr>
              <w:fldChar w:fldCharType="separate"/>
            </w:r>
            <w:r w:rsidR="00B52D9D">
              <w:rPr>
                <w:noProof/>
                <w:webHidden/>
              </w:rPr>
              <w:t>9</w:t>
            </w:r>
            <w:r w:rsidR="004B6816">
              <w:rPr>
                <w:noProof/>
                <w:webHidden/>
              </w:rPr>
              <w:fldChar w:fldCharType="end"/>
            </w:r>
          </w:hyperlink>
        </w:p>
        <w:p w14:paraId="5560699F" w14:textId="7E90887B" w:rsidR="00773DE3" w:rsidRDefault="00773DE3">
          <w:r>
            <w:rPr>
              <w:b/>
              <w:bCs/>
              <w:noProof/>
            </w:rPr>
            <w:fldChar w:fldCharType="end"/>
          </w:r>
        </w:p>
      </w:sdtContent>
    </w:sdt>
    <w:p w14:paraId="0A25A23B" w14:textId="60CD57B8" w:rsidR="00773DE3" w:rsidRDefault="00773DE3"/>
    <w:p w14:paraId="1CA86CB4" w14:textId="55F932A2" w:rsidR="007D0586" w:rsidRPr="00E37036" w:rsidRDefault="00773DE3" w:rsidP="00B827FD">
      <w:pPr>
        <w:pStyle w:val="Heading1"/>
      </w:pPr>
      <w:r>
        <w:br w:type="page"/>
      </w:r>
      <w:bookmarkStart w:id="1" w:name="_Toc95501622"/>
      <w:r w:rsidR="007D0586">
        <w:lastRenderedPageBreak/>
        <w:t>Executive Summary</w:t>
      </w:r>
      <w:bookmarkEnd w:id="1"/>
    </w:p>
    <w:p w14:paraId="53526314" w14:textId="672445E9" w:rsidR="007D0586" w:rsidRDefault="009F0EB1" w:rsidP="5E5655BD">
      <w:pPr>
        <w:spacing w:after="0" w:line="240" w:lineRule="auto"/>
        <w:rPr>
          <w:sz w:val="24"/>
          <w:szCs w:val="24"/>
        </w:rPr>
      </w:pPr>
      <w:r w:rsidRPr="5E5655BD">
        <w:rPr>
          <w:sz w:val="24"/>
          <w:szCs w:val="24"/>
        </w:rPr>
        <w:t xml:space="preserve">The first tenant of our </w:t>
      </w:r>
      <w:r w:rsidR="00F94C6F" w:rsidRPr="5E5655BD">
        <w:rPr>
          <w:sz w:val="24"/>
          <w:szCs w:val="24"/>
        </w:rPr>
        <w:t>m</w:t>
      </w:r>
      <w:r w:rsidRPr="5E5655BD">
        <w:rPr>
          <w:sz w:val="24"/>
          <w:szCs w:val="24"/>
        </w:rPr>
        <w:t>ission is to “extend the life of all patients</w:t>
      </w:r>
      <w:r w:rsidR="0059081B" w:rsidRPr="5E5655BD">
        <w:rPr>
          <w:sz w:val="24"/>
          <w:szCs w:val="24"/>
        </w:rPr>
        <w:t>.</w:t>
      </w:r>
      <w:r w:rsidRPr="5E5655BD">
        <w:rPr>
          <w:sz w:val="24"/>
          <w:szCs w:val="24"/>
        </w:rPr>
        <w:t xml:space="preserve">”  This has guided our company since 1961.  As our company and the devices </w:t>
      </w:r>
      <w:r w:rsidR="00E15AEF" w:rsidRPr="5E5655BD">
        <w:rPr>
          <w:sz w:val="24"/>
          <w:szCs w:val="24"/>
        </w:rPr>
        <w:t xml:space="preserve">that </w:t>
      </w:r>
      <w:r w:rsidRPr="5E5655BD">
        <w:rPr>
          <w:sz w:val="24"/>
          <w:szCs w:val="24"/>
        </w:rPr>
        <w:t xml:space="preserve">we engineer have grown more complex over the last 6 decades, we have never changed this or any other tenant of our </w:t>
      </w:r>
      <w:r w:rsidR="0059081B" w:rsidRPr="5E5655BD">
        <w:rPr>
          <w:sz w:val="24"/>
          <w:szCs w:val="24"/>
        </w:rPr>
        <w:t>m</w:t>
      </w:r>
      <w:r w:rsidRPr="5E5655BD">
        <w:rPr>
          <w:sz w:val="24"/>
          <w:szCs w:val="24"/>
        </w:rPr>
        <w:t xml:space="preserve">ission </w:t>
      </w:r>
      <w:r w:rsidR="0059081B" w:rsidRPr="5E5655BD">
        <w:rPr>
          <w:sz w:val="24"/>
          <w:szCs w:val="24"/>
        </w:rPr>
        <w:t>s</w:t>
      </w:r>
      <w:r w:rsidRPr="5E5655BD">
        <w:rPr>
          <w:sz w:val="24"/>
          <w:szCs w:val="24"/>
        </w:rPr>
        <w:t xml:space="preserve">tatement.  However, as the world and </w:t>
      </w:r>
      <w:r w:rsidR="00E15AEF" w:rsidRPr="5E5655BD">
        <w:rPr>
          <w:sz w:val="24"/>
          <w:szCs w:val="24"/>
        </w:rPr>
        <w:t xml:space="preserve">our </w:t>
      </w:r>
      <w:r w:rsidRPr="5E5655BD">
        <w:rPr>
          <w:sz w:val="24"/>
          <w:szCs w:val="24"/>
        </w:rPr>
        <w:t xml:space="preserve">industry have changed, we have adapted how we carry out these tenants of our </w:t>
      </w:r>
      <w:r w:rsidR="0059081B" w:rsidRPr="5E5655BD">
        <w:rPr>
          <w:sz w:val="24"/>
          <w:szCs w:val="24"/>
        </w:rPr>
        <w:t>m</w:t>
      </w:r>
      <w:r w:rsidRPr="5E5655BD">
        <w:rPr>
          <w:sz w:val="24"/>
          <w:szCs w:val="24"/>
        </w:rPr>
        <w:t>ission to ensure we fulfill their original intent.</w:t>
      </w:r>
    </w:p>
    <w:p w14:paraId="22EBC28C" w14:textId="1B112032" w:rsidR="009F0EB1" w:rsidRDefault="009F0EB1" w:rsidP="009F0EB1">
      <w:pPr>
        <w:spacing w:after="0" w:line="240" w:lineRule="auto"/>
        <w:rPr>
          <w:rFonts w:cstheme="minorHAnsi"/>
          <w:sz w:val="24"/>
          <w:szCs w:val="24"/>
        </w:rPr>
      </w:pPr>
    </w:p>
    <w:p w14:paraId="7B0CDD53" w14:textId="7F21977D" w:rsidR="009F0EB1" w:rsidRDefault="009F0EB1" w:rsidP="5E5655BD">
      <w:pPr>
        <w:spacing w:after="0" w:line="240" w:lineRule="auto"/>
        <w:rPr>
          <w:sz w:val="24"/>
          <w:szCs w:val="24"/>
        </w:rPr>
      </w:pPr>
      <w:r w:rsidRPr="5E5655BD">
        <w:rPr>
          <w:sz w:val="24"/>
          <w:szCs w:val="24"/>
        </w:rPr>
        <w:t xml:space="preserve">Tenant 3 of our </w:t>
      </w:r>
      <w:r w:rsidR="0059081B" w:rsidRPr="5E5655BD">
        <w:rPr>
          <w:sz w:val="24"/>
          <w:szCs w:val="24"/>
        </w:rPr>
        <w:t>m</w:t>
      </w:r>
      <w:r w:rsidRPr="5E5655BD">
        <w:rPr>
          <w:sz w:val="24"/>
          <w:szCs w:val="24"/>
        </w:rPr>
        <w:t xml:space="preserve">ission requires us to “create the highest quality medical devices” and is central to supporting our first tenant.  </w:t>
      </w:r>
      <w:r w:rsidR="00CF2ACD" w:rsidRPr="5E5655BD">
        <w:rPr>
          <w:sz w:val="24"/>
          <w:szCs w:val="24"/>
        </w:rPr>
        <w:t xml:space="preserve">As our devices become more complex and more connected to fulfill the first tenant, we need to adapt how we ensure the greatest possible reliability and quality in our products as </w:t>
      </w:r>
      <w:r w:rsidR="0021509C" w:rsidRPr="5E5655BD">
        <w:rPr>
          <w:sz w:val="24"/>
          <w:szCs w:val="24"/>
        </w:rPr>
        <w:t xml:space="preserve">patient </w:t>
      </w:r>
      <w:r w:rsidR="00CF2ACD" w:rsidRPr="5E5655BD">
        <w:rPr>
          <w:sz w:val="24"/>
          <w:szCs w:val="24"/>
        </w:rPr>
        <w:t>safety risk isn’t the only risk that we need to be managing in the future.</w:t>
      </w:r>
    </w:p>
    <w:p w14:paraId="10A07B5A" w14:textId="77A8E7A3" w:rsidR="00CF2ACD" w:rsidRDefault="00CF2ACD" w:rsidP="009F0EB1">
      <w:pPr>
        <w:spacing w:after="0" w:line="240" w:lineRule="auto"/>
        <w:rPr>
          <w:rFonts w:cstheme="minorHAnsi"/>
          <w:sz w:val="24"/>
          <w:szCs w:val="24"/>
        </w:rPr>
      </w:pPr>
    </w:p>
    <w:p w14:paraId="25CB3E0B" w14:textId="18A61194" w:rsidR="00CF2ACD" w:rsidRDefault="00CF2ACD" w:rsidP="5E5655BD">
      <w:pPr>
        <w:spacing w:after="0" w:line="240" w:lineRule="auto"/>
        <w:rPr>
          <w:sz w:val="24"/>
          <w:szCs w:val="24"/>
        </w:rPr>
      </w:pPr>
      <w:r w:rsidRPr="5E5655BD">
        <w:rPr>
          <w:sz w:val="24"/>
          <w:szCs w:val="24"/>
        </w:rPr>
        <w:t>Security risks create safety risks for our patients.  Managing security risks in our products is fast becoming as critical as managing safety risks because of the increased use of technology within our devices.  Almost every medical device that was approved for Medical Marvels in calendar year 2021 had an embedded operating system and code running on that operating system that wasn’t developed at Medical Marvels.  Conversely, the number of security vulnerabilities found in operating systems and application-level components continues to increase year-over-year.  Our leveraging of software and firmware code created outside of Medical Marvels</w:t>
      </w:r>
      <w:r w:rsidR="5E5655BD" w:rsidRPr="5E5655BD">
        <w:rPr>
          <w:sz w:val="24"/>
          <w:szCs w:val="24"/>
        </w:rPr>
        <w:t xml:space="preserve"> </w:t>
      </w:r>
      <w:r w:rsidRPr="5E5655BD">
        <w:rPr>
          <w:sz w:val="24"/>
          <w:szCs w:val="24"/>
        </w:rPr>
        <w:t>has enabled greater growth and capabilities than in the past, but it also comes with significant security risks that we have yet to truly understand and manage.</w:t>
      </w:r>
    </w:p>
    <w:p w14:paraId="4B45ED57" w14:textId="54AEF793" w:rsidR="00CF2ACD" w:rsidRDefault="00CF2ACD" w:rsidP="009F0EB1">
      <w:pPr>
        <w:spacing w:after="0" w:line="240" w:lineRule="auto"/>
        <w:rPr>
          <w:rFonts w:cstheme="minorHAnsi"/>
          <w:sz w:val="24"/>
          <w:szCs w:val="24"/>
        </w:rPr>
      </w:pPr>
    </w:p>
    <w:p w14:paraId="575C9B7E" w14:textId="6749C554" w:rsidR="00CF2ACD" w:rsidRDefault="00CF2ACD" w:rsidP="5E5655BD">
      <w:pPr>
        <w:spacing w:after="0" w:line="240" w:lineRule="auto"/>
        <w:rPr>
          <w:sz w:val="24"/>
          <w:szCs w:val="24"/>
        </w:rPr>
      </w:pPr>
      <w:r w:rsidRPr="5E5655BD">
        <w:rPr>
          <w:sz w:val="24"/>
          <w:szCs w:val="24"/>
        </w:rPr>
        <w:t>Regulators are also holding us accountable.  Without their approval, the medical devices that we spend years engineering and get</w:t>
      </w:r>
      <w:r w:rsidR="00EF2E41" w:rsidRPr="5E5655BD">
        <w:rPr>
          <w:sz w:val="24"/>
          <w:szCs w:val="24"/>
        </w:rPr>
        <w:t>ting</w:t>
      </w:r>
      <w:r w:rsidRPr="5E5655BD">
        <w:rPr>
          <w:sz w:val="24"/>
          <w:szCs w:val="24"/>
        </w:rPr>
        <w:t xml:space="preserve"> ready for market can’t be sold.  They recognize the increased risk that technology-enabled medical devices bring to patients that use them.  As such, they have beg</w:t>
      </w:r>
      <w:r w:rsidR="000C7868" w:rsidRPr="5E5655BD">
        <w:rPr>
          <w:sz w:val="24"/>
          <w:szCs w:val="24"/>
        </w:rPr>
        <w:t>u</w:t>
      </w:r>
      <w:r w:rsidRPr="5E5655BD">
        <w:rPr>
          <w:sz w:val="24"/>
          <w:szCs w:val="24"/>
        </w:rPr>
        <w:t>n deny</w:t>
      </w:r>
      <w:r w:rsidR="000C7868" w:rsidRPr="5E5655BD">
        <w:rPr>
          <w:sz w:val="24"/>
          <w:szCs w:val="24"/>
        </w:rPr>
        <w:t>ing</w:t>
      </w:r>
      <w:r w:rsidRPr="5E5655BD">
        <w:rPr>
          <w:sz w:val="24"/>
          <w:szCs w:val="24"/>
        </w:rPr>
        <w:t xml:space="preserve"> Medical Marvels</w:t>
      </w:r>
      <w:r w:rsidR="5E5655BD" w:rsidRPr="5E5655BD">
        <w:rPr>
          <w:sz w:val="24"/>
          <w:szCs w:val="24"/>
        </w:rPr>
        <w:t xml:space="preserve"> </w:t>
      </w:r>
      <w:r w:rsidRPr="5E5655BD">
        <w:rPr>
          <w:sz w:val="24"/>
          <w:szCs w:val="24"/>
        </w:rPr>
        <w:t xml:space="preserve">submissions of new medical devices due to security concerns alone.  Without broad awareness of this topic across </w:t>
      </w:r>
      <w:r w:rsidR="003F7043" w:rsidRPr="5E5655BD">
        <w:rPr>
          <w:sz w:val="24"/>
          <w:szCs w:val="24"/>
        </w:rPr>
        <w:t xml:space="preserve">the company as well as focused training within Operating Units, the security risks in our devices will continue to </w:t>
      </w:r>
      <w:r w:rsidR="000C7868" w:rsidRPr="5E5655BD">
        <w:rPr>
          <w:sz w:val="24"/>
          <w:szCs w:val="24"/>
        </w:rPr>
        <w:t xml:space="preserve">be </w:t>
      </w:r>
      <w:r w:rsidR="003F7043" w:rsidRPr="5E5655BD">
        <w:rPr>
          <w:sz w:val="24"/>
          <w:szCs w:val="24"/>
        </w:rPr>
        <w:t>unmanaged creating safety risks for our patients and business risk for our company.</w:t>
      </w:r>
    </w:p>
    <w:p w14:paraId="2297DCAF" w14:textId="36F9E39E" w:rsidR="003F7043" w:rsidRDefault="003F7043" w:rsidP="00CF2ACD">
      <w:pPr>
        <w:spacing w:after="0" w:line="240" w:lineRule="auto"/>
        <w:rPr>
          <w:rFonts w:cstheme="minorHAnsi"/>
          <w:sz w:val="24"/>
          <w:szCs w:val="24"/>
        </w:rPr>
      </w:pPr>
    </w:p>
    <w:p w14:paraId="2B9DE729" w14:textId="4A90F5BE" w:rsidR="003F7043" w:rsidRDefault="003F7043" w:rsidP="5E5655BD">
      <w:pPr>
        <w:spacing w:after="0" w:line="240" w:lineRule="auto"/>
        <w:rPr>
          <w:sz w:val="24"/>
          <w:szCs w:val="24"/>
        </w:rPr>
      </w:pPr>
      <w:r w:rsidRPr="5E5655BD">
        <w:rPr>
          <w:sz w:val="24"/>
          <w:szCs w:val="24"/>
        </w:rPr>
        <w:t xml:space="preserve">A security awareness and training program is an organization-wide effort that enables us to effectively manage the security risks in our devices by changing our workforce’s behaviors through engagement and training. This program brings broad awareness to </w:t>
      </w:r>
      <w:proofErr w:type="gramStart"/>
      <w:r w:rsidR="00C35840" w:rsidRPr="5E5655BD">
        <w:rPr>
          <w:sz w:val="24"/>
          <w:szCs w:val="24"/>
        </w:rPr>
        <w:t>all of</w:t>
      </w:r>
      <w:proofErr w:type="gramEnd"/>
      <w:r w:rsidR="00C35840" w:rsidRPr="5E5655BD">
        <w:rPr>
          <w:sz w:val="24"/>
          <w:szCs w:val="24"/>
        </w:rPr>
        <w:t xml:space="preserve"> </w:t>
      </w:r>
      <w:r w:rsidR="00CF2ACD" w:rsidRPr="5E5655BD">
        <w:rPr>
          <w:sz w:val="24"/>
          <w:szCs w:val="24"/>
        </w:rPr>
        <w:t>Medical Marvels</w:t>
      </w:r>
      <w:r w:rsidR="5E5655BD" w:rsidRPr="5E5655BD">
        <w:rPr>
          <w:sz w:val="24"/>
          <w:szCs w:val="24"/>
        </w:rPr>
        <w:t xml:space="preserve"> </w:t>
      </w:r>
      <w:r w:rsidR="00C35840" w:rsidRPr="5E5655BD">
        <w:rPr>
          <w:sz w:val="24"/>
          <w:szCs w:val="24"/>
        </w:rPr>
        <w:t xml:space="preserve">on </w:t>
      </w:r>
      <w:r w:rsidRPr="5E5655BD">
        <w:rPr>
          <w:sz w:val="24"/>
          <w:szCs w:val="24"/>
        </w:rPr>
        <w:t xml:space="preserve">what </w:t>
      </w:r>
      <w:r w:rsidR="00CF64F5" w:rsidRPr="5E5655BD">
        <w:rPr>
          <w:sz w:val="24"/>
          <w:szCs w:val="24"/>
        </w:rPr>
        <w:t>m</w:t>
      </w:r>
      <w:r w:rsidRPr="5E5655BD">
        <w:rPr>
          <w:sz w:val="24"/>
          <w:szCs w:val="24"/>
        </w:rPr>
        <w:t xml:space="preserve">edical </w:t>
      </w:r>
      <w:r w:rsidR="00CF64F5" w:rsidRPr="5E5655BD">
        <w:rPr>
          <w:sz w:val="24"/>
          <w:szCs w:val="24"/>
        </w:rPr>
        <w:t>d</w:t>
      </w:r>
      <w:r w:rsidRPr="5E5655BD">
        <w:rPr>
          <w:sz w:val="24"/>
          <w:szCs w:val="24"/>
        </w:rPr>
        <w:t xml:space="preserve">evice </w:t>
      </w:r>
      <w:r w:rsidR="00CF64F5" w:rsidRPr="5E5655BD">
        <w:rPr>
          <w:sz w:val="24"/>
          <w:szCs w:val="24"/>
        </w:rPr>
        <w:t>s</w:t>
      </w:r>
      <w:r w:rsidRPr="5E5655BD">
        <w:rPr>
          <w:sz w:val="24"/>
          <w:szCs w:val="24"/>
        </w:rPr>
        <w:t xml:space="preserve">ecurity is as well as brings focused training to Engineering, Quality, and Regulatory Affairs departments within each Operating Unit </w:t>
      </w:r>
      <w:r w:rsidR="00C35840" w:rsidRPr="5E5655BD">
        <w:rPr>
          <w:sz w:val="24"/>
          <w:szCs w:val="24"/>
        </w:rPr>
        <w:t>on how to integrate security into the design of new devices and manage the security risks of devices already in the marketplace.</w:t>
      </w:r>
    </w:p>
    <w:p w14:paraId="1B71D758" w14:textId="795F1332" w:rsidR="00C35840" w:rsidRDefault="00C35840" w:rsidP="00CF2ACD">
      <w:pPr>
        <w:spacing w:after="0" w:line="240" w:lineRule="auto"/>
        <w:rPr>
          <w:sz w:val="24"/>
          <w:szCs w:val="24"/>
        </w:rPr>
      </w:pPr>
    </w:p>
    <w:p w14:paraId="4F706943" w14:textId="25379DBC" w:rsidR="00C35840" w:rsidRPr="003F7043" w:rsidRDefault="00C35840" w:rsidP="00CF2ACD">
      <w:pPr>
        <w:spacing w:after="0" w:line="240" w:lineRule="auto"/>
        <w:rPr>
          <w:sz w:val="24"/>
          <w:szCs w:val="24"/>
        </w:rPr>
      </w:pPr>
      <w:r>
        <w:rPr>
          <w:sz w:val="24"/>
          <w:szCs w:val="24"/>
        </w:rPr>
        <w:t>This awareness and training program will enable our company to know how to effectively manage the security risks in our products throughout their lifecycle as well as convincingly present our management of security risks in our devices to our regulators across the globe.</w:t>
      </w:r>
    </w:p>
    <w:p w14:paraId="7038F5F7" w14:textId="2A0F107B" w:rsidR="006318DB" w:rsidRPr="00E37036" w:rsidRDefault="006318DB" w:rsidP="00B827FD">
      <w:pPr>
        <w:pStyle w:val="Heading1"/>
      </w:pPr>
      <w:bookmarkStart w:id="2" w:name="_Toc95501623"/>
      <w:r w:rsidRPr="00E37036">
        <w:lastRenderedPageBreak/>
        <w:t>Engagement and Training</w:t>
      </w:r>
      <w:bookmarkEnd w:id="0"/>
      <w:bookmarkEnd w:id="2"/>
    </w:p>
    <w:p w14:paraId="19E050D9" w14:textId="73FEF22C" w:rsidR="006318DB" w:rsidRPr="00E37036" w:rsidRDefault="006318DB" w:rsidP="00872138">
      <w:pPr>
        <w:pStyle w:val="Content"/>
        <w:adjustRightInd/>
        <w:spacing w:line="240" w:lineRule="auto"/>
        <w:jc w:val="left"/>
        <w:rPr>
          <w:rFonts w:asciiTheme="minorHAnsi" w:hAnsiTheme="minorHAnsi" w:cstheme="minorHAnsi"/>
          <w:sz w:val="24"/>
          <w:szCs w:val="24"/>
        </w:rPr>
      </w:pPr>
      <w:r w:rsidRPr="00E37036">
        <w:rPr>
          <w:rFonts w:asciiTheme="minorHAnsi" w:hAnsiTheme="minorHAnsi" w:cstheme="minorHAnsi"/>
          <w:sz w:val="24"/>
          <w:szCs w:val="24"/>
        </w:rPr>
        <w:t xml:space="preserve">This Security Awareness Program’s objective is to help </w:t>
      </w:r>
      <w:r w:rsidR="00CF64F5">
        <w:rPr>
          <w:rFonts w:asciiTheme="minorHAnsi" w:hAnsiTheme="minorHAnsi" w:cstheme="minorHAnsi"/>
          <w:sz w:val="24"/>
          <w:szCs w:val="24"/>
        </w:rPr>
        <w:t>m</w:t>
      </w:r>
      <w:r w:rsidRPr="00E37036">
        <w:rPr>
          <w:rFonts w:asciiTheme="minorHAnsi" w:hAnsiTheme="minorHAnsi" w:cstheme="minorHAnsi"/>
          <w:sz w:val="24"/>
          <w:szCs w:val="24"/>
        </w:rPr>
        <w:t xml:space="preserve">edical </w:t>
      </w:r>
      <w:r w:rsidR="00CF64F5">
        <w:rPr>
          <w:rFonts w:asciiTheme="minorHAnsi" w:hAnsiTheme="minorHAnsi" w:cstheme="minorHAnsi"/>
          <w:sz w:val="24"/>
          <w:szCs w:val="24"/>
        </w:rPr>
        <w:t>d</w:t>
      </w:r>
      <w:r w:rsidRPr="00E37036">
        <w:rPr>
          <w:rFonts w:asciiTheme="minorHAnsi" w:hAnsiTheme="minorHAnsi" w:cstheme="minorHAnsi"/>
          <w:sz w:val="24"/>
          <w:szCs w:val="24"/>
        </w:rPr>
        <w:t xml:space="preserve">evice </w:t>
      </w:r>
      <w:r w:rsidR="00CF64F5">
        <w:rPr>
          <w:rFonts w:asciiTheme="minorHAnsi" w:hAnsiTheme="minorHAnsi" w:cstheme="minorHAnsi"/>
          <w:sz w:val="24"/>
          <w:szCs w:val="24"/>
        </w:rPr>
        <w:t>d</w:t>
      </w:r>
      <w:r w:rsidRPr="00E37036">
        <w:rPr>
          <w:rFonts w:asciiTheme="minorHAnsi" w:hAnsiTheme="minorHAnsi" w:cstheme="minorHAnsi"/>
          <w:sz w:val="24"/>
          <w:szCs w:val="24"/>
        </w:rPr>
        <w:t xml:space="preserve">evelopment </w:t>
      </w:r>
      <w:r w:rsidR="00CF64F5">
        <w:rPr>
          <w:rFonts w:asciiTheme="minorHAnsi" w:hAnsiTheme="minorHAnsi" w:cstheme="minorHAnsi"/>
          <w:sz w:val="24"/>
          <w:szCs w:val="24"/>
        </w:rPr>
        <w:t>t</w:t>
      </w:r>
      <w:r w:rsidRPr="00E37036">
        <w:rPr>
          <w:rFonts w:asciiTheme="minorHAnsi" w:hAnsiTheme="minorHAnsi" w:cstheme="minorHAnsi"/>
          <w:sz w:val="24"/>
          <w:szCs w:val="24"/>
        </w:rPr>
        <w:t xml:space="preserve">eams understand the relevant security risks for their new development projects as well as the current expectations for security </w:t>
      </w:r>
      <w:r w:rsidR="00CD0F99" w:rsidRPr="00E37036">
        <w:rPr>
          <w:rFonts w:asciiTheme="minorHAnsi" w:hAnsiTheme="minorHAnsi" w:cstheme="minorHAnsi"/>
          <w:sz w:val="24"/>
          <w:szCs w:val="24"/>
        </w:rPr>
        <w:t>controls from regulators.  Many of our next</w:t>
      </w:r>
      <w:r w:rsidR="00E73DA0">
        <w:rPr>
          <w:rFonts w:asciiTheme="minorHAnsi" w:hAnsiTheme="minorHAnsi" w:cstheme="minorHAnsi"/>
          <w:sz w:val="24"/>
          <w:szCs w:val="24"/>
        </w:rPr>
        <w:t>-</w:t>
      </w:r>
      <w:r w:rsidR="00CD0F99" w:rsidRPr="00E37036">
        <w:rPr>
          <w:rFonts w:asciiTheme="minorHAnsi" w:hAnsiTheme="minorHAnsi" w:cstheme="minorHAnsi"/>
          <w:sz w:val="24"/>
          <w:szCs w:val="24"/>
        </w:rPr>
        <w:t>generation medical device</w:t>
      </w:r>
      <w:r w:rsidR="313585DD" w:rsidRPr="00E37036">
        <w:rPr>
          <w:rFonts w:asciiTheme="minorHAnsi" w:hAnsiTheme="minorHAnsi" w:cstheme="minorHAnsi"/>
          <w:sz w:val="24"/>
          <w:szCs w:val="24"/>
        </w:rPr>
        <w:t>s</w:t>
      </w:r>
      <w:r w:rsidR="00CD0F99" w:rsidRPr="00E37036">
        <w:rPr>
          <w:rFonts w:asciiTheme="minorHAnsi" w:hAnsiTheme="minorHAnsi" w:cstheme="minorHAnsi"/>
          <w:sz w:val="24"/>
          <w:szCs w:val="24"/>
        </w:rPr>
        <w:t xml:space="preserve"> are enabled with increasingly complex technology and are becoming more connected with supporting ecosystem components</w:t>
      </w:r>
      <w:r w:rsidR="72702A37" w:rsidRPr="00E37036">
        <w:rPr>
          <w:rFonts w:asciiTheme="minorHAnsi" w:hAnsiTheme="minorHAnsi" w:cstheme="minorHAnsi"/>
          <w:sz w:val="24"/>
          <w:szCs w:val="24"/>
        </w:rPr>
        <w:t xml:space="preserve"> in hospitals</w:t>
      </w:r>
      <w:r w:rsidR="00CD0F99" w:rsidRPr="00E37036">
        <w:rPr>
          <w:rFonts w:asciiTheme="minorHAnsi" w:hAnsiTheme="minorHAnsi" w:cstheme="minorHAnsi"/>
          <w:sz w:val="24"/>
          <w:szCs w:val="24"/>
        </w:rPr>
        <w:t xml:space="preserve">.  The increasingly complex technology in devices compounded by the ecosystem of </w:t>
      </w:r>
      <w:r w:rsidR="2AB1AEBF" w:rsidRPr="00E37036">
        <w:rPr>
          <w:rFonts w:asciiTheme="minorHAnsi" w:hAnsiTheme="minorHAnsi" w:cstheme="minorHAnsi"/>
          <w:sz w:val="24"/>
          <w:szCs w:val="24"/>
        </w:rPr>
        <w:t xml:space="preserve">connected </w:t>
      </w:r>
      <w:r w:rsidR="00CD0F99" w:rsidRPr="00E37036">
        <w:rPr>
          <w:rFonts w:asciiTheme="minorHAnsi" w:hAnsiTheme="minorHAnsi" w:cstheme="minorHAnsi"/>
          <w:sz w:val="24"/>
          <w:szCs w:val="24"/>
        </w:rPr>
        <w:t>components presents a much greater attack surface which, if exploited, could lead to significant safety or privacy impacts.</w:t>
      </w:r>
      <w:r w:rsidR="249C42E5" w:rsidRPr="00E37036">
        <w:rPr>
          <w:rFonts w:asciiTheme="minorHAnsi" w:hAnsiTheme="minorHAnsi" w:cstheme="minorHAnsi"/>
          <w:sz w:val="24"/>
          <w:szCs w:val="24"/>
        </w:rPr>
        <w:t xml:space="preserve">  Continuous training on contemporary security </w:t>
      </w:r>
      <w:r w:rsidR="061D0689" w:rsidRPr="00E37036">
        <w:rPr>
          <w:rFonts w:asciiTheme="minorHAnsi" w:hAnsiTheme="minorHAnsi" w:cstheme="minorHAnsi"/>
          <w:sz w:val="24"/>
          <w:szCs w:val="24"/>
        </w:rPr>
        <w:t xml:space="preserve">threats </w:t>
      </w:r>
      <w:r w:rsidR="249C42E5" w:rsidRPr="00E37036">
        <w:rPr>
          <w:rFonts w:asciiTheme="minorHAnsi" w:hAnsiTheme="minorHAnsi" w:cstheme="minorHAnsi"/>
          <w:sz w:val="24"/>
          <w:szCs w:val="24"/>
        </w:rPr>
        <w:t xml:space="preserve">and </w:t>
      </w:r>
      <w:r w:rsidR="78043C43" w:rsidRPr="00E37036">
        <w:rPr>
          <w:rFonts w:asciiTheme="minorHAnsi" w:hAnsiTheme="minorHAnsi" w:cstheme="minorHAnsi"/>
          <w:sz w:val="24"/>
          <w:szCs w:val="24"/>
        </w:rPr>
        <w:t xml:space="preserve">regulator </w:t>
      </w:r>
      <w:r w:rsidR="249C42E5" w:rsidRPr="00E37036">
        <w:rPr>
          <w:rFonts w:asciiTheme="minorHAnsi" w:hAnsiTheme="minorHAnsi" w:cstheme="minorHAnsi"/>
          <w:sz w:val="24"/>
          <w:szCs w:val="24"/>
        </w:rPr>
        <w:t xml:space="preserve">expectations will reduce the </w:t>
      </w:r>
      <w:r w:rsidR="3022BD8B" w:rsidRPr="00E37036">
        <w:rPr>
          <w:rFonts w:asciiTheme="minorHAnsi" w:hAnsiTheme="minorHAnsi" w:cstheme="minorHAnsi"/>
          <w:sz w:val="24"/>
          <w:szCs w:val="24"/>
        </w:rPr>
        <w:t>likelihood</w:t>
      </w:r>
      <w:r w:rsidR="249C42E5" w:rsidRPr="00E37036">
        <w:rPr>
          <w:rFonts w:asciiTheme="minorHAnsi" w:hAnsiTheme="minorHAnsi" w:cstheme="minorHAnsi"/>
          <w:sz w:val="24"/>
          <w:szCs w:val="24"/>
        </w:rPr>
        <w:t xml:space="preserve"> of security</w:t>
      </w:r>
      <w:r w:rsidR="00872138">
        <w:rPr>
          <w:rFonts w:asciiTheme="minorHAnsi" w:hAnsiTheme="minorHAnsi" w:cstheme="minorHAnsi"/>
          <w:sz w:val="24"/>
          <w:szCs w:val="24"/>
        </w:rPr>
        <w:t xml:space="preserve">, safety, or </w:t>
      </w:r>
      <w:r w:rsidR="249C42E5" w:rsidRPr="00E37036">
        <w:rPr>
          <w:rFonts w:asciiTheme="minorHAnsi" w:hAnsiTheme="minorHAnsi" w:cstheme="minorHAnsi"/>
          <w:sz w:val="24"/>
          <w:szCs w:val="24"/>
        </w:rPr>
        <w:t xml:space="preserve">privacy </w:t>
      </w:r>
      <w:r w:rsidR="6050ED6F" w:rsidRPr="00E37036">
        <w:rPr>
          <w:rFonts w:asciiTheme="minorHAnsi" w:hAnsiTheme="minorHAnsi" w:cstheme="minorHAnsi"/>
          <w:sz w:val="24"/>
          <w:szCs w:val="24"/>
        </w:rPr>
        <w:t xml:space="preserve">risks being realized as well as accelerate the time to market for life-saving therapies </w:t>
      </w:r>
      <w:r w:rsidR="2B53219B" w:rsidRPr="00E37036">
        <w:rPr>
          <w:rFonts w:asciiTheme="minorHAnsi" w:hAnsiTheme="minorHAnsi" w:cstheme="minorHAnsi"/>
          <w:sz w:val="24"/>
          <w:szCs w:val="24"/>
        </w:rPr>
        <w:t xml:space="preserve">by </w:t>
      </w:r>
      <w:r w:rsidR="6050ED6F" w:rsidRPr="00E37036">
        <w:rPr>
          <w:rFonts w:asciiTheme="minorHAnsi" w:hAnsiTheme="minorHAnsi" w:cstheme="minorHAnsi"/>
          <w:sz w:val="24"/>
          <w:szCs w:val="24"/>
        </w:rPr>
        <w:t>shortening the regulatory review process.</w:t>
      </w:r>
    </w:p>
    <w:p w14:paraId="67E146C1" w14:textId="77777777" w:rsidR="006318DB" w:rsidRPr="00E37036" w:rsidRDefault="006318DB" w:rsidP="000A3D52">
      <w:pPr>
        <w:pStyle w:val="Heading2"/>
        <w:rPr>
          <w:rFonts w:asciiTheme="minorHAnsi" w:hAnsiTheme="minorHAnsi" w:cstheme="minorHAnsi"/>
        </w:rPr>
      </w:pPr>
      <w:bookmarkStart w:id="3" w:name="_Toc92269966"/>
      <w:bookmarkStart w:id="4" w:name="_Toc95501624"/>
      <w:r w:rsidRPr="00E37036">
        <w:rPr>
          <w:rFonts w:asciiTheme="minorHAnsi" w:hAnsiTheme="minorHAnsi" w:cstheme="minorHAnsi"/>
        </w:rPr>
        <w:t>Why Security Matters</w:t>
      </w:r>
      <w:bookmarkEnd w:id="3"/>
      <w:bookmarkEnd w:id="4"/>
      <w:r w:rsidRPr="00E37036">
        <w:rPr>
          <w:rFonts w:asciiTheme="minorHAnsi" w:hAnsiTheme="minorHAnsi" w:cstheme="minorHAnsi"/>
        </w:rPr>
        <w:t xml:space="preserve"> </w:t>
      </w:r>
    </w:p>
    <w:p w14:paraId="71F8806B" w14:textId="53A75BF6" w:rsidR="16EE8EDA" w:rsidRPr="00E37036" w:rsidRDefault="16EE8EDA" w:rsidP="000A3D52">
      <w:pPr>
        <w:pStyle w:val="Content"/>
        <w:adjustRightInd/>
        <w:spacing w:line="240" w:lineRule="auto"/>
        <w:jc w:val="left"/>
        <w:rPr>
          <w:rFonts w:asciiTheme="minorHAnsi" w:hAnsiTheme="minorHAnsi" w:cstheme="minorHAnsi"/>
          <w:sz w:val="24"/>
          <w:szCs w:val="24"/>
        </w:rPr>
      </w:pPr>
      <w:r w:rsidRPr="00E37036">
        <w:rPr>
          <w:rFonts w:asciiTheme="minorHAnsi" w:hAnsiTheme="minorHAnsi" w:cstheme="minorHAnsi"/>
          <w:sz w:val="24"/>
          <w:szCs w:val="24"/>
        </w:rPr>
        <w:t xml:space="preserve">Medical </w:t>
      </w:r>
      <w:r w:rsidR="00CF64F5">
        <w:rPr>
          <w:rFonts w:asciiTheme="minorHAnsi" w:hAnsiTheme="minorHAnsi" w:cstheme="minorHAnsi"/>
          <w:sz w:val="24"/>
          <w:szCs w:val="24"/>
        </w:rPr>
        <w:t>d</w:t>
      </w:r>
      <w:r w:rsidRPr="00E37036">
        <w:rPr>
          <w:rFonts w:asciiTheme="minorHAnsi" w:hAnsiTheme="minorHAnsi" w:cstheme="minorHAnsi"/>
          <w:sz w:val="24"/>
          <w:szCs w:val="24"/>
        </w:rPr>
        <w:t xml:space="preserve">evice </w:t>
      </w:r>
      <w:r w:rsidR="00CF64F5">
        <w:rPr>
          <w:rFonts w:asciiTheme="minorHAnsi" w:hAnsiTheme="minorHAnsi" w:cstheme="minorHAnsi"/>
          <w:sz w:val="24"/>
          <w:szCs w:val="24"/>
        </w:rPr>
        <w:t>d</w:t>
      </w:r>
      <w:r w:rsidRPr="00E37036">
        <w:rPr>
          <w:rFonts w:asciiTheme="minorHAnsi" w:hAnsiTheme="minorHAnsi" w:cstheme="minorHAnsi"/>
          <w:sz w:val="24"/>
          <w:szCs w:val="24"/>
        </w:rPr>
        <w:t xml:space="preserve">evelopment </w:t>
      </w:r>
      <w:r w:rsidR="00CF64F5">
        <w:rPr>
          <w:rFonts w:asciiTheme="minorHAnsi" w:hAnsiTheme="minorHAnsi" w:cstheme="minorHAnsi"/>
          <w:sz w:val="24"/>
          <w:szCs w:val="24"/>
        </w:rPr>
        <w:t>t</w:t>
      </w:r>
      <w:r w:rsidRPr="00E37036">
        <w:rPr>
          <w:rFonts w:asciiTheme="minorHAnsi" w:hAnsiTheme="minorHAnsi" w:cstheme="minorHAnsi"/>
          <w:sz w:val="24"/>
          <w:szCs w:val="24"/>
        </w:rPr>
        <w:t xml:space="preserve">eams need to understand the necessity and value of security considerations throughout the lifecycle of their new development projects.  </w:t>
      </w:r>
      <w:r w:rsidR="0289FC19" w:rsidRPr="00E37036">
        <w:rPr>
          <w:rFonts w:asciiTheme="minorHAnsi" w:hAnsiTheme="minorHAnsi" w:cstheme="minorHAnsi"/>
          <w:sz w:val="24"/>
          <w:szCs w:val="24"/>
        </w:rPr>
        <w:t xml:space="preserve">Communication on </w:t>
      </w:r>
      <w:r w:rsidR="48BF7A24" w:rsidRPr="00E37036">
        <w:rPr>
          <w:rFonts w:asciiTheme="minorHAnsi" w:hAnsiTheme="minorHAnsi" w:cstheme="minorHAnsi"/>
          <w:sz w:val="24"/>
          <w:szCs w:val="24"/>
        </w:rPr>
        <w:t>necessity</w:t>
      </w:r>
      <w:r w:rsidR="0289FC19" w:rsidRPr="00E37036">
        <w:rPr>
          <w:rFonts w:asciiTheme="minorHAnsi" w:hAnsiTheme="minorHAnsi" w:cstheme="minorHAnsi"/>
          <w:sz w:val="24"/>
          <w:szCs w:val="24"/>
        </w:rPr>
        <w:t xml:space="preserve"> and value </w:t>
      </w:r>
      <w:r w:rsidR="607DBED7" w:rsidRPr="00E37036">
        <w:rPr>
          <w:rFonts w:asciiTheme="minorHAnsi" w:hAnsiTheme="minorHAnsi" w:cstheme="minorHAnsi"/>
          <w:sz w:val="24"/>
          <w:szCs w:val="24"/>
        </w:rPr>
        <w:t xml:space="preserve">of security </w:t>
      </w:r>
      <w:r w:rsidR="0289FC19" w:rsidRPr="00E37036">
        <w:rPr>
          <w:rFonts w:asciiTheme="minorHAnsi" w:hAnsiTheme="minorHAnsi" w:cstheme="minorHAnsi"/>
          <w:sz w:val="24"/>
          <w:szCs w:val="24"/>
        </w:rPr>
        <w:t>will occur through two methods:</w:t>
      </w:r>
    </w:p>
    <w:p w14:paraId="4AD8BEE5" w14:textId="64D3CB78" w:rsidR="006318DB" w:rsidRPr="00E37036" w:rsidRDefault="006318DB" w:rsidP="5E5655BD">
      <w:pPr>
        <w:pStyle w:val="Content"/>
        <w:numPr>
          <w:ilvl w:val="0"/>
          <w:numId w:val="1"/>
        </w:numPr>
        <w:tabs>
          <w:tab w:val="clear" w:pos="560"/>
        </w:tabs>
        <w:adjustRightInd/>
        <w:spacing w:after="240" w:line="240" w:lineRule="auto"/>
        <w:ind w:left="576"/>
        <w:jc w:val="left"/>
        <w:rPr>
          <w:rFonts w:asciiTheme="minorHAnsi" w:hAnsiTheme="minorHAnsi" w:cstheme="minorBidi"/>
          <w:sz w:val="24"/>
          <w:szCs w:val="24"/>
        </w:rPr>
      </w:pPr>
      <w:r w:rsidRPr="5E5655BD">
        <w:rPr>
          <w:rFonts w:asciiTheme="minorHAnsi" w:hAnsiTheme="minorHAnsi" w:cstheme="minorBidi"/>
          <w:b/>
          <w:bCs/>
          <w:sz w:val="24"/>
          <w:szCs w:val="24"/>
        </w:rPr>
        <w:t>Organizational</w:t>
      </w:r>
      <w:r w:rsidRPr="5E5655BD">
        <w:rPr>
          <w:rFonts w:asciiTheme="minorHAnsi" w:hAnsiTheme="minorHAnsi" w:cstheme="minorBidi"/>
          <w:sz w:val="24"/>
          <w:szCs w:val="24"/>
        </w:rPr>
        <w:t>: T</w:t>
      </w:r>
      <w:r w:rsidR="33B809B9" w:rsidRPr="5E5655BD">
        <w:rPr>
          <w:rFonts w:asciiTheme="minorHAnsi" w:hAnsiTheme="minorHAnsi" w:cstheme="minorBidi"/>
          <w:sz w:val="24"/>
          <w:szCs w:val="24"/>
        </w:rPr>
        <w:t xml:space="preserve">he </w:t>
      </w:r>
      <w:r w:rsidR="62D98C85" w:rsidRPr="5E5655BD">
        <w:rPr>
          <w:rFonts w:asciiTheme="minorHAnsi" w:hAnsiTheme="minorHAnsi" w:cstheme="minorBidi"/>
          <w:sz w:val="24"/>
          <w:szCs w:val="24"/>
        </w:rPr>
        <w:t xml:space="preserve">tenants of our Mission </w:t>
      </w:r>
      <w:r w:rsidR="4B48CB1F" w:rsidRPr="5E5655BD">
        <w:rPr>
          <w:rFonts w:asciiTheme="minorHAnsi" w:hAnsiTheme="minorHAnsi" w:cstheme="minorBidi"/>
          <w:sz w:val="24"/>
          <w:szCs w:val="24"/>
        </w:rPr>
        <w:t>reinforce</w:t>
      </w:r>
      <w:r w:rsidR="4E81C265" w:rsidRPr="5E5655BD">
        <w:rPr>
          <w:rFonts w:asciiTheme="minorHAnsi" w:hAnsiTheme="minorHAnsi" w:cstheme="minorBidi"/>
          <w:sz w:val="24"/>
          <w:szCs w:val="24"/>
        </w:rPr>
        <w:t xml:space="preserve"> </w:t>
      </w:r>
      <w:r w:rsidR="4B48CB1F" w:rsidRPr="5E5655BD">
        <w:rPr>
          <w:rFonts w:asciiTheme="minorHAnsi" w:hAnsiTheme="minorHAnsi" w:cstheme="minorBidi"/>
          <w:sz w:val="24"/>
          <w:szCs w:val="24"/>
        </w:rPr>
        <w:t xml:space="preserve">that we will always be focused on </w:t>
      </w:r>
      <w:r w:rsidR="5ABDF46A" w:rsidRPr="5E5655BD">
        <w:rPr>
          <w:rFonts w:asciiTheme="minorHAnsi" w:hAnsiTheme="minorHAnsi" w:cstheme="minorBidi"/>
          <w:sz w:val="24"/>
          <w:szCs w:val="24"/>
        </w:rPr>
        <w:t>the development of increasingly complex medical devices to solve increasingly complex diseases and healthcare challenges.</w:t>
      </w:r>
      <w:r w:rsidR="000659F4" w:rsidRPr="5E5655BD">
        <w:rPr>
          <w:rFonts w:asciiTheme="minorHAnsi" w:hAnsiTheme="minorHAnsi" w:cstheme="minorBidi"/>
          <w:sz w:val="24"/>
          <w:szCs w:val="24"/>
        </w:rPr>
        <w:t xml:space="preserve">  Security risks </w:t>
      </w:r>
      <w:r w:rsidR="00977DFB" w:rsidRPr="5E5655BD">
        <w:rPr>
          <w:rFonts w:asciiTheme="minorHAnsi" w:hAnsiTheme="minorHAnsi" w:cstheme="minorBidi"/>
          <w:sz w:val="24"/>
          <w:szCs w:val="24"/>
        </w:rPr>
        <w:t xml:space="preserve">inherent in the </w:t>
      </w:r>
      <w:r w:rsidR="000A3D52" w:rsidRPr="5E5655BD">
        <w:rPr>
          <w:rFonts w:asciiTheme="minorHAnsi" w:hAnsiTheme="minorHAnsi" w:cstheme="minorBidi"/>
          <w:sz w:val="24"/>
          <w:szCs w:val="24"/>
        </w:rPr>
        <w:t>medical</w:t>
      </w:r>
      <w:r w:rsidR="00977DFB" w:rsidRPr="5E5655BD">
        <w:rPr>
          <w:rFonts w:asciiTheme="minorHAnsi" w:hAnsiTheme="minorHAnsi" w:cstheme="minorBidi"/>
          <w:sz w:val="24"/>
          <w:szCs w:val="24"/>
        </w:rPr>
        <w:t xml:space="preserve"> devices we </w:t>
      </w:r>
      <w:r w:rsidR="001A53C2" w:rsidRPr="5E5655BD">
        <w:rPr>
          <w:rFonts w:asciiTheme="minorHAnsi" w:hAnsiTheme="minorHAnsi" w:cstheme="minorBidi"/>
          <w:sz w:val="24"/>
          <w:szCs w:val="24"/>
        </w:rPr>
        <w:t>engineer</w:t>
      </w:r>
      <w:r w:rsidR="00977DFB" w:rsidRPr="5E5655BD">
        <w:rPr>
          <w:rFonts w:asciiTheme="minorHAnsi" w:hAnsiTheme="minorHAnsi" w:cstheme="minorBidi"/>
          <w:sz w:val="24"/>
          <w:szCs w:val="24"/>
        </w:rPr>
        <w:t xml:space="preserve"> could create patient safety issues, which means we </w:t>
      </w:r>
      <w:r w:rsidR="000A3D52" w:rsidRPr="5E5655BD">
        <w:rPr>
          <w:rFonts w:asciiTheme="minorHAnsi" w:hAnsiTheme="minorHAnsi" w:cstheme="minorBidi"/>
          <w:sz w:val="24"/>
          <w:szCs w:val="24"/>
        </w:rPr>
        <w:t>must</w:t>
      </w:r>
      <w:r w:rsidR="00977DFB" w:rsidRPr="5E5655BD">
        <w:rPr>
          <w:rFonts w:asciiTheme="minorHAnsi" w:hAnsiTheme="minorHAnsi" w:cstheme="minorBidi"/>
          <w:sz w:val="24"/>
          <w:szCs w:val="24"/>
        </w:rPr>
        <w:t xml:space="preserve"> </w:t>
      </w:r>
      <w:r w:rsidR="001D44BC" w:rsidRPr="5E5655BD">
        <w:rPr>
          <w:rFonts w:asciiTheme="minorHAnsi" w:hAnsiTheme="minorHAnsi" w:cstheme="minorBidi"/>
          <w:sz w:val="24"/>
          <w:szCs w:val="24"/>
        </w:rPr>
        <w:t xml:space="preserve">treat security risks with the same level of </w:t>
      </w:r>
      <w:r w:rsidR="00273081" w:rsidRPr="5E5655BD">
        <w:rPr>
          <w:rFonts w:asciiTheme="minorHAnsi" w:hAnsiTheme="minorHAnsi" w:cstheme="minorBidi"/>
          <w:sz w:val="24"/>
          <w:szCs w:val="24"/>
        </w:rPr>
        <w:t>rigor we treat safety risks.</w:t>
      </w:r>
      <w:r w:rsidR="00035D97" w:rsidRPr="5E5655BD">
        <w:rPr>
          <w:rFonts w:asciiTheme="minorHAnsi" w:hAnsiTheme="minorHAnsi" w:cstheme="minorBidi"/>
          <w:sz w:val="24"/>
          <w:szCs w:val="24"/>
        </w:rPr>
        <w:t xml:space="preserve">  Our organizational communication will ensure “We build </w:t>
      </w:r>
      <w:r w:rsidR="003B233F" w:rsidRPr="5E5655BD">
        <w:rPr>
          <w:rFonts w:asciiTheme="minorHAnsi" w:hAnsiTheme="minorHAnsi" w:cstheme="minorBidi"/>
          <w:sz w:val="24"/>
          <w:szCs w:val="24"/>
        </w:rPr>
        <w:t>S</w:t>
      </w:r>
      <w:r w:rsidR="00035D97" w:rsidRPr="5E5655BD">
        <w:rPr>
          <w:rFonts w:asciiTheme="minorHAnsi" w:hAnsiTheme="minorHAnsi" w:cstheme="minorBidi"/>
          <w:sz w:val="24"/>
          <w:szCs w:val="24"/>
        </w:rPr>
        <w:t>ecurity into our DNA</w:t>
      </w:r>
      <w:r w:rsidR="00773DE3" w:rsidRPr="5E5655BD">
        <w:rPr>
          <w:rFonts w:asciiTheme="minorHAnsi" w:hAnsiTheme="minorHAnsi" w:cstheme="minorBidi"/>
          <w:sz w:val="24"/>
          <w:szCs w:val="24"/>
        </w:rPr>
        <w:t>.</w:t>
      </w:r>
      <w:r w:rsidR="00035D97" w:rsidRPr="5E5655BD">
        <w:rPr>
          <w:rFonts w:asciiTheme="minorHAnsi" w:hAnsiTheme="minorHAnsi" w:cstheme="minorBidi"/>
          <w:sz w:val="24"/>
          <w:szCs w:val="24"/>
        </w:rPr>
        <w:t>”</w:t>
      </w:r>
    </w:p>
    <w:p w14:paraId="1A143AB8" w14:textId="5A495BEB" w:rsidR="00C86A62" w:rsidRPr="00E37036" w:rsidRDefault="59D9C427" w:rsidP="5E5655BD">
      <w:pPr>
        <w:pStyle w:val="Content"/>
        <w:numPr>
          <w:ilvl w:val="0"/>
          <w:numId w:val="1"/>
        </w:numPr>
        <w:tabs>
          <w:tab w:val="clear" w:pos="560"/>
        </w:tabs>
        <w:adjustRightInd/>
        <w:spacing w:after="120" w:line="240" w:lineRule="auto"/>
        <w:ind w:left="576"/>
        <w:jc w:val="left"/>
        <w:rPr>
          <w:rFonts w:asciiTheme="minorHAnsi" w:eastAsiaTheme="minorEastAsia" w:hAnsiTheme="minorHAnsi" w:cstheme="minorBidi"/>
          <w:sz w:val="24"/>
          <w:szCs w:val="24"/>
        </w:rPr>
      </w:pPr>
      <w:r w:rsidRPr="5E5655BD">
        <w:rPr>
          <w:rFonts w:asciiTheme="minorHAnsi" w:hAnsiTheme="minorHAnsi" w:cstheme="minorBidi"/>
          <w:b/>
          <w:bCs/>
          <w:sz w:val="24"/>
          <w:szCs w:val="24"/>
        </w:rPr>
        <w:t>Operating Unit</w:t>
      </w:r>
      <w:r w:rsidR="006318DB" w:rsidRPr="5E5655BD">
        <w:rPr>
          <w:rFonts w:asciiTheme="minorHAnsi" w:hAnsiTheme="minorHAnsi" w:cstheme="minorBidi"/>
          <w:sz w:val="24"/>
          <w:szCs w:val="24"/>
        </w:rPr>
        <w:t xml:space="preserve">: </w:t>
      </w:r>
      <w:r w:rsidR="00D96A89" w:rsidRPr="5E5655BD">
        <w:rPr>
          <w:rFonts w:asciiTheme="minorHAnsi" w:hAnsiTheme="minorHAnsi" w:cstheme="minorBidi"/>
          <w:sz w:val="24"/>
          <w:szCs w:val="24"/>
        </w:rPr>
        <w:t xml:space="preserve">Operating Units operate </w:t>
      </w:r>
      <w:r w:rsidR="00E75C0C" w:rsidRPr="5E5655BD">
        <w:rPr>
          <w:rFonts w:asciiTheme="minorHAnsi" w:hAnsiTheme="minorHAnsi" w:cstheme="minorBidi"/>
          <w:sz w:val="24"/>
          <w:szCs w:val="24"/>
        </w:rPr>
        <w:t xml:space="preserve">as </w:t>
      </w:r>
      <w:r w:rsidR="00D96A89" w:rsidRPr="5E5655BD">
        <w:rPr>
          <w:rFonts w:asciiTheme="minorHAnsi" w:hAnsiTheme="minorHAnsi" w:cstheme="minorBidi"/>
          <w:sz w:val="24"/>
          <w:szCs w:val="24"/>
        </w:rPr>
        <w:t xml:space="preserve">almost independent companies </w:t>
      </w:r>
      <w:r w:rsidR="006A1EF2" w:rsidRPr="5E5655BD">
        <w:rPr>
          <w:rFonts w:asciiTheme="minorHAnsi" w:hAnsiTheme="minorHAnsi" w:cstheme="minorBidi"/>
          <w:sz w:val="24"/>
          <w:szCs w:val="24"/>
        </w:rPr>
        <w:t>within</w:t>
      </w:r>
      <w:r w:rsidR="00D96A89" w:rsidRPr="5E5655BD">
        <w:rPr>
          <w:rFonts w:asciiTheme="minorHAnsi" w:hAnsiTheme="minorHAnsi" w:cstheme="minorBidi"/>
          <w:sz w:val="24"/>
          <w:szCs w:val="24"/>
        </w:rPr>
        <w:t xml:space="preserve"> </w:t>
      </w:r>
      <w:r w:rsidR="5E5655BD" w:rsidRPr="5E5655BD">
        <w:rPr>
          <w:rFonts w:asciiTheme="minorHAnsi" w:hAnsiTheme="minorHAnsi" w:cstheme="minorBidi"/>
          <w:sz w:val="24"/>
          <w:szCs w:val="24"/>
        </w:rPr>
        <w:t>Medical Marvels</w:t>
      </w:r>
      <w:r w:rsidR="006A1EF2" w:rsidRPr="5E5655BD">
        <w:rPr>
          <w:rFonts w:asciiTheme="minorHAnsi" w:hAnsiTheme="minorHAnsi" w:cstheme="minorBidi"/>
          <w:sz w:val="24"/>
          <w:szCs w:val="24"/>
        </w:rPr>
        <w:t xml:space="preserve">.  They are responsible for the development </w:t>
      </w:r>
      <w:r w:rsidR="0058611D" w:rsidRPr="5E5655BD">
        <w:rPr>
          <w:rFonts w:asciiTheme="minorHAnsi" w:hAnsiTheme="minorHAnsi" w:cstheme="minorBidi"/>
          <w:sz w:val="24"/>
          <w:szCs w:val="24"/>
        </w:rPr>
        <w:t xml:space="preserve">(pre-market) </w:t>
      </w:r>
      <w:r w:rsidR="006A1EF2" w:rsidRPr="5E5655BD">
        <w:rPr>
          <w:rFonts w:asciiTheme="minorHAnsi" w:hAnsiTheme="minorHAnsi" w:cstheme="minorBidi"/>
          <w:sz w:val="24"/>
          <w:szCs w:val="24"/>
        </w:rPr>
        <w:t xml:space="preserve">and maintenance </w:t>
      </w:r>
      <w:r w:rsidR="0058611D" w:rsidRPr="5E5655BD">
        <w:rPr>
          <w:rFonts w:asciiTheme="minorHAnsi" w:hAnsiTheme="minorHAnsi" w:cstheme="minorBidi"/>
          <w:sz w:val="24"/>
          <w:szCs w:val="24"/>
        </w:rPr>
        <w:t xml:space="preserve">(post-market) </w:t>
      </w:r>
      <w:r w:rsidR="006A1EF2" w:rsidRPr="5E5655BD">
        <w:rPr>
          <w:rFonts w:asciiTheme="minorHAnsi" w:hAnsiTheme="minorHAnsi" w:cstheme="minorBidi"/>
          <w:sz w:val="24"/>
          <w:szCs w:val="24"/>
        </w:rPr>
        <w:t xml:space="preserve">of all the medial devices that they </w:t>
      </w:r>
      <w:r w:rsidR="0058611D" w:rsidRPr="5E5655BD">
        <w:rPr>
          <w:rFonts w:asciiTheme="minorHAnsi" w:hAnsiTheme="minorHAnsi" w:cstheme="minorBidi"/>
          <w:sz w:val="24"/>
          <w:szCs w:val="24"/>
        </w:rPr>
        <w:t xml:space="preserve">engineer.  </w:t>
      </w:r>
      <w:r w:rsidR="00C50669" w:rsidRPr="5E5655BD">
        <w:rPr>
          <w:rFonts w:asciiTheme="minorHAnsi" w:hAnsiTheme="minorHAnsi" w:cstheme="minorBidi"/>
          <w:sz w:val="24"/>
          <w:szCs w:val="24"/>
        </w:rPr>
        <w:t xml:space="preserve">Embedding security into the </w:t>
      </w:r>
      <w:r w:rsidR="00AA7033" w:rsidRPr="5E5655BD">
        <w:rPr>
          <w:rFonts w:asciiTheme="minorHAnsi" w:hAnsiTheme="minorHAnsi" w:cstheme="minorBidi"/>
          <w:sz w:val="24"/>
          <w:szCs w:val="24"/>
        </w:rPr>
        <w:t xml:space="preserve">lifecycle of a new medical device </w:t>
      </w:r>
      <w:r w:rsidR="00894600" w:rsidRPr="5E5655BD">
        <w:rPr>
          <w:rFonts w:asciiTheme="minorHAnsi" w:hAnsiTheme="minorHAnsi" w:cstheme="minorBidi"/>
          <w:sz w:val="24"/>
          <w:szCs w:val="24"/>
        </w:rPr>
        <w:t xml:space="preserve">requires </w:t>
      </w:r>
      <w:r w:rsidR="00030789" w:rsidRPr="5E5655BD">
        <w:rPr>
          <w:rFonts w:asciiTheme="minorHAnsi" w:hAnsiTheme="minorHAnsi" w:cstheme="minorBidi"/>
          <w:sz w:val="24"/>
          <w:szCs w:val="24"/>
        </w:rPr>
        <w:t xml:space="preserve">following a framework of security activities during development as well as </w:t>
      </w:r>
      <w:r w:rsidR="00E01AB3" w:rsidRPr="5E5655BD">
        <w:rPr>
          <w:rFonts w:asciiTheme="minorHAnsi" w:hAnsiTheme="minorHAnsi" w:cstheme="minorBidi"/>
          <w:sz w:val="24"/>
          <w:szCs w:val="24"/>
        </w:rPr>
        <w:t xml:space="preserve">performing vulnerability monitoring, assessment, and field updates once the device is on the market.  </w:t>
      </w:r>
      <w:r w:rsidR="00F7094B" w:rsidRPr="5E5655BD">
        <w:rPr>
          <w:rFonts w:asciiTheme="minorHAnsi" w:hAnsiTheme="minorHAnsi" w:cstheme="minorBidi"/>
          <w:sz w:val="24"/>
          <w:szCs w:val="24"/>
        </w:rPr>
        <w:t>Primary groups within Operating Units that are predominantly responsible for identif</w:t>
      </w:r>
      <w:r w:rsidR="0087652A" w:rsidRPr="5E5655BD">
        <w:rPr>
          <w:rFonts w:asciiTheme="minorHAnsi" w:hAnsiTheme="minorHAnsi" w:cstheme="minorBidi"/>
          <w:sz w:val="24"/>
          <w:szCs w:val="24"/>
        </w:rPr>
        <w:t>ication</w:t>
      </w:r>
      <w:r w:rsidR="00F7094B" w:rsidRPr="5E5655BD">
        <w:rPr>
          <w:rFonts w:asciiTheme="minorHAnsi" w:hAnsiTheme="minorHAnsi" w:cstheme="minorBidi"/>
          <w:sz w:val="24"/>
          <w:szCs w:val="24"/>
        </w:rPr>
        <w:t xml:space="preserve"> and </w:t>
      </w:r>
      <w:r w:rsidR="00E75C0C" w:rsidRPr="5E5655BD">
        <w:rPr>
          <w:rFonts w:asciiTheme="minorHAnsi" w:hAnsiTheme="minorHAnsi" w:cstheme="minorBidi"/>
          <w:sz w:val="24"/>
          <w:szCs w:val="24"/>
        </w:rPr>
        <w:t>management</w:t>
      </w:r>
      <w:r w:rsidR="00F7094B" w:rsidRPr="5E5655BD">
        <w:rPr>
          <w:rFonts w:asciiTheme="minorHAnsi" w:hAnsiTheme="minorHAnsi" w:cstheme="minorBidi"/>
          <w:sz w:val="24"/>
          <w:szCs w:val="24"/>
        </w:rPr>
        <w:t xml:space="preserve"> </w:t>
      </w:r>
      <w:r w:rsidR="00DF74B0" w:rsidRPr="5E5655BD">
        <w:rPr>
          <w:rFonts w:asciiTheme="minorHAnsi" w:hAnsiTheme="minorHAnsi" w:cstheme="minorBidi"/>
          <w:sz w:val="24"/>
          <w:szCs w:val="24"/>
        </w:rPr>
        <w:t xml:space="preserve">of </w:t>
      </w:r>
      <w:r w:rsidR="00F7094B" w:rsidRPr="5E5655BD">
        <w:rPr>
          <w:rFonts w:asciiTheme="minorHAnsi" w:hAnsiTheme="minorHAnsi" w:cstheme="minorBidi"/>
          <w:sz w:val="24"/>
          <w:szCs w:val="24"/>
        </w:rPr>
        <w:t xml:space="preserve">security risks </w:t>
      </w:r>
      <w:r w:rsidR="00DF74B0" w:rsidRPr="5E5655BD">
        <w:rPr>
          <w:rFonts w:asciiTheme="minorHAnsi" w:hAnsiTheme="minorHAnsi" w:cstheme="minorBidi"/>
          <w:sz w:val="24"/>
          <w:szCs w:val="24"/>
        </w:rPr>
        <w:t xml:space="preserve">in </w:t>
      </w:r>
      <w:r w:rsidR="00F7094B" w:rsidRPr="5E5655BD">
        <w:rPr>
          <w:rFonts w:asciiTheme="minorHAnsi" w:hAnsiTheme="minorHAnsi" w:cstheme="minorBidi"/>
          <w:sz w:val="24"/>
          <w:szCs w:val="24"/>
        </w:rPr>
        <w:t>medical device</w:t>
      </w:r>
      <w:r w:rsidR="00DF74B0" w:rsidRPr="5E5655BD">
        <w:rPr>
          <w:rFonts w:asciiTheme="minorHAnsi" w:hAnsiTheme="minorHAnsi" w:cstheme="minorBidi"/>
          <w:sz w:val="24"/>
          <w:szCs w:val="24"/>
        </w:rPr>
        <w:t>s</w:t>
      </w:r>
      <w:r w:rsidR="00F7094B" w:rsidRPr="5E5655BD">
        <w:rPr>
          <w:rFonts w:asciiTheme="minorHAnsi" w:hAnsiTheme="minorHAnsi" w:cstheme="minorBidi"/>
          <w:sz w:val="24"/>
          <w:szCs w:val="24"/>
        </w:rPr>
        <w:t xml:space="preserve"> </w:t>
      </w:r>
      <w:r w:rsidR="00DF74B0" w:rsidRPr="5E5655BD">
        <w:rPr>
          <w:rFonts w:asciiTheme="minorHAnsi" w:hAnsiTheme="minorHAnsi" w:cstheme="minorBidi"/>
          <w:sz w:val="24"/>
          <w:szCs w:val="24"/>
        </w:rPr>
        <w:t xml:space="preserve">during </w:t>
      </w:r>
      <w:r w:rsidR="001C0BD2" w:rsidRPr="5E5655BD">
        <w:rPr>
          <w:rFonts w:asciiTheme="minorHAnsi" w:hAnsiTheme="minorHAnsi" w:cstheme="minorBidi"/>
          <w:sz w:val="24"/>
          <w:szCs w:val="24"/>
        </w:rPr>
        <w:t xml:space="preserve">pre-market and post-market include Engineering, Quality, and Regulatory Affairs.  Each group has a specific responsibility for security risks, which will require </w:t>
      </w:r>
      <w:r w:rsidR="007579BA" w:rsidRPr="5E5655BD">
        <w:rPr>
          <w:rFonts w:asciiTheme="minorHAnsi" w:hAnsiTheme="minorHAnsi" w:cstheme="minorBidi"/>
          <w:sz w:val="24"/>
          <w:szCs w:val="24"/>
        </w:rPr>
        <w:t>a specific training curriculum for each group within each Operating Unit.</w:t>
      </w:r>
      <w:r w:rsidR="008B590D" w:rsidRPr="5E5655BD">
        <w:rPr>
          <w:rFonts w:asciiTheme="minorHAnsi" w:hAnsiTheme="minorHAnsi" w:cstheme="minorBidi"/>
          <w:sz w:val="24"/>
          <w:szCs w:val="24"/>
        </w:rPr>
        <w:t xml:space="preserve">  </w:t>
      </w:r>
      <w:r w:rsidR="0021214D" w:rsidRPr="5E5655BD">
        <w:rPr>
          <w:rFonts w:asciiTheme="minorHAnsi" w:hAnsiTheme="minorHAnsi" w:cstheme="minorBidi"/>
          <w:sz w:val="24"/>
          <w:szCs w:val="24"/>
        </w:rPr>
        <w:t xml:space="preserve">The matrix of </w:t>
      </w:r>
      <w:r w:rsidR="00CF64F5" w:rsidRPr="5E5655BD">
        <w:rPr>
          <w:rFonts w:asciiTheme="minorHAnsi" w:hAnsiTheme="minorHAnsi" w:cstheme="minorBidi"/>
          <w:sz w:val="24"/>
          <w:szCs w:val="24"/>
        </w:rPr>
        <w:t>m</w:t>
      </w:r>
      <w:r w:rsidR="0021214D" w:rsidRPr="5E5655BD">
        <w:rPr>
          <w:rFonts w:asciiTheme="minorHAnsi" w:hAnsiTheme="minorHAnsi" w:cstheme="minorBidi"/>
          <w:sz w:val="24"/>
          <w:szCs w:val="24"/>
        </w:rPr>
        <w:t xml:space="preserve">edical </w:t>
      </w:r>
      <w:r w:rsidR="00CF64F5" w:rsidRPr="5E5655BD">
        <w:rPr>
          <w:rFonts w:asciiTheme="minorHAnsi" w:hAnsiTheme="minorHAnsi" w:cstheme="minorBidi"/>
          <w:sz w:val="24"/>
          <w:szCs w:val="24"/>
        </w:rPr>
        <w:t>d</w:t>
      </w:r>
      <w:r w:rsidR="0021214D" w:rsidRPr="5E5655BD">
        <w:rPr>
          <w:rFonts w:asciiTheme="minorHAnsi" w:hAnsiTheme="minorHAnsi" w:cstheme="minorBidi"/>
          <w:sz w:val="24"/>
          <w:szCs w:val="24"/>
        </w:rPr>
        <w:t xml:space="preserve">evice </w:t>
      </w:r>
      <w:r w:rsidR="00CF64F5" w:rsidRPr="5E5655BD">
        <w:rPr>
          <w:rFonts w:asciiTheme="minorHAnsi" w:hAnsiTheme="minorHAnsi" w:cstheme="minorBidi"/>
          <w:sz w:val="24"/>
          <w:szCs w:val="24"/>
        </w:rPr>
        <w:t>s</w:t>
      </w:r>
      <w:r w:rsidR="0021214D" w:rsidRPr="5E5655BD">
        <w:rPr>
          <w:rFonts w:asciiTheme="minorHAnsi" w:hAnsiTheme="minorHAnsi" w:cstheme="minorBidi"/>
          <w:sz w:val="24"/>
          <w:szCs w:val="24"/>
        </w:rPr>
        <w:t>ecurity topics mapped to each target group within the Operating Unit can be found in Appendix A.</w:t>
      </w:r>
    </w:p>
    <w:p w14:paraId="4BBF8549" w14:textId="77777777" w:rsidR="00C86A62" w:rsidRPr="00E37036" w:rsidRDefault="00C86A62" w:rsidP="000A3D52">
      <w:pPr>
        <w:pStyle w:val="Heading2"/>
        <w:rPr>
          <w:rFonts w:asciiTheme="minorHAnsi" w:hAnsiTheme="minorHAnsi" w:cstheme="minorHAnsi"/>
        </w:rPr>
      </w:pPr>
      <w:bookmarkStart w:id="5" w:name="_Toc92269967"/>
      <w:bookmarkStart w:id="6" w:name="_Toc95501625"/>
      <w:r w:rsidRPr="00E37036">
        <w:rPr>
          <w:rFonts w:asciiTheme="minorHAnsi" w:hAnsiTheme="minorHAnsi" w:cstheme="minorHAnsi"/>
        </w:rPr>
        <w:t>Cultural Analysis</w:t>
      </w:r>
      <w:bookmarkEnd w:id="5"/>
      <w:bookmarkEnd w:id="6"/>
      <w:r w:rsidRPr="00E37036">
        <w:rPr>
          <w:rFonts w:asciiTheme="minorHAnsi" w:hAnsiTheme="minorHAnsi" w:cstheme="minorHAnsi"/>
        </w:rPr>
        <w:tab/>
      </w:r>
    </w:p>
    <w:p w14:paraId="13C7300C" w14:textId="20DC3126" w:rsidR="00C86A62" w:rsidRPr="00E37036" w:rsidRDefault="00CF465F" w:rsidP="5E5655BD">
      <w:pPr>
        <w:pStyle w:val="Content"/>
        <w:adjustRightInd/>
        <w:spacing w:line="240" w:lineRule="auto"/>
        <w:jc w:val="left"/>
        <w:rPr>
          <w:rFonts w:asciiTheme="minorHAnsi" w:hAnsiTheme="minorHAnsi" w:cstheme="minorBidi"/>
          <w:sz w:val="24"/>
          <w:szCs w:val="24"/>
        </w:rPr>
      </w:pPr>
      <w:r w:rsidRPr="5E5655BD">
        <w:rPr>
          <w:rFonts w:asciiTheme="minorHAnsi" w:hAnsiTheme="minorHAnsi" w:cstheme="minorBidi"/>
          <w:sz w:val="24"/>
          <w:szCs w:val="24"/>
        </w:rPr>
        <w:t xml:space="preserve">The nature of the </w:t>
      </w:r>
      <w:r w:rsidR="00170C4A" w:rsidRPr="5E5655BD">
        <w:rPr>
          <w:rFonts w:asciiTheme="minorHAnsi" w:hAnsiTheme="minorHAnsi" w:cstheme="minorBidi"/>
          <w:sz w:val="24"/>
          <w:szCs w:val="24"/>
        </w:rPr>
        <w:t>m</w:t>
      </w:r>
      <w:r w:rsidRPr="5E5655BD">
        <w:rPr>
          <w:rFonts w:asciiTheme="minorHAnsi" w:hAnsiTheme="minorHAnsi" w:cstheme="minorBidi"/>
          <w:sz w:val="24"/>
          <w:szCs w:val="24"/>
        </w:rPr>
        <w:t xml:space="preserve">edical </w:t>
      </w:r>
      <w:r w:rsidR="00170C4A" w:rsidRPr="5E5655BD">
        <w:rPr>
          <w:rFonts w:asciiTheme="minorHAnsi" w:hAnsiTheme="minorHAnsi" w:cstheme="minorBidi"/>
          <w:sz w:val="24"/>
          <w:szCs w:val="24"/>
        </w:rPr>
        <w:t>d</w:t>
      </w:r>
      <w:r w:rsidRPr="5E5655BD">
        <w:rPr>
          <w:rFonts w:asciiTheme="minorHAnsi" w:hAnsiTheme="minorHAnsi" w:cstheme="minorBidi"/>
          <w:sz w:val="24"/>
          <w:szCs w:val="24"/>
        </w:rPr>
        <w:t xml:space="preserve">evice </w:t>
      </w:r>
      <w:r w:rsidR="00170C4A" w:rsidRPr="5E5655BD">
        <w:rPr>
          <w:rFonts w:asciiTheme="minorHAnsi" w:hAnsiTheme="minorHAnsi" w:cstheme="minorBidi"/>
          <w:sz w:val="24"/>
          <w:szCs w:val="24"/>
        </w:rPr>
        <w:t>m</w:t>
      </w:r>
      <w:r w:rsidRPr="5E5655BD">
        <w:rPr>
          <w:rFonts w:asciiTheme="minorHAnsi" w:hAnsiTheme="minorHAnsi" w:cstheme="minorBidi"/>
          <w:sz w:val="24"/>
          <w:szCs w:val="24"/>
        </w:rPr>
        <w:t xml:space="preserve">anufacturing industry is </w:t>
      </w:r>
      <w:r w:rsidR="008E3144" w:rsidRPr="5E5655BD">
        <w:rPr>
          <w:rFonts w:asciiTheme="minorHAnsi" w:hAnsiTheme="minorHAnsi" w:cstheme="minorBidi"/>
          <w:sz w:val="24"/>
          <w:szCs w:val="24"/>
        </w:rPr>
        <w:t>highly</w:t>
      </w:r>
      <w:r w:rsidRPr="5E5655BD">
        <w:rPr>
          <w:rFonts w:asciiTheme="minorHAnsi" w:hAnsiTheme="minorHAnsi" w:cstheme="minorBidi"/>
          <w:sz w:val="24"/>
          <w:szCs w:val="24"/>
        </w:rPr>
        <w:t xml:space="preserve"> regulated </w:t>
      </w:r>
      <w:r w:rsidR="00041BDB" w:rsidRPr="5E5655BD">
        <w:rPr>
          <w:rFonts w:asciiTheme="minorHAnsi" w:hAnsiTheme="minorHAnsi" w:cstheme="minorBidi"/>
          <w:sz w:val="24"/>
          <w:szCs w:val="24"/>
        </w:rPr>
        <w:t xml:space="preserve">and very conservative.  Patient </w:t>
      </w:r>
      <w:r w:rsidR="00EF0748" w:rsidRPr="5E5655BD">
        <w:rPr>
          <w:rFonts w:asciiTheme="minorHAnsi" w:hAnsiTheme="minorHAnsi" w:cstheme="minorBidi"/>
          <w:sz w:val="24"/>
          <w:szCs w:val="24"/>
        </w:rPr>
        <w:t>s</w:t>
      </w:r>
      <w:r w:rsidR="00041BDB" w:rsidRPr="5E5655BD">
        <w:rPr>
          <w:rFonts w:asciiTheme="minorHAnsi" w:hAnsiTheme="minorHAnsi" w:cstheme="minorBidi"/>
          <w:sz w:val="24"/>
          <w:szCs w:val="24"/>
        </w:rPr>
        <w:t xml:space="preserve">afety is paramount in everything that a </w:t>
      </w:r>
      <w:r w:rsidR="00170C4A" w:rsidRPr="5E5655BD">
        <w:rPr>
          <w:rFonts w:asciiTheme="minorHAnsi" w:hAnsiTheme="minorHAnsi" w:cstheme="minorBidi"/>
          <w:sz w:val="24"/>
          <w:szCs w:val="24"/>
        </w:rPr>
        <w:t>m</w:t>
      </w:r>
      <w:r w:rsidR="000A3D52" w:rsidRPr="5E5655BD">
        <w:rPr>
          <w:rFonts w:asciiTheme="minorHAnsi" w:hAnsiTheme="minorHAnsi" w:cstheme="minorBidi"/>
          <w:sz w:val="24"/>
          <w:szCs w:val="24"/>
        </w:rPr>
        <w:t>edical</w:t>
      </w:r>
      <w:r w:rsidR="00041BDB" w:rsidRPr="5E5655BD">
        <w:rPr>
          <w:rFonts w:asciiTheme="minorHAnsi" w:hAnsiTheme="minorHAnsi" w:cstheme="minorBidi"/>
          <w:sz w:val="24"/>
          <w:szCs w:val="24"/>
        </w:rPr>
        <w:t xml:space="preserve"> </w:t>
      </w:r>
      <w:r w:rsidR="00170C4A" w:rsidRPr="5E5655BD">
        <w:rPr>
          <w:rFonts w:asciiTheme="minorHAnsi" w:hAnsiTheme="minorHAnsi" w:cstheme="minorBidi"/>
          <w:sz w:val="24"/>
          <w:szCs w:val="24"/>
        </w:rPr>
        <w:t>d</w:t>
      </w:r>
      <w:r w:rsidR="00041BDB" w:rsidRPr="5E5655BD">
        <w:rPr>
          <w:rFonts w:asciiTheme="minorHAnsi" w:hAnsiTheme="minorHAnsi" w:cstheme="minorBidi"/>
          <w:sz w:val="24"/>
          <w:szCs w:val="24"/>
        </w:rPr>
        <w:t xml:space="preserve">evice </w:t>
      </w:r>
      <w:r w:rsidR="00170C4A" w:rsidRPr="5E5655BD">
        <w:rPr>
          <w:rFonts w:asciiTheme="minorHAnsi" w:hAnsiTheme="minorHAnsi" w:cstheme="minorBidi"/>
          <w:sz w:val="24"/>
          <w:szCs w:val="24"/>
        </w:rPr>
        <w:t>m</w:t>
      </w:r>
      <w:r w:rsidR="00041BDB" w:rsidRPr="5E5655BD">
        <w:rPr>
          <w:rFonts w:asciiTheme="minorHAnsi" w:hAnsiTheme="minorHAnsi" w:cstheme="minorBidi"/>
          <w:sz w:val="24"/>
          <w:szCs w:val="24"/>
        </w:rPr>
        <w:t>anufacturer does</w:t>
      </w:r>
      <w:r w:rsidR="00855C5E" w:rsidRPr="5E5655BD">
        <w:rPr>
          <w:rFonts w:asciiTheme="minorHAnsi" w:hAnsiTheme="minorHAnsi" w:cstheme="minorBidi"/>
          <w:sz w:val="24"/>
          <w:szCs w:val="24"/>
        </w:rPr>
        <w:t xml:space="preserve">.  This is reinforced by continuously sharing patient </w:t>
      </w:r>
      <w:r w:rsidR="00250987" w:rsidRPr="5E5655BD">
        <w:rPr>
          <w:rFonts w:asciiTheme="minorHAnsi" w:hAnsiTheme="minorHAnsi" w:cstheme="minorBidi"/>
          <w:sz w:val="24"/>
          <w:szCs w:val="24"/>
        </w:rPr>
        <w:t xml:space="preserve">stories of how our </w:t>
      </w:r>
      <w:r w:rsidR="000A3D52" w:rsidRPr="5E5655BD">
        <w:rPr>
          <w:rFonts w:asciiTheme="minorHAnsi" w:hAnsiTheme="minorHAnsi" w:cstheme="minorBidi"/>
          <w:sz w:val="24"/>
          <w:szCs w:val="24"/>
        </w:rPr>
        <w:t>medical</w:t>
      </w:r>
      <w:r w:rsidR="00250987" w:rsidRPr="5E5655BD">
        <w:rPr>
          <w:rFonts w:asciiTheme="minorHAnsi" w:hAnsiTheme="minorHAnsi" w:cstheme="minorBidi"/>
          <w:sz w:val="24"/>
          <w:szCs w:val="24"/>
        </w:rPr>
        <w:t xml:space="preserve"> devices </w:t>
      </w:r>
      <w:r w:rsidR="00F54163" w:rsidRPr="5E5655BD">
        <w:rPr>
          <w:rFonts w:asciiTheme="minorHAnsi" w:hAnsiTheme="minorHAnsi" w:cstheme="minorBidi"/>
          <w:sz w:val="24"/>
          <w:szCs w:val="24"/>
        </w:rPr>
        <w:t xml:space="preserve">extend the lives of our patients throughout the world.  </w:t>
      </w:r>
      <w:r w:rsidR="000E7C60" w:rsidRPr="5E5655BD">
        <w:rPr>
          <w:rFonts w:asciiTheme="minorHAnsi" w:hAnsiTheme="minorHAnsi" w:cstheme="minorBidi"/>
          <w:sz w:val="24"/>
          <w:szCs w:val="24"/>
        </w:rPr>
        <w:t xml:space="preserve">Employees work for this company because they believe in the </w:t>
      </w:r>
      <w:r w:rsidR="00F94C6F" w:rsidRPr="5E5655BD">
        <w:rPr>
          <w:rFonts w:asciiTheme="minorHAnsi" w:hAnsiTheme="minorHAnsi" w:cstheme="minorBidi"/>
          <w:sz w:val="24"/>
          <w:szCs w:val="24"/>
        </w:rPr>
        <w:t>m</w:t>
      </w:r>
      <w:r w:rsidR="000E7C60" w:rsidRPr="5E5655BD">
        <w:rPr>
          <w:rFonts w:asciiTheme="minorHAnsi" w:hAnsiTheme="minorHAnsi" w:cstheme="minorBidi"/>
          <w:sz w:val="24"/>
          <w:szCs w:val="24"/>
        </w:rPr>
        <w:t xml:space="preserve">ission and </w:t>
      </w:r>
      <w:r w:rsidR="00065C12" w:rsidRPr="5E5655BD">
        <w:rPr>
          <w:rFonts w:asciiTheme="minorHAnsi" w:hAnsiTheme="minorHAnsi" w:cstheme="minorBidi"/>
          <w:sz w:val="24"/>
          <w:szCs w:val="24"/>
        </w:rPr>
        <w:t xml:space="preserve">that our </w:t>
      </w:r>
      <w:r w:rsidR="000A3D52" w:rsidRPr="5E5655BD">
        <w:rPr>
          <w:rFonts w:asciiTheme="minorHAnsi" w:hAnsiTheme="minorHAnsi" w:cstheme="minorBidi"/>
          <w:sz w:val="24"/>
          <w:szCs w:val="24"/>
        </w:rPr>
        <w:t>medical</w:t>
      </w:r>
      <w:r w:rsidR="00065C12" w:rsidRPr="5E5655BD">
        <w:rPr>
          <w:rFonts w:asciiTheme="minorHAnsi" w:hAnsiTheme="minorHAnsi" w:cstheme="minorBidi"/>
          <w:sz w:val="24"/>
          <w:szCs w:val="24"/>
        </w:rPr>
        <w:t xml:space="preserve"> devices positively impact the world</w:t>
      </w:r>
      <w:r w:rsidR="00037F77" w:rsidRPr="5E5655BD">
        <w:rPr>
          <w:rFonts w:asciiTheme="minorHAnsi" w:hAnsiTheme="minorHAnsi" w:cstheme="minorBidi"/>
          <w:sz w:val="24"/>
          <w:szCs w:val="24"/>
        </w:rPr>
        <w:t xml:space="preserve">.  </w:t>
      </w:r>
      <w:r w:rsidR="00037F77" w:rsidRPr="5E5655BD">
        <w:rPr>
          <w:rFonts w:asciiTheme="minorHAnsi" w:hAnsiTheme="minorHAnsi" w:cstheme="minorBidi"/>
          <w:sz w:val="24"/>
          <w:szCs w:val="24"/>
        </w:rPr>
        <w:lastRenderedPageBreak/>
        <w:t xml:space="preserve">Using humor or </w:t>
      </w:r>
      <w:r w:rsidR="0021783F" w:rsidRPr="5E5655BD">
        <w:rPr>
          <w:rFonts w:asciiTheme="minorHAnsi" w:hAnsiTheme="minorHAnsi" w:cstheme="minorBidi"/>
          <w:sz w:val="24"/>
          <w:szCs w:val="24"/>
        </w:rPr>
        <w:t xml:space="preserve">FUD (fear, uncertainty, and doubt) </w:t>
      </w:r>
      <w:r w:rsidR="00896844" w:rsidRPr="5E5655BD">
        <w:rPr>
          <w:rFonts w:asciiTheme="minorHAnsi" w:hAnsiTheme="minorHAnsi" w:cstheme="minorBidi"/>
          <w:sz w:val="24"/>
          <w:szCs w:val="24"/>
        </w:rPr>
        <w:t xml:space="preserve">in our training program </w:t>
      </w:r>
      <w:r w:rsidR="00BD61D7" w:rsidRPr="5E5655BD">
        <w:rPr>
          <w:rFonts w:asciiTheme="minorHAnsi" w:hAnsiTheme="minorHAnsi" w:cstheme="minorBidi"/>
          <w:sz w:val="24"/>
          <w:szCs w:val="24"/>
        </w:rPr>
        <w:t xml:space="preserve">will go against the </w:t>
      </w:r>
      <w:r w:rsidR="006E7C9C" w:rsidRPr="5E5655BD">
        <w:rPr>
          <w:rFonts w:asciiTheme="minorHAnsi" w:hAnsiTheme="minorHAnsi" w:cstheme="minorBidi"/>
          <w:sz w:val="24"/>
          <w:szCs w:val="24"/>
        </w:rPr>
        <w:t>ideals of both employees and leadership.</w:t>
      </w:r>
    </w:p>
    <w:p w14:paraId="6B1D14C8" w14:textId="64348D1C" w:rsidR="00D814C6" w:rsidRPr="00E37036" w:rsidRDefault="00D814C6" w:rsidP="000A3D52">
      <w:pPr>
        <w:pStyle w:val="Content"/>
        <w:adjustRightInd/>
        <w:spacing w:line="240" w:lineRule="auto"/>
        <w:jc w:val="left"/>
        <w:rPr>
          <w:rFonts w:asciiTheme="minorHAnsi" w:hAnsiTheme="minorHAnsi" w:cstheme="minorHAnsi"/>
          <w:sz w:val="24"/>
          <w:szCs w:val="24"/>
        </w:rPr>
      </w:pPr>
      <w:r w:rsidRPr="00E37036">
        <w:rPr>
          <w:rFonts w:asciiTheme="minorHAnsi" w:hAnsiTheme="minorHAnsi" w:cstheme="minorHAnsi"/>
          <w:sz w:val="24"/>
          <w:szCs w:val="24"/>
        </w:rPr>
        <w:t xml:space="preserve">Our training curriculums will capitalize on </w:t>
      </w:r>
      <w:r w:rsidR="00024BAA" w:rsidRPr="00E37036">
        <w:rPr>
          <w:rFonts w:asciiTheme="minorHAnsi" w:hAnsiTheme="minorHAnsi" w:cstheme="minorHAnsi"/>
          <w:sz w:val="24"/>
          <w:szCs w:val="24"/>
        </w:rPr>
        <w:t xml:space="preserve">both the patient safety and regulated aspects of our company.  Increased technology and connectivity will create safety risks that need to be </w:t>
      </w:r>
      <w:r w:rsidR="007C49F9" w:rsidRPr="00E37036">
        <w:rPr>
          <w:rFonts w:asciiTheme="minorHAnsi" w:hAnsiTheme="minorHAnsi" w:cstheme="minorHAnsi"/>
          <w:sz w:val="24"/>
          <w:szCs w:val="24"/>
        </w:rPr>
        <w:t xml:space="preserve">understood and appropriately managed.  This connection between security impacting safety will convey the </w:t>
      </w:r>
      <w:r w:rsidR="00FA0CC7" w:rsidRPr="00E37036">
        <w:rPr>
          <w:rFonts w:asciiTheme="minorHAnsi" w:hAnsiTheme="minorHAnsi" w:cstheme="minorHAnsi"/>
          <w:sz w:val="24"/>
          <w:szCs w:val="24"/>
        </w:rPr>
        <w:t>criticality of this topic while also speaking in the language that the organization understands very well.</w:t>
      </w:r>
      <w:r w:rsidR="00A86B84" w:rsidRPr="00E37036">
        <w:rPr>
          <w:rFonts w:asciiTheme="minorHAnsi" w:hAnsiTheme="minorHAnsi" w:cstheme="minorHAnsi"/>
          <w:sz w:val="24"/>
          <w:szCs w:val="24"/>
        </w:rPr>
        <w:t xml:space="preserve">  Additionally, regulators around the world have and will continue to </w:t>
      </w:r>
      <w:r w:rsidR="009041C9" w:rsidRPr="00E37036">
        <w:rPr>
          <w:rFonts w:asciiTheme="minorHAnsi" w:hAnsiTheme="minorHAnsi" w:cstheme="minorHAnsi"/>
          <w:sz w:val="24"/>
          <w:szCs w:val="24"/>
        </w:rPr>
        <w:t xml:space="preserve">reject submissions of our new regulated devices to be sold in their geography’s marketplaces due to security concerns alone.  </w:t>
      </w:r>
      <w:r w:rsidR="00613DB5" w:rsidRPr="00E37036">
        <w:rPr>
          <w:rFonts w:asciiTheme="minorHAnsi" w:hAnsiTheme="minorHAnsi" w:cstheme="minorHAnsi"/>
          <w:sz w:val="24"/>
          <w:szCs w:val="24"/>
        </w:rPr>
        <w:t>Specifically, Operating Units need to understand what the current expectations are f</w:t>
      </w:r>
      <w:r w:rsidR="00060DED" w:rsidRPr="00E37036">
        <w:rPr>
          <w:rFonts w:asciiTheme="minorHAnsi" w:hAnsiTheme="minorHAnsi" w:cstheme="minorHAnsi"/>
          <w:sz w:val="24"/>
          <w:szCs w:val="24"/>
        </w:rPr>
        <w:t xml:space="preserve">rom regulators regarding relevant </w:t>
      </w:r>
      <w:r w:rsidR="000B617D" w:rsidRPr="00E37036">
        <w:rPr>
          <w:rFonts w:asciiTheme="minorHAnsi" w:hAnsiTheme="minorHAnsi" w:cstheme="minorHAnsi"/>
          <w:sz w:val="24"/>
          <w:szCs w:val="24"/>
        </w:rPr>
        <w:t xml:space="preserve">security </w:t>
      </w:r>
      <w:r w:rsidR="00060DED" w:rsidRPr="00E37036">
        <w:rPr>
          <w:rFonts w:asciiTheme="minorHAnsi" w:hAnsiTheme="minorHAnsi" w:cstheme="minorHAnsi"/>
          <w:sz w:val="24"/>
          <w:szCs w:val="24"/>
        </w:rPr>
        <w:t xml:space="preserve">risks as well as </w:t>
      </w:r>
      <w:r w:rsidR="000B617D" w:rsidRPr="00E37036">
        <w:rPr>
          <w:rFonts w:asciiTheme="minorHAnsi" w:hAnsiTheme="minorHAnsi" w:cstheme="minorHAnsi"/>
          <w:sz w:val="24"/>
          <w:szCs w:val="24"/>
        </w:rPr>
        <w:t>acceptable layers of security controls.</w:t>
      </w:r>
    </w:p>
    <w:p w14:paraId="28630EE3" w14:textId="0AB2238B" w:rsidR="00AB6BAB" w:rsidRPr="00E37036" w:rsidRDefault="00C4108E" w:rsidP="000A3D52">
      <w:pPr>
        <w:pStyle w:val="Heading2"/>
        <w:rPr>
          <w:rFonts w:asciiTheme="minorHAnsi" w:hAnsiTheme="minorHAnsi" w:cstheme="minorHAnsi"/>
        </w:rPr>
      </w:pPr>
      <w:bookmarkStart w:id="7" w:name="_Toc95501626"/>
      <w:r w:rsidRPr="00E37036">
        <w:rPr>
          <w:rFonts w:asciiTheme="minorHAnsi" w:hAnsiTheme="minorHAnsi" w:cstheme="minorHAnsi"/>
        </w:rPr>
        <w:t>Localization Requirements</w:t>
      </w:r>
      <w:bookmarkEnd w:id="7"/>
      <w:r w:rsidR="00AB6BAB" w:rsidRPr="00E37036">
        <w:rPr>
          <w:rFonts w:asciiTheme="minorHAnsi" w:hAnsiTheme="minorHAnsi" w:cstheme="minorHAnsi"/>
        </w:rPr>
        <w:tab/>
      </w:r>
    </w:p>
    <w:p w14:paraId="4DBE9385" w14:textId="6BE20025" w:rsidR="00F315A8" w:rsidRPr="00E37036" w:rsidRDefault="006C038D" w:rsidP="5E5655BD">
      <w:pPr>
        <w:pStyle w:val="Content"/>
        <w:adjustRightInd/>
        <w:spacing w:line="240" w:lineRule="auto"/>
        <w:jc w:val="left"/>
        <w:rPr>
          <w:rFonts w:asciiTheme="minorHAnsi" w:hAnsiTheme="minorHAnsi" w:cstheme="minorBidi"/>
          <w:sz w:val="24"/>
          <w:szCs w:val="24"/>
        </w:rPr>
      </w:pPr>
      <w:r w:rsidRPr="5E5655BD">
        <w:rPr>
          <w:rFonts w:asciiTheme="minorHAnsi" w:hAnsiTheme="minorHAnsi" w:cstheme="minorBidi"/>
          <w:sz w:val="24"/>
          <w:szCs w:val="24"/>
        </w:rPr>
        <w:t xml:space="preserve">We are a global organization with over 100 </w:t>
      </w:r>
      <w:r w:rsidR="003F45C2" w:rsidRPr="5E5655BD">
        <w:rPr>
          <w:rFonts w:asciiTheme="minorHAnsi" w:hAnsiTheme="minorHAnsi" w:cstheme="minorBidi"/>
          <w:sz w:val="24"/>
          <w:szCs w:val="24"/>
        </w:rPr>
        <w:t xml:space="preserve">offices </w:t>
      </w:r>
      <w:r w:rsidRPr="5E5655BD">
        <w:rPr>
          <w:rFonts w:asciiTheme="minorHAnsi" w:hAnsiTheme="minorHAnsi" w:cstheme="minorBidi"/>
          <w:sz w:val="24"/>
          <w:szCs w:val="24"/>
        </w:rPr>
        <w:t xml:space="preserve">worldwide.  Company policy dictates that </w:t>
      </w:r>
      <w:r w:rsidR="00D60D95" w:rsidRPr="5E5655BD">
        <w:rPr>
          <w:rFonts w:asciiTheme="minorHAnsi" w:hAnsiTheme="minorHAnsi" w:cstheme="minorBidi"/>
          <w:sz w:val="24"/>
          <w:szCs w:val="24"/>
        </w:rPr>
        <w:t>o</w:t>
      </w:r>
      <w:r w:rsidRPr="5E5655BD">
        <w:rPr>
          <w:rFonts w:asciiTheme="minorHAnsi" w:hAnsiTheme="minorHAnsi" w:cstheme="minorBidi"/>
          <w:sz w:val="24"/>
          <w:szCs w:val="24"/>
        </w:rPr>
        <w:t xml:space="preserve">rganization-wide training content needs to be available in a certain set of languages.  </w:t>
      </w:r>
      <w:r w:rsidR="00262AE8" w:rsidRPr="5E5655BD">
        <w:rPr>
          <w:rFonts w:asciiTheme="minorHAnsi" w:hAnsiTheme="minorHAnsi" w:cstheme="minorBidi"/>
          <w:sz w:val="24"/>
          <w:szCs w:val="24"/>
        </w:rPr>
        <w:t>T</w:t>
      </w:r>
      <w:r w:rsidRPr="5E5655BD">
        <w:rPr>
          <w:rFonts w:asciiTheme="minorHAnsi" w:hAnsiTheme="minorHAnsi" w:cstheme="minorBidi"/>
          <w:sz w:val="24"/>
          <w:szCs w:val="24"/>
        </w:rPr>
        <w:t>o support this requirement, there is a team of translation specialists available in the company.</w:t>
      </w:r>
      <w:r w:rsidR="002F6F94" w:rsidRPr="5E5655BD">
        <w:rPr>
          <w:rFonts w:asciiTheme="minorHAnsi" w:hAnsiTheme="minorHAnsi" w:cstheme="minorBidi"/>
          <w:sz w:val="24"/>
          <w:szCs w:val="24"/>
        </w:rPr>
        <w:t xml:space="preserve">  There is no policy requiring training content to be in certain languages if they are </w:t>
      </w:r>
      <w:r w:rsidR="002624D4" w:rsidRPr="5E5655BD">
        <w:rPr>
          <w:rFonts w:asciiTheme="minorHAnsi" w:hAnsiTheme="minorHAnsi" w:cstheme="minorBidi"/>
          <w:sz w:val="24"/>
          <w:szCs w:val="24"/>
        </w:rPr>
        <w:t>not delivered to the entire organization.</w:t>
      </w:r>
    </w:p>
    <w:p w14:paraId="63893F78" w14:textId="55A23053" w:rsidR="006C038D" w:rsidRPr="00E37036" w:rsidRDefault="006C038D" w:rsidP="5E5655BD">
      <w:pPr>
        <w:pStyle w:val="Content"/>
        <w:adjustRightInd/>
        <w:spacing w:line="240" w:lineRule="auto"/>
        <w:jc w:val="left"/>
        <w:rPr>
          <w:rFonts w:asciiTheme="minorHAnsi" w:hAnsiTheme="minorHAnsi" w:cstheme="minorBidi"/>
          <w:sz w:val="24"/>
          <w:szCs w:val="24"/>
        </w:rPr>
      </w:pPr>
      <w:r w:rsidRPr="5E5655BD">
        <w:rPr>
          <w:rFonts w:asciiTheme="minorHAnsi" w:hAnsiTheme="minorHAnsi" w:cstheme="minorBidi"/>
          <w:sz w:val="24"/>
          <w:szCs w:val="24"/>
        </w:rPr>
        <w:t xml:space="preserve">Our </w:t>
      </w:r>
      <w:r w:rsidR="00D60D95" w:rsidRPr="5E5655BD">
        <w:rPr>
          <w:rFonts w:asciiTheme="minorHAnsi" w:hAnsiTheme="minorHAnsi" w:cstheme="minorBidi"/>
          <w:sz w:val="24"/>
          <w:szCs w:val="24"/>
        </w:rPr>
        <w:t>o</w:t>
      </w:r>
      <w:r w:rsidRPr="5E5655BD">
        <w:rPr>
          <w:rFonts w:asciiTheme="minorHAnsi" w:hAnsiTheme="minorHAnsi" w:cstheme="minorBidi"/>
          <w:sz w:val="24"/>
          <w:szCs w:val="24"/>
        </w:rPr>
        <w:t>rganization</w:t>
      </w:r>
      <w:r w:rsidR="00BC583A" w:rsidRPr="5E5655BD">
        <w:rPr>
          <w:rFonts w:asciiTheme="minorHAnsi" w:hAnsiTheme="minorHAnsi" w:cstheme="minorBidi"/>
          <w:sz w:val="24"/>
          <w:szCs w:val="24"/>
        </w:rPr>
        <w:t>-wide</w:t>
      </w:r>
      <w:r w:rsidRPr="5E5655BD">
        <w:rPr>
          <w:rFonts w:asciiTheme="minorHAnsi" w:hAnsiTheme="minorHAnsi" w:cstheme="minorBidi"/>
          <w:sz w:val="24"/>
          <w:szCs w:val="24"/>
        </w:rPr>
        <w:t xml:space="preserve"> training content will be delivered through our </w:t>
      </w:r>
      <w:r w:rsidR="00D60D95" w:rsidRPr="5E5655BD">
        <w:rPr>
          <w:rFonts w:asciiTheme="minorHAnsi" w:hAnsiTheme="minorHAnsi" w:cstheme="minorBidi"/>
          <w:sz w:val="24"/>
          <w:szCs w:val="24"/>
        </w:rPr>
        <w:t>l</w:t>
      </w:r>
      <w:r w:rsidRPr="5E5655BD">
        <w:rPr>
          <w:rFonts w:asciiTheme="minorHAnsi" w:hAnsiTheme="minorHAnsi" w:cstheme="minorBidi"/>
          <w:sz w:val="24"/>
          <w:szCs w:val="24"/>
        </w:rPr>
        <w:t xml:space="preserve">earning </w:t>
      </w:r>
      <w:r w:rsidR="00D60D95" w:rsidRPr="5E5655BD">
        <w:rPr>
          <w:rFonts w:asciiTheme="minorHAnsi" w:hAnsiTheme="minorHAnsi" w:cstheme="minorBidi"/>
          <w:sz w:val="24"/>
          <w:szCs w:val="24"/>
        </w:rPr>
        <w:t>m</w:t>
      </w:r>
      <w:r w:rsidRPr="5E5655BD">
        <w:rPr>
          <w:rFonts w:asciiTheme="minorHAnsi" w:hAnsiTheme="minorHAnsi" w:cstheme="minorBidi"/>
          <w:sz w:val="24"/>
          <w:szCs w:val="24"/>
        </w:rPr>
        <w:t xml:space="preserve">anagement </w:t>
      </w:r>
      <w:r w:rsidR="00D60D95" w:rsidRPr="5E5655BD">
        <w:rPr>
          <w:rFonts w:asciiTheme="minorHAnsi" w:hAnsiTheme="minorHAnsi" w:cstheme="minorBidi"/>
          <w:sz w:val="24"/>
          <w:szCs w:val="24"/>
        </w:rPr>
        <w:t>s</w:t>
      </w:r>
      <w:r w:rsidRPr="5E5655BD">
        <w:rPr>
          <w:rFonts w:asciiTheme="minorHAnsi" w:hAnsiTheme="minorHAnsi" w:cstheme="minorBidi"/>
          <w:sz w:val="24"/>
          <w:szCs w:val="24"/>
        </w:rPr>
        <w:t xml:space="preserve">ystem called Foundations, where we will leverage our translation specialists to make the content accessible and understood for all employees.  The </w:t>
      </w:r>
      <w:r w:rsidR="00D60D95" w:rsidRPr="5E5655BD">
        <w:rPr>
          <w:rFonts w:asciiTheme="minorHAnsi" w:hAnsiTheme="minorHAnsi" w:cstheme="minorBidi"/>
          <w:sz w:val="24"/>
          <w:szCs w:val="24"/>
        </w:rPr>
        <w:t>o</w:t>
      </w:r>
      <w:r w:rsidRPr="5E5655BD">
        <w:rPr>
          <w:rFonts w:asciiTheme="minorHAnsi" w:hAnsiTheme="minorHAnsi" w:cstheme="minorBidi"/>
          <w:sz w:val="24"/>
          <w:szCs w:val="24"/>
        </w:rPr>
        <w:t>rganizational training will be automatically assigned and tracked through Foundations.</w:t>
      </w:r>
    </w:p>
    <w:p w14:paraId="2583C8EA" w14:textId="578C5D78" w:rsidR="00C86A62" w:rsidRPr="00E37036" w:rsidRDefault="002624D4" w:rsidP="000A3D52">
      <w:pPr>
        <w:pStyle w:val="Content"/>
        <w:tabs>
          <w:tab w:val="clear" w:pos="560"/>
        </w:tabs>
        <w:adjustRightInd/>
        <w:spacing w:after="120" w:line="240" w:lineRule="auto"/>
        <w:jc w:val="left"/>
        <w:rPr>
          <w:rFonts w:asciiTheme="minorHAnsi" w:hAnsiTheme="minorHAnsi" w:cstheme="minorHAnsi"/>
          <w:sz w:val="24"/>
          <w:szCs w:val="24"/>
        </w:rPr>
      </w:pPr>
      <w:r w:rsidRPr="00E37036">
        <w:rPr>
          <w:rFonts w:asciiTheme="minorHAnsi" w:hAnsiTheme="minorHAnsi" w:cstheme="minorHAnsi"/>
          <w:sz w:val="24"/>
          <w:szCs w:val="24"/>
        </w:rPr>
        <w:t xml:space="preserve">Operating Units have employees across the world. However, our targeted departments of Quality, Engineering, and Regulatory Affairs </w:t>
      </w:r>
      <w:r w:rsidR="00447AEC" w:rsidRPr="00E37036">
        <w:rPr>
          <w:rFonts w:asciiTheme="minorHAnsi" w:hAnsiTheme="minorHAnsi" w:cstheme="minorHAnsi"/>
          <w:sz w:val="24"/>
          <w:szCs w:val="24"/>
        </w:rPr>
        <w:t xml:space="preserve">in each Operating Unit are predominantly in America, Europe, Middle East, China, and Japan.  Through </w:t>
      </w:r>
      <w:r w:rsidR="00B47D68" w:rsidRPr="00E37036">
        <w:rPr>
          <w:rFonts w:asciiTheme="minorHAnsi" w:hAnsiTheme="minorHAnsi" w:cstheme="minorHAnsi"/>
          <w:sz w:val="24"/>
          <w:szCs w:val="24"/>
        </w:rPr>
        <w:t xml:space="preserve">feedback that our leadership has </w:t>
      </w:r>
      <w:r w:rsidR="00443868" w:rsidRPr="00E37036">
        <w:rPr>
          <w:rFonts w:asciiTheme="minorHAnsi" w:hAnsiTheme="minorHAnsi" w:cstheme="minorHAnsi"/>
          <w:sz w:val="24"/>
          <w:szCs w:val="24"/>
        </w:rPr>
        <w:t xml:space="preserve">received from the President of each Operating Unit, training content </w:t>
      </w:r>
      <w:r w:rsidR="001B319D" w:rsidRPr="00E37036">
        <w:rPr>
          <w:rFonts w:asciiTheme="minorHAnsi" w:hAnsiTheme="minorHAnsi" w:cstheme="minorHAnsi"/>
          <w:sz w:val="24"/>
          <w:szCs w:val="24"/>
        </w:rPr>
        <w:t xml:space="preserve">should be delivered in just English.  However, the training content should also be delivered live </w:t>
      </w:r>
      <w:r w:rsidR="00A869C9" w:rsidRPr="00E37036">
        <w:rPr>
          <w:rFonts w:asciiTheme="minorHAnsi" w:hAnsiTheme="minorHAnsi" w:cstheme="minorHAnsi"/>
          <w:sz w:val="24"/>
          <w:szCs w:val="24"/>
        </w:rPr>
        <w:t xml:space="preserve">(in-person or over video conference) </w:t>
      </w:r>
      <w:r w:rsidR="001B319D" w:rsidRPr="00E37036">
        <w:rPr>
          <w:rFonts w:asciiTheme="minorHAnsi" w:hAnsiTheme="minorHAnsi" w:cstheme="minorHAnsi"/>
          <w:sz w:val="24"/>
          <w:szCs w:val="24"/>
        </w:rPr>
        <w:t xml:space="preserve">as to allow the opportunity </w:t>
      </w:r>
      <w:r w:rsidR="00855951" w:rsidRPr="00E37036">
        <w:rPr>
          <w:rFonts w:asciiTheme="minorHAnsi" w:hAnsiTheme="minorHAnsi" w:cstheme="minorHAnsi"/>
          <w:sz w:val="24"/>
          <w:szCs w:val="24"/>
        </w:rPr>
        <w:t>for</w:t>
      </w:r>
      <w:r w:rsidR="001B319D" w:rsidRPr="00E37036">
        <w:rPr>
          <w:rFonts w:asciiTheme="minorHAnsi" w:hAnsiTheme="minorHAnsi" w:cstheme="minorHAnsi"/>
          <w:sz w:val="24"/>
          <w:szCs w:val="24"/>
        </w:rPr>
        <w:t xml:space="preserve"> questions if something isn’t understood by the attendees because of a translation </w:t>
      </w:r>
      <w:r w:rsidR="00A869C9" w:rsidRPr="00E37036">
        <w:rPr>
          <w:rFonts w:asciiTheme="minorHAnsi" w:hAnsiTheme="minorHAnsi" w:cstheme="minorHAnsi"/>
          <w:sz w:val="24"/>
          <w:szCs w:val="24"/>
        </w:rPr>
        <w:t>issue.</w:t>
      </w:r>
    </w:p>
    <w:p w14:paraId="57596BA4" w14:textId="77777777" w:rsidR="00AD7990" w:rsidRPr="00E37036" w:rsidRDefault="00AD7990" w:rsidP="000A3D52">
      <w:pPr>
        <w:pStyle w:val="Heading2"/>
        <w:rPr>
          <w:rFonts w:asciiTheme="minorHAnsi" w:hAnsiTheme="minorHAnsi" w:cstheme="minorHAnsi"/>
        </w:rPr>
      </w:pPr>
      <w:bookmarkStart w:id="8" w:name="_Toc92269969"/>
      <w:bookmarkStart w:id="9" w:name="_Toc95501627"/>
      <w:r w:rsidRPr="00E37036">
        <w:rPr>
          <w:rFonts w:asciiTheme="minorHAnsi" w:hAnsiTheme="minorHAnsi" w:cstheme="minorHAnsi"/>
        </w:rPr>
        <w:t>Branding and Imagery</w:t>
      </w:r>
      <w:bookmarkEnd w:id="8"/>
      <w:bookmarkEnd w:id="9"/>
      <w:r w:rsidRPr="00E37036">
        <w:rPr>
          <w:rFonts w:asciiTheme="minorHAnsi" w:hAnsiTheme="minorHAnsi" w:cstheme="minorHAnsi"/>
        </w:rPr>
        <w:t xml:space="preserve"> </w:t>
      </w:r>
    </w:p>
    <w:p w14:paraId="3F1F6F5C" w14:textId="1D7D8B5A" w:rsidR="001735D8" w:rsidRPr="00E37036" w:rsidRDefault="00593020" w:rsidP="5E5655BD">
      <w:pPr>
        <w:pStyle w:val="Content"/>
        <w:tabs>
          <w:tab w:val="clear" w:pos="560"/>
        </w:tabs>
        <w:adjustRightInd/>
        <w:spacing w:after="120" w:line="240" w:lineRule="auto"/>
        <w:jc w:val="left"/>
        <w:rPr>
          <w:rFonts w:asciiTheme="minorHAnsi" w:hAnsiTheme="minorHAnsi" w:cstheme="minorBidi"/>
          <w:sz w:val="24"/>
          <w:szCs w:val="24"/>
        </w:rPr>
      </w:pPr>
      <w:r w:rsidRPr="5E5655BD">
        <w:rPr>
          <w:rFonts w:asciiTheme="minorHAnsi" w:hAnsiTheme="minorHAnsi" w:cstheme="minorBidi"/>
          <w:sz w:val="24"/>
          <w:szCs w:val="24"/>
        </w:rPr>
        <w:t xml:space="preserve">Our </w:t>
      </w:r>
      <w:r w:rsidR="00030057" w:rsidRPr="5E5655BD">
        <w:rPr>
          <w:rFonts w:asciiTheme="minorHAnsi" w:hAnsiTheme="minorHAnsi" w:cstheme="minorBidi"/>
          <w:sz w:val="24"/>
          <w:szCs w:val="24"/>
        </w:rPr>
        <w:t>organization has a strong internal branding team.  However</w:t>
      </w:r>
      <w:r w:rsidR="00D8397B" w:rsidRPr="5E5655BD">
        <w:rPr>
          <w:rFonts w:asciiTheme="minorHAnsi" w:hAnsiTheme="minorHAnsi" w:cstheme="minorBidi"/>
          <w:sz w:val="24"/>
          <w:szCs w:val="24"/>
        </w:rPr>
        <w:t>,</w:t>
      </w:r>
      <w:r w:rsidR="00030057" w:rsidRPr="5E5655BD">
        <w:rPr>
          <w:rFonts w:asciiTheme="minorHAnsi" w:hAnsiTheme="minorHAnsi" w:cstheme="minorBidi"/>
          <w:sz w:val="24"/>
          <w:szCs w:val="24"/>
        </w:rPr>
        <w:t xml:space="preserve"> due to the size of our company, it is impractical </w:t>
      </w:r>
      <w:r w:rsidR="00E24C37" w:rsidRPr="5E5655BD">
        <w:rPr>
          <w:rFonts w:asciiTheme="minorHAnsi" w:hAnsiTheme="minorHAnsi" w:cstheme="minorBidi"/>
          <w:sz w:val="24"/>
          <w:szCs w:val="24"/>
        </w:rPr>
        <w:t>for the branding team to review all content before it is delivered internally or externally.  As such, they provide numerous templates</w:t>
      </w:r>
      <w:r w:rsidR="001C4780" w:rsidRPr="5E5655BD">
        <w:rPr>
          <w:rFonts w:asciiTheme="minorHAnsi" w:hAnsiTheme="minorHAnsi" w:cstheme="minorBidi"/>
          <w:sz w:val="24"/>
          <w:szCs w:val="24"/>
        </w:rPr>
        <w:t xml:space="preserve">, images, and icons that can be freely used by any </w:t>
      </w:r>
      <w:r w:rsidR="5E5655BD" w:rsidRPr="5E5655BD">
        <w:rPr>
          <w:rFonts w:asciiTheme="minorHAnsi" w:hAnsiTheme="minorHAnsi" w:cstheme="minorBidi"/>
          <w:sz w:val="24"/>
          <w:szCs w:val="24"/>
        </w:rPr>
        <w:t xml:space="preserve">Medical Marvels </w:t>
      </w:r>
      <w:r w:rsidR="001C4780" w:rsidRPr="5E5655BD">
        <w:rPr>
          <w:rFonts w:asciiTheme="minorHAnsi" w:hAnsiTheme="minorHAnsi" w:cstheme="minorBidi"/>
          <w:sz w:val="24"/>
          <w:szCs w:val="24"/>
        </w:rPr>
        <w:t xml:space="preserve">employee for any internal or external </w:t>
      </w:r>
      <w:r w:rsidR="00830715" w:rsidRPr="5E5655BD">
        <w:rPr>
          <w:rFonts w:asciiTheme="minorHAnsi" w:hAnsiTheme="minorHAnsi" w:cstheme="minorBidi"/>
          <w:sz w:val="24"/>
          <w:szCs w:val="24"/>
        </w:rPr>
        <w:t xml:space="preserve">content that is prepared.  </w:t>
      </w:r>
      <w:r w:rsidR="001735D8" w:rsidRPr="5E5655BD">
        <w:rPr>
          <w:rFonts w:asciiTheme="minorHAnsi" w:hAnsiTheme="minorHAnsi" w:cstheme="minorBidi"/>
          <w:sz w:val="24"/>
          <w:szCs w:val="24"/>
        </w:rPr>
        <w:t>However, the internal branding team is available for consultation when asked.</w:t>
      </w:r>
    </w:p>
    <w:p w14:paraId="6C8662B6" w14:textId="3E308AA3" w:rsidR="00855951" w:rsidRPr="00E37036" w:rsidRDefault="00830715" w:rsidP="5E5655BD">
      <w:pPr>
        <w:pStyle w:val="Content"/>
        <w:tabs>
          <w:tab w:val="clear" w:pos="560"/>
        </w:tabs>
        <w:adjustRightInd/>
        <w:spacing w:after="120" w:line="240" w:lineRule="auto"/>
        <w:jc w:val="left"/>
        <w:rPr>
          <w:rFonts w:asciiTheme="minorHAnsi" w:hAnsiTheme="minorHAnsi" w:cstheme="minorBidi"/>
          <w:sz w:val="24"/>
          <w:szCs w:val="24"/>
        </w:rPr>
      </w:pPr>
      <w:r w:rsidRPr="5E5655BD">
        <w:rPr>
          <w:rFonts w:asciiTheme="minorHAnsi" w:hAnsiTheme="minorHAnsi" w:cstheme="minorBidi"/>
          <w:sz w:val="24"/>
          <w:szCs w:val="24"/>
        </w:rPr>
        <w:t xml:space="preserve">Our leadership has reaffirmed that </w:t>
      </w:r>
      <w:r w:rsidR="00F55F14" w:rsidRPr="5E5655BD">
        <w:rPr>
          <w:rFonts w:asciiTheme="minorHAnsi" w:hAnsiTheme="minorHAnsi" w:cstheme="minorBidi"/>
          <w:sz w:val="24"/>
          <w:szCs w:val="24"/>
        </w:rPr>
        <w:t xml:space="preserve">there is no need for a formal review and approval by branding for creation of our Operating Unit curriculum content.  However, our leadership has required us to </w:t>
      </w:r>
      <w:r w:rsidR="008955F9" w:rsidRPr="5E5655BD">
        <w:rPr>
          <w:rFonts w:asciiTheme="minorHAnsi" w:hAnsiTheme="minorHAnsi" w:cstheme="minorBidi"/>
          <w:sz w:val="24"/>
          <w:szCs w:val="24"/>
        </w:rPr>
        <w:t xml:space="preserve">receive review and approval on our </w:t>
      </w:r>
      <w:r w:rsidR="008E3144" w:rsidRPr="5E5655BD">
        <w:rPr>
          <w:rFonts w:asciiTheme="minorHAnsi" w:hAnsiTheme="minorHAnsi" w:cstheme="minorBidi"/>
          <w:sz w:val="24"/>
          <w:szCs w:val="24"/>
        </w:rPr>
        <w:t>organization</w:t>
      </w:r>
      <w:r w:rsidR="008955F9" w:rsidRPr="5E5655BD">
        <w:rPr>
          <w:rFonts w:asciiTheme="minorHAnsi" w:hAnsiTheme="minorHAnsi" w:cstheme="minorBidi"/>
          <w:sz w:val="24"/>
          <w:szCs w:val="24"/>
        </w:rPr>
        <w:t xml:space="preserve">-wide training content in </w:t>
      </w:r>
      <w:r w:rsidR="008955F9" w:rsidRPr="5E5655BD">
        <w:rPr>
          <w:rFonts w:asciiTheme="minorHAnsi" w:hAnsiTheme="minorHAnsi" w:cstheme="minorBidi"/>
          <w:sz w:val="24"/>
          <w:szCs w:val="24"/>
        </w:rPr>
        <w:lastRenderedPageBreak/>
        <w:t>Foundations before it is assigned to all company employees.</w:t>
      </w:r>
    </w:p>
    <w:p w14:paraId="0A90E5E6" w14:textId="65B7D768" w:rsidR="00B03B04" w:rsidRPr="00E37036" w:rsidRDefault="00B03B04" w:rsidP="000A3D52">
      <w:pPr>
        <w:pStyle w:val="Content"/>
        <w:tabs>
          <w:tab w:val="clear" w:pos="560"/>
        </w:tabs>
        <w:adjustRightInd/>
        <w:spacing w:after="120" w:line="240" w:lineRule="auto"/>
        <w:jc w:val="left"/>
        <w:rPr>
          <w:rFonts w:asciiTheme="minorHAnsi" w:hAnsiTheme="minorHAnsi" w:cstheme="minorHAnsi"/>
          <w:sz w:val="24"/>
          <w:szCs w:val="24"/>
        </w:rPr>
      </w:pPr>
      <w:r w:rsidRPr="00E37036">
        <w:rPr>
          <w:rFonts w:asciiTheme="minorHAnsi" w:hAnsiTheme="minorHAnsi" w:cstheme="minorHAnsi"/>
          <w:sz w:val="24"/>
          <w:szCs w:val="24"/>
        </w:rPr>
        <w:t xml:space="preserve">We will leverage all available templates, images, and icons as appropriate for both the </w:t>
      </w:r>
      <w:proofErr w:type="gramStart"/>
      <w:r w:rsidR="00D60D95">
        <w:rPr>
          <w:rFonts w:asciiTheme="minorHAnsi" w:hAnsiTheme="minorHAnsi" w:cstheme="minorHAnsi"/>
          <w:sz w:val="24"/>
          <w:szCs w:val="24"/>
        </w:rPr>
        <w:t>o</w:t>
      </w:r>
      <w:r w:rsidRPr="00E37036">
        <w:rPr>
          <w:rFonts w:asciiTheme="minorHAnsi" w:hAnsiTheme="minorHAnsi" w:cstheme="minorHAnsi"/>
          <w:sz w:val="24"/>
          <w:szCs w:val="24"/>
        </w:rPr>
        <w:t>rganization-wide</w:t>
      </w:r>
      <w:proofErr w:type="gramEnd"/>
      <w:r w:rsidRPr="00E37036">
        <w:rPr>
          <w:rFonts w:asciiTheme="minorHAnsi" w:hAnsiTheme="minorHAnsi" w:cstheme="minorHAnsi"/>
          <w:sz w:val="24"/>
          <w:szCs w:val="24"/>
        </w:rPr>
        <w:t xml:space="preserve"> as well as the Operating Unit content</w:t>
      </w:r>
      <w:r w:rsidR="00C2209B" w:rsidRPr="00E37036">
        <w:rPr>
          <w:rFonts w:asciiTheme="minorHAnsi" w:hAnsiTheme="minorHAnsi" w:cstheme="minorHAnsi"/>
          <w:sz w:val="24"/>
          <w:szCs w:val="24"/>
        </w:rPr>
        <w:t xml:space="preserve"> </w:t>
      </w:r>
      <w:r w:rsidR="003A340F" w:rsidRPr="00E37036">
        <w:rPr>
          <w:rFonts w:asciiTheme="minorHAnsi" w:hAnsiTheme="minorHAnsi" w:cstheme="minorHAnsi"/>
          <w:sz w:val="24"/>
          <w:szCs w:val="24"/>
        </w:rPr>
        <w:t>to</w:t>
      </w:r>
      <w:r w:rsidR="00C2209B" w:rsidRPr="00E37036">
        <w:rPr>
          <w:rFonts w:asciiTheme="minorHAnsi" w:hAnsiTheme="minorHAnsi" w:cstheme="minorHAnsi"/>
          <w:sz w:val="24"/>
          <w:szCs w:val="24"/>
        </w:rPr>
        <w:t xml:space="preserve"> </w:t>
      </w:r>
      <w:r w:rsidR="00496071">
        <w:rPr>
          <w:rFonts w:asciiTheme="minorHAnsi" w:hAnsiTheme="minorHAnsi" w:cstheme="minorHAnsi"/>
          <w:sz w:val="24"/>
          <w:szCs w:val="24"/>
        </w:rPr>
        <w:t xml:space="preserve">maintain the </w:t>
      </w:r>
      <w:r w:rsidR="00C2209B" w:rsidRPr="00E37036">
        <w:rPr>
          <w:rFonts w:asciiTheme="minorHAnsi" w:hAnsiTheme="minorHAnsi" w:cstheme="minorHAnsi"/>
          <w:sz w:val="24"/>
          <w:szCs w:val="24"/>
        </w:rPr>
        <w:t xml:space="preserve">same format </w:t>
      </w:r>
      <w:r w:rsidR="00496071">
        <w:rPr>
          <w:rFonts w:asciiTheme="minorHAnsi" w:hAnsiTheme="minorHAnsi" w:cstheme="minorHAnsi"/>
          <w:sz w:val="24"/>
          <w:szCs w:val="24"/>
        </w:rPr>
        <w:t>across all medical device security training and awareness efforts</w:t>
      </w:r>
      <w:r w:rsidR="00C2209B" w:rsidRPr="00E37036">
        <w:rPr>
          <w:rFonts w:asciiTheme="minorHAnsi" w:hAnsiTheme="minorHAnsi" w:cstheme="minorHAnsi"/>
          <w:sz w:val="24"/>
          <w:szCs w:val="24"/>
        </w:rPr>
        <w:t>.</w:t>
      </w:r>
    </w:p>
    <w:p w14:paraId="125DCE4E" w14:textId="77777777" w:rsidR="00B172BC" w:rsidRPr="00E37036" w:rsidRDefault="00B172BC" w:rsidP="000A3D52">
      <w:pPr>
        <w:pStyle w:val="Heading2"/>
        <w:rPr>
          <w:rFonts w:asciiTheme="minorHAnsi" w:hAnsiTheme="minorHAnsi" w:cstheme="minorHAnsi"/>
        </w:rPr>
      </w:pPr>
      <w:bookmarkStart w:id="10" w:name="_Toc92269970"/>
      <w:bookmarkStart w:id="11" w:name="_Toc95501628"/>
      <w:r w:rsidRPr="00E37036">
        <w:rPr>
          <w:rFonts w:asciiTheme="minorHAnsi" w:hAnsiTheme="minorHAnsi" w:cstheme="minorHAnsi"/>
        </w:rPr>
        <w:t>Training</w:t>
      </w:r>
      <w:bookmarkEnd w:id="10"/>
      <w:bookmarkEnd w:id="11"/>
    </w:p>
    <w:p w14:paraId="68BB3354" w14:textId="05B92861" w:rsidR="009A46D9" w:rsidRPr="00E37036" w:rsidRDefault="007D7E19" w:rsidP="5E5655BD">
      <w:pPr>
        <w:pStyle w:val="Content"/>
        <w:tabs>
          <w:tab w:val="clear" w:pos="560"/>
        </w:tabs>
        <w:adjustRightInd/>
        <w:spacing w:after="120" w:line="240" w:lineRule="auto"/>
        <w:jc w:val="left"/>
        <w:rPr>
          <w:rFonts w:asciiTheme="minorHAnsi" w:hAnsiTheme="minorHAnsi" w:cstheme="minorBidi"/>
          <w:sz w:val="24"/>
          <w:szCs w:val="24"/>
        </w:rPr>
      </w:pPr>
      <w:r w:rsidRPr="5E5655BD">
        <w:rPr>
          <w:rFonts w:asciiTheme="minorHAnsi" w:hAnsiTheme="minorHAnsi" w:cstheme="minorBidi"/>
          <w:sz w:val="24"/>
          <w:szCs w:val="24"/>
        </w:rPr>
        <w:t>Our organization</w:t>
      </w:r>
      <w:r w:rsidR="00A57BA4" w:rsidRPr="5E5655BD">
        <w:rPr>
          <w:rFonts w:asciiTheme="minorHAnsi" w:hAnsiTheme="minorHAnsi" w:cstheme="minorBidi"/>
          <w:sz w:val="24"/>
          <w:szCs w:val="24"/>
        </w:rPr>
        <w:t xml:space="preserve">-wide training will be </w:t>
      </w:r>
      <w:r w:rsidR="009D6014" w:rsidRPr="5E5655BD">
        <w:rPr>
          <w:rFonts w:asciiTheme="minorHAnsi" w:hAnsiTheme="minorHAnsi" w:cstheme="minorBidi"/>
          <w:sz w:val="24"/>
          <w:szCs w:val="24"/>
        </w:rPr>
        <w:t xml:space="preserve">included in the annual Quality training where patient safety risk is already </w:t>
      </w:r>
      <w:r w:rsidR="007B1CE2" w:rsidRPr="5E5655BD">
        <w:rPr>
          <w:rFonts w:asciiTheme="minorHAnsi" w:hAnsiTheme="minorHAnsi" w:cstheme="minorBidi"/>
          <w:sz w:val="24"/>
          <w:szCs w:val="24"/>
        </w:rPr>
        <w:t xml:space="preserve">included.  </w:t>
      </w:r>
      <w:r w:rsidR="00704D4D" w:rsidRPr="5E5655BD">
        <w:rPr>
          <w:rFonts w:asciiTheme="minorHAnsi" w:hAnsiTheme="minorHAnsi" w:cstheme="minorBidi"/>
          <w:sz w:val="24"/>
          <w:szCs w:val="24"/>
        </w:rPr>
        <w:t xml:space="preserve">This way we will leverage the </w:t>
      </w:r>
      <w:r w:rsidR="00616A2F" w:rsidRPr="5E5655BD">
        <w:rPr>
          <w:rFonts w:asciiTheme="minorHAnsi" w:hAnsiTheme="minorHAnsi" w:cstheme="minorBidi"/>
          <w:sz w:val="24"/>
          <w:szCs w:val="24"/>
        </w:rPr>
        <w:t xml:space="preserve">communication and translation plans already in place for this broader training.  Our </w:t>
      </w:r>
      <w:r w:rsidR="005044A6" w:rsidRPr="5E5655BD">
        <w:rPr>
          <w:rFonts w:asciiTheme="minorHAnsi" w:hAnsiTheme="minorHAnsi" w:cstheme="minorBidi"/>
          <w:sz w:val="24"/>
          <w:szCs w:val="24"/>
        </w:rPr>
        <w:t xml:space="preserve">Operating Unit training will be delivered </w:t>
      </w:r>
      <w:r w:rsidR="004135F4" w:rsidRPr="5E5655BD">
        <w:rPr>
          <w:rFonts w:asciiTheme="minorHAnsi" w:hAnsiTheme="minorHAnsi" w:cstheme="minorBidi"/>
          <w:sz w:val="24"/>
          <w:szCs w:val="24"/>
        </w:rPr>
        <w:t xml:space="preserve">live through our virtual meeting software, </w:t>
      </w:r>
      <w:r w:rsidR="000163C5" w:rsidRPr="5E5655BD">
        <w:rPr>
          <w:rFonts w:asciiTheme="minorHAnsi" w:hAnsiTheme="minorHAnsi" w:cstheme="minorBidi"/>
          <w:sz w:val="24"/>
          <w:szCs w:val="24"/>
        </w:rPr>
        <w:t>WebEx.</w:t>
      </w:r>
    </w:p>
    <w:p w14:paraId="710E37DC" w14:textId="4AE52032" w:rsidR="00B172BC" w:rsidRDefault="00B172BC" w:rsidP="5E5655BD">
      <w:pPr>
        <w:pStyle w:val="Content"/>
        <w:tabs>
          <w:tab w:val="clear" w:pos="560"/>
        </w:tabs>
        <w:adjustRightInd/>
        <w:spacing w:after="120" w:line="240" w:lineRule="auto"/>
        <w:jc w:val="left"/>
        <w:rPr>
          <w:rFonts w:asciiTheme="minorHAnsi" w:hAnsiTheme="minorHAnsi" w:cstheme="minorBidi"/>
          <w:sz w:val="24"/>
          <w:szCs w:val="24"/>
        </w:rPr>
      </w:pPr>
      <w:r w:rsidRPr="5E5655BD">
        <w:rPr>
          <w:rFonts w:asciiTheme="minorHAnsi" w:hAnsiTheme="minorHAnsi" w:cstheme="minorBidi"/>
          <w:b/>
          <w:bCs/>
          <w:sz w:val="24"/>
          <w:szCs w:val="24"/>
        </w:rPr>
        <w:t>Primary Training</w:t>
      </w:r>
      <w:r w:rsidRPr="5E5655BD">
        <w:rPr>
          <w:rFonts w:asciiTheme="minorHAnsi" w:hAnsiTheme="minorHAnsi" w:cstheme="minorBidi"/>
          <w:sz w:val="24"/>
          <w:szCs w:val="24"/>
        </w:rPr>
        <w:t xml:space="preserve">: The primary method we use to communicate our </w:t>
      </w:r>
      <w:r w:rsidR="008E3144" w:rsidRPr="5E5655BD">
        <w:rPr>
          <w:rFonts w:asciiTheme="minorHAnsi" w:hAnsiTheme="minorHAnsi" w:cstheme="minorBidi"/>
          <w:sz w:val="24"/>
          <w:szCs w:val="24"/>
        </w:rPr>
        <w:t>organization</w:t>
      </w:r>
      <w:r w:rsidR="005C45A6" w:rsidRPr="5E5655BD">
        <w:rPr>
          <w:rFonts w:asciiTheme="minorHAnsi" w:hAnsiTheme="minorHAnsi" w:cstheme="minorBidi"/>
          <w:sz w:val="24"/>
          <w:szCs w:val="24"/>
        </w:rPr>
        <w:t>-wide</w:t>
      </w:r>
      <w:r w:rsidRPr="5E5655BD">
        <w:rPr>
          <w:rFonts w:asciiTheme="minorHAnsi" w:hAnsiTheme="minorHAnsi" w:cstheme="minorBidi"/>
          <w:sz w:val="24"/>
          <w:szCs w:val="24"/>
        </w:rPr>
        <w:t xml:space="preserve"> </w:t>
      </w:r>
      <w:r w:rsidR="00E056E8" w:rsidRPr="5E5655BD">
        <w:rPr>
          <w:rFonts w:asciiTheme="minorHAnsi" w:hAnsiTheme="minorHAnsi" w:cstheme="minorBidi"/>
          <w:sz w:val="24"/>
          <w:szCs w:val="24"/>
        </w:rPr>
        <w:t xml:space="preserve">training </w:t>
      </w:r>
      <w:r w:rsidRPr="5E5655BD">
        <w:rPr>
          <w:rFonts w:asciiTheme="minorHAnsi" w:hAnsiTheme="minorHAnsi" w:cstheme="minorBidi"/>
          <w:sz w:val="24"/>
          <w:szCs w:val="24"/>
        </w:rPr>
        <w:t xml:space="preserve">is Computer Based Training (CBT) through our internal </w:t>
      </w:r>
      <w:r w:rsidR="0075309A" w:rsidRPr="5E5655BD">
        <w:rPr>
          <w:rFonts w:asciiTheme="minorHAnsi" w:hAnsiTheme="minorHAnsi" w:cstheme="minorBidi"/>
          <w:sz w:val="24"/>
          <w:szCs w:val="24"/>
        </w:rPr>
        <w:t>l</w:t>
      </w:r>
      <w:r w:rsidRPr="5E5655BD">
        <w:rPr>
          <w:rFonts w:asciiTheme="minorHAnsi" w:hAnsiTheme="minorHAnsi" w:cstheme="minorBidi"/>
          <w:sz w:val="24"/>
          <w:szCs w:val="24"/>
        </w:rPr>
        <w:t xml:space="preserve">earning </w:t>
      </w:r>
      <w:r w:rsidR="0030262A" w:rsidRPr="5E5655BD">
        <w:rPr>
          <w:rFonts w:asciiTheme="minorHAnsi" w:hAnsiTheme="minorHAnsi" w:cstheme="minorBidi"/>
          <w:sz w:val="24"/>
          <w:szCs w:val="24"/>
        </w:rPr>
        <w:t>m</w:t>
      </w:r>
      <w:r w:rsidRPr="5E5655BD">
        <w:rPr>
          <w:rFonts w:asciiTheme="minorHAnsi" w:hAnsiTheme="minorHAnsi" w:cstheme="minorBidi"/>
          <w:sz w:val="24"/>
          <w:szCs w:val="24"/>
        </w:rPr>
        <w:t xml:space="preserve">anagement </w:t>
      </w:r>
      <w:r w:rsidR="0075309A" w:rsidRPr="5E5655BD">
        <w:rPr>
          <w:rFonts w:asciiTheme="minorHAnsi" w:hAnsiTheme="minorHAnsi" w:cstheme="minorBidi"/>
          <w:sz w:val="24"/>
          <w:szCs w:val="24"/>
        </w:rPr>
        <w:t>s</w:t>
      </w:r>
      <w:r w:rsidRPr="5E5655BD">
        <w:rPr>
          <w:rFonts w:asciiTheme="minorHAnsi" w:hAnsiTheme="minorHAnsi" w:cstheme="minorBidi"/>
          <w:sz w:val="24"/>
          <w:szCs w:val="24"/>
        </w:rPr>
        <w:t xml:space="preserve">ystem </w:t>
      </w:r>
      <w:r w:rsidR="0016538E" w:rsidRPr="5E5655BD">
        <w:rPr>
          <w:rFonts w:asciiTheme="minorHAnsi" w:hAnsiTheme="minorHAnsi" w:cstheme="minorBidi"/>
          <w:sz w:val="24"/>
          <w:szCs w:val="24"/>
        </w:rPr>
        <w:t>called Foundations</w:t>
      </w:r>
      <w:r w:rsidR="006D4986" w:rsidRPr="5E5655BD">
        <w:rPr>
          <w:rFonts w:asciiTheme="minorHAnsi" w:hAnsiTheme="minorHAnsi" w:cstheme="minorBidi"/>
          <w:sz w:val="24"/>
          <w:szCs w:val="24"/>
        </w:rPr>
        <w:t xml:space="preserve">.  This </w:t>
      </w:r>
      <w:r w:rsidRPr="5E5655BD">
        <w:rPr>
          <w:rFonts w:asciiTheme="minorHAnsi" w:hAnsiTheme="minorHAnsi" w:cstheme="minorBidi"/>
          <w:sz w:val="24"/>
          <w:szCs w:val="24"/>
        </w:rPr>
        <w:t xml:space="preserve">allows our </w:t>
      </w:r>
      <w:r w:rsidR="006D4986" w:rsidRPr="5E5655BD">
        <w:rPr>
          <w:rFonts w:asciiTheme="minorHAnsi" w:hAnsiTheme="minorHAnsi" w:cstheme="minorBidi"/>
          <w:sz w:val="24"/>
          <w:szCs w:val="24"/>
        </w:rPr>
        <w:t xml:space="preserve">employees </w:t>
      </w:r>
      <w:r w:rsidRPr="5E5655BD">
        <w:rPr>
          <w:rFonts w:asciiTheme="minorHAnsi" w:hAnsiTheme="minorHAnsi" w:cstheme="minorBidi"/>
          <w:sz w:val="24"/>
          <w:szCs w:val="24"/>
        </w:rPr>
        <w:t xml:space="preserve">to take the training on-demand as their schedule allows and is easy to implement in a way that can track participation and include evaluations as part of the training. During online training, all users also take an online quiz to test comprehension of </w:t>
      </w:r>
      <w:r w:rsidR="001E4407" w:rsidRPr="5E5655BD">
        <w:rPr>
          <w:rFonts w:asciiTheme="minorHAnsi" w:hAnsiTheme="minorHAnsi" w:cstheme="minorBidi"/>
          <w:sz w:val="24"/>
          <w:szCs w:val="24"/>
        </w:rPr>
        <w:t xml:space="preserve">the </w:t>
      </w:r>
      <w:r w:rsidR="0030262A" w:rsidRPr="5E5655BD">
        <w:rPr>
          <w:rFonts w:asciiTheme="minorHAnsi" w:hAnsiTheme="minorHAnsi" w:cstheme="minorBidi"/>
          <w:sz w:val="24"/>
          <w:szCs w:val="24"/>
        </w:rPr>
        <w:t>m</w:t>
      </w:r>
      <w:r w:rsidR="001E4407" w:rsidRPr="5E5655BD">
        <w:rPr>
          <w:rFonts w:asciiTheme="minorHAnsi" w:hAnsiTheme="minorHAnsi" w:cstheme="minorBidi"/>
          <w:sz w:val="24"/>
          <w:szCs w:val="24"/>
        </w:rPr>
        <w:t xml:space="preserve">edical </w:t>
      </w:r>
      <w:r w:rsidR="0030262A" w:rsidRPr="5E5655BD">
        <w:rPr>
          <w:rFonts w:asciiTheme="minorHAnsi" w:hAnsiTheme="minorHAnsi" w:cstheme="minorBidi"/>
          <w:sz w:val="24"/>
          <w:szCs w:val="24"/>
        </w:rPr>
        <w:t>d</w:t>
      </w:r>
      <w:r w:rsidR="001E4407" w:rsidRPr="5E5655BD">
        <w:rPr>
          <w:rFonts w:asciiTheme="minorHAnsi" w:hAnsiTheme="minorHAnsi" w:cstheme="minorBidi"/>
          <w:sz w:val="24"/>
          <w:szCs w:val="24"/>
        </w:rPr>
        <w:t xml:space="preserve">evice </w:t>
      </w:r>
      <w:r w:rsidR="0030262A" w:rsidRPr="5E5655BD">
        <w:rPr>
          <w:rFonts w:asciiTheme="minorHAnsi" w:hAnsiTheme="minorHAnsi" w:cstheme="minorBidi"/>
          <w:sz w:val="24"/>
          <w:szCs w:val="24"/>
        </w:rPr>
        <w:t>s</w:t>
      </w:r>
      <w:r w:rsidR="00195ECB" w:rsidRPr="5E5655BD">
        <w:rPr>
          <w:rFonts w:asciiTheme="minorHAnsi" w:hAnsiTheme="minorHAnsi" w:cstheme="minorBidi"/>
          <w:sz w:val="24"/>
          <w:szCs w:val="24"/>
        </w:rPr>
        <w:t>e</w:t>
      </w:r>
      <w:r w:rsidR="001E4407" w:rsidRPr="5E5655BD">
        <w:rPr>
          <w:rFonts w:asciiTheme="minorHAnsi" w:hAnsiTheme="minorHAnsi" w:cstheme="minorBidi"/>
          <w:sz w:val="24"/>
          <w:szCs w:val="24"/>
        </w:rPr>
        <w:t>curity module of the overall Quality training</w:t>
      </w:r>
      <w:r w:rsidRPr="5E5655BD">
        <w:rPr>
          <w:rFonts w:asciiTheme="minorHAnsi" w:hAnsiTheme="minorHAnsi" w:cstheme="minorBidi"/>
          <w:sz w:val="24"/>
          <w:szCs w:val="24"/>
        </w:rPr>
        <w:t xml:space="preserve">. The goal of the annual training is to both set the baseline training for our organization and ensure we are compliant. </w:t>
      </w:r>
      <w:r w:rsidR="00CA2547" w:rsidRPr="5E5655BD">
        <w:rPr>
          <w:rFonts w:asciiTheme="minorHAnsi" w:hAnsiTheme="minorHAnsi" w:cstheme="minorBidi"/>
          <w:sz w:val="24"/>
          <w:szCs w:val="24"/>
        </w:rPr>
        <w:t xml:space="preserve">The </w:t>
      </w:r>
      <w:r w:rsidR="0030262A" w:rsidRPr="5E5655BD">
        <w:rPr>
          <w:rFonts w:asciiTheme="minorHAnsi" w:hAnsiTheme="minorHAnsi" w:cstheme="minorBidi"/>
          <w:sz w:val="24"/>
          <w:szCs w:val="24"/>
        </w:rPr>
        <w:t>c</w:t>
      </w:r>
      <w:r w:rsidR="003D19B4" w:rsidRPr="5E5655BD">
        <w:rPr>
          <w:rFonts w:asciiTheme="minorHAnsi" w:hAnsiTheme="minorHAnsi" w:cstheme="minorBidi"/>
          <w:sz w:val="24"/>
          <w:szCs w:val="24"/>
        </w:rPr>
        <w:t>orporate Quality team</w:t>
      </w:r>
      <w:r w:rsidRPr="5E5655BD">
        <w:rPr>
          <w:rFonts w:asciiTheme="minorHAnsi" w:hAnsiTheme="minorHAnsi" w:cstheme="minorBidi"/>
          <w:sz w:val="24"/>
          <w:szCs w:val="24"/>
        </w:rPr>
        <w:t xml:space="preserve"> assumes operational control of online awareness training and enforces this policy</w:t>
      </w:r>
      <w:r w:rsidR="003D19B4" w:rsidRPr="5E5655BD">
        <w:rPr>
          <w:rFonts w:asciiTheme="minorHAnsi" w:hAnsiTheme="minorHAnsi" w:cstheme="minorBidi"/>
          <w:sz w:val="24"/>
          <w:szCs w:val="24"/>
        </w:rPr>
        <w:t xml:space="preserve">.  However, our </w:t>
      </w:r>
      <w:r w:rsidR="0030262A" w:rsidRPr="5E5655BD">
        <w:rPr>
          <w:rFonts w:asciiTheme="minorHAnsi" w:hAnsiTheme="minorHAnsi" w:cstheme="minorBidi"/>
          <w:sz w:val="24"/>
          <w:szCs w:val="24"/>
        </w:rPr>
        <w:t>m</w:t>
      </w:r>
      <w:r w:rsidR="003D19B4" w:rsidRPr="5E5655BD">
        <w:rPr>
          <w:rFonts w:asciiTheme="minorHAnsi" w:hAnsiTheme="minorHAnsi" w:cstheme="minorBidi"/>
          <w:sz w:val="24"/>
          <w:szCs w:val="24"/>
        </w:rPr>
        <w:t xml:space="preserve">edical </w:t>
      </w:r>
      <w:r w:rsidR="0030262A" w:rsidRPr="5E5655BD">
        <w:rPr>
          <w:rFonts w:asciiTheme="minorHAnsi" w:hAnsiTheme="minorHAnsi" w:cstheme="minorBidi"/>
          <w:sz w:val="24"/>
          <w:szCs w:val="24"/>
        </w:rPr>
        <w:t>d</w:t>
      </w:r>
      <w:r w:rsidR="003D19B4" w:rsidRPr="5E5655BD">
        <w:rPr>
          <w:rFonts w:asciiTheme="minorHAnsi" w:hAnsiTheme="minorHAnsi" w:cstheme="minorBidi"/>
          <w:sz w:val="24"/>
          <w:szCs w:val="24"/>
        </w:rPr>
        <w:t xml:space="preserve">evice </w:t>
      </w:r>
      <w:r w:rsidR="0030262A" w:rsidRPr="5E5655BD">
        <w:rPr>
          <w:rFonts w:asciiTheme="minorHAnsi" w:hAnsiTheme="minorHAnsi" w:cstheme="minorBidi"/>
          <w:sz w:val="24"/>
          <w:szCs w:val="24"/>
        </w:rPr>
        <w:t>s</w:t>
      </w:r>
      <w:r w:rsidR="003D19B4" w:rsidRPr="5E5655BD">
        <w:rPr>
          <w:rFonts w:asciiTheme="minorHAnsi" w:hAnsiTheme="minorHAnsi" w:cstheme="minorBidi"/>
          <w:sz w:val="24"/>
          <w:szCs w:val="24"/>
        </w:rPr>
        <w:t xml:space="preserve">ecurity </w:t>
      </w:r>
      <w:r w:rsidR="0030262A" w:rsidRPr="5E5655BD">
        <w:rPr>
          <w:rFonts w:asciiTheme="minorHAnsi" w:hAnsiTheme="minorHAnsi" w:cstheme="minorBidi"/>
          <w:sz w:val="24"/>
          <w:szCs w:val="24"/>
        </w:rPr>
        <w:t>a</w:t>
      </w:r>
      <w:r w:rsidR="003D19B4" w:rsidRPr="5E5655BD">
        <w:rPr>
          <w:rFonts w:asciiTheme="minorHAnsi" w:hAnsiTheme="minorHAnsi" w:cstheme="minorBidi"/>
          <w:sz w:val="24"/>
          <w:szCs w:val="24"/>
        </w:rPr>
        <w:t xml:space="preserve">wareness team will assist </w:t>
      </w:r>
      <w:r w:rsidR="0030262A" w:rsidRPr="5E5655BD">
        <w:rPr>
          <w:rFonts w:asciiTheme="minorHAnsi" w:hAnsiTheme="minorHAnsi" w:cstheme="minorBidi"/>
          <w:sz w:val="24"/>
          <w:szCs w:val="24"/>
        </w:rPr>
        <w:t>c</w:t>
      </w:r>
      <w:r w:rsidR="003D19B4" w:rsidRPr="5E5655BD">
        <w:rPr>
          <w:rFonts w:asciiTheme="minorHAnsi" w:hAnsiTheme="minorHAnsi" w:cstheme="minorBidi"/>
          <w:sz w:val="24"/>
          <w:szCs w:val="24"/>
        </w:rPr>
        <w:t xml:space="preserve">orporate Quality in this </w:t>
      </w:r>
      <w:r w:rsidR="00373470" w:rsidRPr="5E5655BD">
        <w:rPr>
          <w:rFonts w:asciiTheme="minorHAnsi" w:hAnsiTheme="minorHAnsi" w:cstheme="minorBidi"/>
          <w:sz w:val="24"/>
          <w:szCs w:val="24"/>
        </w:rPr>
        <w:t>awareness</w:t>
      </w:r>
      <w:r w:rsidR="003D19B4" w:rsidRPr="5E5655BD">
        <w:rPr>
          <w:rFonts w:asciiTheme="minorHAnsi" w:hAnsiTheme="minorHAnsi" w:cstheme="minorBidi"/>
          <w:sz w:val="24"/>
          <w:szCs w:val="24"/>
        </w:rPr>
        <w:t xml:space="preserve"> to ensure </w:t>
      </w:r>
      <w:r w:rsidR="00C835BE" w:rsidRPr="5E5655BD">
        <w:rPr>
          <w:rFonts w:asciiTheme="minorHAnsi" w:hAnsiTheme="minorHAnsi" w:cstheme="minorBidi"/>
          <w:sz w:val="24"/>
          <w:szCs w:val="24"/>
        </w:rPr>
        <w:t xml:space="preserve">security is highlighted </w:t>
      </w:r>
      <w:r w:rsidR="00CF11F3" w:rsidRPr="5E5655BD">
        <w:rPr>
          <w:rFonts w:asciiTheme="minorHAnsi" w:hAnsiTheme="minorHAnsi" w:cstheme="minorBidi"/>
          <w:sz w:val="24"/>
          <w:szCs w:val="24"/>
        </w:rPr>
        <w:t xml:space="preserve">as a new module </w:t>
      </w:r>
      <w:r w:rsidR="00373470" w:rsidRPr="5E5655BD">
        <w:rPr>
          <w:rFonts w:asciiTheme="minorHAnsi" w:hAnsiTheme="minorHAnsi" w:cstheme="minorBidi"/>
          <w:sz w:val="24"/>
          <w:szCs w:val="24"/>
        </w:rPr>
        <w:t>this year.</w:t>
      </w:r>
    </w:p>
    <w:p w14:paraId="5FEC0EAA" w14:textId="69E3EB4A" w:rsidR="00D91445" w:rsidRDefault="00D91445" w:rsidP="5E5655BD">
      <w:pPr>
        <w:pStyle w:val="Content"/>
        <w:tabs>
          <w:tab w:val="clear" w:pos="560"/>
        </w:tabs>
        <w:adjustRightInd/>
        <w:spacing w:after="120" w:line="240" w:lineRule="auto"/>
        <w:jc w:val="left"/>
        <w:rPr>
          <w:rFonts w:asciiTheme="minorHAnsi" w:hAnsiTheme="minorHAnsi" w:cstheme="minorBidi"/>
          <w:sz w:val="24"/>
          <w:szCs w:val="24"/>
        </w:rPr>
      </w:pPr>
      <w:r w:rsidRPr="5E5655BD">
        <w:rPr>
          <w:rFonts w:asciiTheme="minorHAnsi" w:hAnsiTheme="minorHAnsi" w:cstheme="minorBidi"/>
          <w:sz w:val="24"/>
          <w:szCs w:val="24"/>
        </w:rPr>
        <w:t xml:space="preserve">The primary method we use to communicate our </w:t>
      </w:r>
      <w:r w:rsidR="00D55238" w:rsidRPr="5E5655BD">
        <w:rPr>
          <w:rFonts w:asciiTheme="minorHAnsi" w:hAnsiTheme="minorHAnsi" w:cstheme="minorBidi"/>
          <w:sz w:val="24"/>
          <w:szCs w:val="24"/>
        </w:rPr>
        <w:t xml:space="preserve">Operating Unit </w:t>
      </w:r>
      <w:r w:rsidR="00E056E8" w:rsidRPr="5E5655BD">
        <w:rPr>
          <w:rFonts w:asciiTheme="minorHAnsi" w:hAnsiTheme="minorHAnsi" w:cstheme="minorBidi"/>
          <w:sz w:val="24"/>
          <w:szCs w:val="24"/>
        </w:rPr>
        <w:t xml:space="preserve">training </w:t>
      </w:r>
      <w:r w:rsidR="009D1C0B" w:rsidRPr="5E5655BD">
        <w:rPr>
          <w:rFonts w:asciiTheme="minorHAnsi" w:hAnsiTheme="minorHAnsi" w:cstheme="minorBidi"/>
          <w:sz w:val="24"/>
          <w:szCs w:val="24"/>
        </w:rPr>
        <w:t xml:space="preserve">is through </w:t>
      </w:r>
      <w:r w:rsidR="00E80F76" w:rsidRPr="5E5655BD">
        <w:rPr>
          <w:rFonts w:asciiTheme="minorHAnsi" w:hAnsiTheme="minorHAnsi" w:cstheme="minorBidi"/>
          <w:sz w:val="24"/>
          <w:szCs w:val="24"/>
        </w:rPr>
        <w:t xml:space="preserve">live </w:t>
      </w:r>
      <w:r w:rsidR="001D77BC" w:rsidRPr="5E5655BD">
        <w:rPr>
          <w:rFonts w:asciiTheme="minorHAnsi" w:hAnsiTheme="minorHAnsi" w:cstheme="minorBidi"/>
          <w:sz w:val="24"/>
          <w:szCs w:val="24"/>
        </w:rPr>
        <w:t xml:space="preserve">Instructor Led Training (ILD) </w:t>
      </w:r>
      <w:r w:rsidR="00E80F76" w:rsidRPr="5E5655BD">
        <w:rPr>
          <w:rFonts w:asciiTheme="minorHAnsi" w:hAnsiTheme="minorHAnsi" w:cstheme="minorBidi"/>
          <w:sz w:val="24"/>
          <w:szCs w:val="24"/>
        </w:rPr>
        <w:t>over WebEx video conferences.</w:t>
      </w:r>
      <w:r w:rsidR="00010D2F" w:rsidRPr="5E5655BD">
        <w:rPr>
          <w:rFonts w:asciiTheme="minorHAnsi" w:hAnsiTheme="minorHAnsi" w:cstheme="minorBidi"/>
          <w:sz w:val="24"/>
          <w:szCs w:val="24"/>
        </w:rPr>
        <w:t xml:space="preserve">  The smaller group sizes of either Engineering, Quality, or Regulatory Affairs in each Operating Unit will lend themselves to more audience interaction and questions on how the topic of </w:t>
      </w:r>
      <w:r w:rsidR="0030262A" w:rsidRPr="5E5655BD">
        <w:rPr>
          <w:rFonts w:asciiTheme="minorHAnsi" w:hAnsiTheme="minorHAnsi" w:cstheme="minorBidi"/>
          <w:sz w:val="24"/>
          <w:szCs w:val="24"/>
        </w:rPr>
        <w:t>m</w:t>
      </w:r>
      <w:r w:rsidR="00010D2F" w:rsidRPr="5E5655BD">
        <w:rPr>
          <w:rFonts w:asciiTheme="minorHAnsi" w:hAnsiTheme="minorHAnsi" w:cstheme="minorBidi"/>
          <w:sz w:val="24"/>
          <w:szCs w:val="24"/>
        </w:rPr>
        <w:t xml:space="preserve">edical </w:t>
      </w:r>
      <w:r w:rsidR="0030262A" w:rsidRPr="5E5655BD">
        <w:rPr>
          <w:rFonts w:asciiTheme="minorHAnsi" w:hAnsiTheme="minorHAnsi" w:cstheme="minorBidi"/>
          <w:sz w:val="24"/>
          <w:szCs w:val="24"/>
        </w:rPr>
        <w:t>d</w:t>
      </w:r>
      <w:r w:rsidR="00010D2F" w:rsidRPr="5E5655BD">
        <w:rPr>
          <w:rFonts w:asciiTheme="minorHAnsi" w:hAnsiTheme="minorHAnsi" w:cstheme="minorBidi"/>
          <w:sz w:val="24"/>
          <w:szCs w:val="24"/>
        </w:rPr>
        <w:t xml:space="preserve">evice </w:t>
      </w:r>
      <w:r w:rsidR="0030262A" w:rsidRPr="5E5655BD">
        <w:rPr>
          <w:rFonts w:asciiTheme="minorHAnsi" w:hAnsiTheme="minorHAnsi" w:cstheme="minorBidi"/>
          <w:sz w:val="24"/>
          <w:szCs w:val="24"/>
        </w:rPr>
        <w:t>s</w:t>
      </w:r>
      <w:r w:rsidR="00010D2F" w:rsidRPr="5E5655BD">
        <w:rPr>
          <w:rFonts w:asciiTheme="minorHAnsi" w:hAnsiTheme="minorHAnsi" w:cstheme="minorBidi"/>
          <w:sz w:val="24"/>
          <w:szCs w:val="24"/>
        </w:rPr>
        <w:t xml:space="preserve">ecurity applies to them as well as recommendations on how to implement both pre-market and post-market concepts in their </w:t>
      </w:r>
      <w:r w:rsidR="007D3F72" w:rsidRPr="5E5655BD">
        <w:rPr>
          <w:rFonts w:asciiTheme="minorHAnsi" w:hAnsiTheme="minorHAnsi" w:cstheme="minorBidi"/>
          <w:sz w:val="24"/>
          <w:szCs w:val="24"/>
        </w:rPr>
        <w:t xml:space="preserve">departments going forward.  This training will be mandatory and required by leadership of Engineering, Quality, and Regulatory Affairs within each Operating Unit.  Attendance will be tracked through WebEx </w:t>
      </w:r>
      <w:r w:rsidR="00304302" w:rsidRPr="5E5655BD">
        <w:rPr>
          <w:rFonts w:asciiTheme="minorHAnsi" w:hAnsiTheme="minorHAnsi" w:cstheme="minorBidi"/>
          <w:sz w:val="24"/>
          <w:szCs w:val="24"/>
        </w:rPr>
        <w:t xml:space="preserve">attendee listing that is automatically generated from attendees joining the scheduled WebEx teleconferences.  Our leadership will work with the leadership teams in each </w:t>
      </w:r>
      <w:r w:rsidR="00B3142E" w:rsidRPr="5E5655BD">
        <w:rPr>
          <w:rFonts w:asciiTheme="minorHAnsi" w:hAnsiTheme="minorHAnsi" w:cstheme="minorBidi"/>
          <w:sz w:val="24"/>
          <w:szCs w:val="24"/>
        </w:rPr>
        <w:t>Operating</w:t>
      </w:r>
      <w:r w:rsidR="00304302" w:rsidRPr="5E5655BD">
        <w:rPr>
          <w:rFonts w:asciiTheme="minorHAnsi" w:hAnsiTheme="minorHAnsi" w:cstheme="minorBidi"/>
          <w:sz w:val="24"/>
          <w:szCs w:val="24"/>
        </w:rPr>
        <w:t xml:space="preserve"> Unit to schedule and communicate the </w:t>
      </w:r>
      <w:r w:rsidR="00B3142E" w:rsidRPr="5E5655BD">
        <w:rPr>
          <w:rFonts w:asciiTheme="minorHAnsi" w:hAnsiTheme="minorHAnsi" w:cstheme="minorBidi"/>
          <w:sz w:val="24"/>
          <w:szCs w:val="24"/>
        </w:rPr>
        <w:t>requirement</w:t>
      </w:r>
      <w:r w:rsidR="00304302" w:rsidRPr="5E5655BD">
        <w:rPr>
          <w:rFonts w:asciiTheme="minorHAnsi" w:hAnsiTheme="minorHAnsi" w:cstheme="minorBidi"/>
          <w:sz w:val="24"/>
          <w:szCs w:val="24"/>
        </w:rPr>
        <w:t xml:space="preserve"> of this training for their </w:t>
      </w:r>
      <w:r w:rsidR="00B3142E" w:rsidRPr="5E5655BD">
        <w:rPr>
          <w:rFonts w:asciiTheme="minorHAnsi" w:hAnsiTheme="minorHAnsi" w:cstheme="minorBidi"/>
          <w:sz w:val="24"/>
          <w:szCs w:val="24"/>
        </w:rPr>
        <w:t>employees.</w:t>
      </w:r>
    </w:p>
    <w:p w14:paraId="3790F66F" w14:textId="7299F9B4" w:rsidR="00373470" w:rsidRDefault="00B3142E" w:rsidP="000A3D52">
      <w:pPr>
        <w:pStyle w:val="Content"/>
        <w:tabs>
          <w:tab w:val="clear" w:pos="560"/>
        </w:tabs>
        <w:adjustRightInd/>
        <w:spacing w:after="120" w:line="240" w:lineRule="auto"/>
        <w:jc w:val="left"/>
        <w:rPr>
          <w:rFonts w:asciiTheme="minorHAnsi" w:hAnsiTheme="minorHAnsi" w:cstheme="minorHAnsi"/>
          <w:sz w:val="24"/>
          <w:szCs w:val="24"/>
        </w:rPr>
      </w:pPr>
      <w:r>
        <w:rPr>
          <w:rFonts w:asciiTheme="minorHAnsi" w:hAnsiTheme="minorHAnsi" w:cstheme="minorHAnsi"/>
          <w:b/>
          <w:bCs/>
          <w:sz w:val="24"/>
          <w:szCs w:val="24"/>
        </w:rPr>
        <w:t>Reinforcement Training</w:t>
      </w:r>
      <w:r w:rsidR="004358CA">
        <w:rPr>
          <w:rFonts w:asciiTheme="minorHAnsi" w:hAnsiTheme="minorHAnsi" w:cstheme="minorHAnsi"/>
          <w:b/>
          <w:bCs/>
          <w:sz w:val="24"/>
          <w:szCs w:val="24"/>
        </w:rPr>
        <w:t xml:space="preserve"> and Awareness</w:t>
      </w:r>
      <w:r>
        <w:rPr>
          <w:rFonts w:asciiTheme="minorHAnsi" w:hAnsiTheme="minorHAnsi" w:cstheme="minorHAnsi"/>
          <w:sz w:val="24"/>
          <w:szCs w:val="24"/>
        </w:rPr>
        <w:t xml:space="preserve">: </w:t>
      </w:r>
      <w:r w:rsidR="00021678">
        <w:rPr>
          <w:rFonts w:asciiTheme="minorHAnsi" w:hAnsiTheme="minorHAnsi" w:cstheme="minorHAnsi"/>
          <w:sz w:val="24"/>
          <w:szCs w:val="24"/>
        </w:rPr>
        <w:t xml:space="preserve">One instance of training our target </w:t>
      </w:r>
      <w:r w:rsidR="001D23F5">
        <w:rPr>
          <w:rFonts w:asciiTheme="minorHAnsi" w:hAnsiTheme="minorHAnsi" w:cstheme="minorHAnsi"/>
          <w:sz w:val="24"/>
          <w:szCs w:val="24"/>
        </w:rPr>
        <w:t xml:space="preserve">stakeholders is not enough to change culture across a large company.  We will reinforce key behaviors </w:t>
      </w:r>
      <w:r w:rsidR="006E266B">
        <w:rPr>
          <w:rFonts w:asciiTheme="minorHAnsi" w:hAnsiTheme="minorHAnsi" w:cstheme="minorHAnsi"/>
          <w:sz w:val="24"/>
          <w:szCs w:val="24"/>
        </w:rPr>
        <w:t>through the following methods throughout the year:</w:t>
      </w:r>
    </w:p>
    <w:p w14:paraId="18F77C27" w14:textId="39ECAA40" w:rsidR="006E266B" w:rsidRDefault="00976381" w:rsidP="000A3D52">
      <w:pPr>
        <w:pStyle w:val="Content"/>
        <w:numPr>
          <w:ilvl w:val="0"/>
          <w:numId w:val="5"/>
        </w:numPr>
        <w:tabs>
          <w:tab w:val="clear" w:pos="560"/>
        </w:tabs>
        <w:adjustRightInd/>
        <w:spacing w:after="120" w:line="240" w:lineRule="auto"/>
        <w:jc w:val="left"/>
        <w:rPr>
          <w:rFonts w:asciiTheme="minorHAnsi" w:hAnsiTheme="minorHAnsi" w:cstheme="minorHAnsi"/>
          <w:sz w:val="24"/>
          <w:szCs w:val="24"/>
        </w:rPr>
      </w:pPr>
      <w:r w:rsidRPr="00976381">
        <w:rPr>
          <w:rFonts w:asciiTheme="minorHAnsi" w:hAnsiTheme="minorHAnsi" w:cstheme="minorHAnsi"/>
          <w:b/>
          <w:bCs/>
          <w:sz w:val="24"/>
          <w:szCs w:val="24"/>
        </w:rPr>
        <w:t>Medical Device Security Symposium</w:t>
      </w:r>
      <w:r>
        <w:rPr>
          <w:rFonts w:asciiTheme="minorHAnsi" w:hAnsiTheme="minorHAnsi" w:cstheme="minorHAnsi"/>
          <w:sz w:val="24"/>
          <w:szCs w:val="24"/>
        </w:rPr>
        <w:t xml:space="preserve">: An annual internal conference dedicated to this topic where we will have presentations and panels providing an update on </w:t>
      </w:r>
      <w:r w:rsidR="00E06478">
        <w:rPr>
          <w:rFonts w:asciiTheme="minorHAnsi" w:hAnsiTheme="minorHAnsi" w:cstheme="minorHAnsi"/>
          <w:sz w:val="24"/>
          <w:szCs w:val="24"/>
        </w:rPr>
        <w:t>trending topics of interest over the past year.</w:t>
      </w:r>
      <w:r w:rsidR="004A1739">
        <w:rPr>
          <w:rFonts w:asciiTheme="minorHAnsi" w:hAnsiTheme="minorHAnsi" w:cstheme="minorHAnsi"/>
          <w:sz w:val="24"/>
          <w:szCs w:val="24"/>
        </w:rPr>
        <w:t xml:space="preserve">  Attendance will be optional but encouraged with recordings of all </w:t>
      </w:r>
      <w:r w:rsidR="00744896">
        <w:rPr>
          <w:rFonts w:asciiTheme="minorHAnsi" w:hAnsiTheme="minorHAnsi" w:cstheme="minorHAnsi"/>
          <w:sz w:val="24"/>
          <w:szCs w:val="24"/>
        </w:rPr>
        <w:t>s</w:t>
      </w:r>
      <w:r w:rsidR="004A1739">
        <w:rPr>
          <w:rFonts w:asciiTheme="minorHAnsi" w:hAnsiTheme="minorHAnsi" w:cstheme="minorHAnsi"/>
          <w:sz w:val="24"/>
          <w:szCs w:val="24"/>
        </w:rPr>
        <w:t>ymposium sessions saved for later reference by internal employees.</w:t>
      </w:r>
    </w:p>
    <w:p w14:paraId="6A9F309A" w14:textId="0460B546" w:rsidR="004A1739" w:rsidRDefault="00483F8D" w:rsidP="000A3D52">
      <w:pPr>
        <w:pStyle w:val="Content"/>
        <w:numPr>
          <w:ilvl w:val="0"/>
          <w:numId w:val="5"/>
        </w:numPr>
        <w:tabs>
          <w:tab w:val="clear" w:pos="560"/>
        </w:tabs>
        <w:adjustRightInd/>
        <w:spacing w:after="120" w:line="240" w:lineRule="auto"/>
        <w:jc w:val="left"/>
        <w:rPr>
          <w:rFonts w:asciiTheme="minorHAnsi" w:hAnsiTheme="minorHAnsi" w:cstheme="minorHAnsi"/>
          <w:sz w:val="24"/>
          <w:szCs w:val="24"/>
        </w:rPr>
      </w:pPr>
      <w:r>
        <w:rPr>
          <w:rFonts w:asciiTheme="minorHAnsi" w:hAnsiTheme="minorHAnsi" w:cstheme="minorHAnsi"/>
          <w:b/>
          <w:bCs/>
          <w:sz w:val="24"/>
          <w:szCs w:val="24"/>
        </w:rPr>
        <w:t>Bi-Monthly</w:t>
      </w:r>
      <w:r>
        <w:rPr>
          <w:rFonts w:asciiTheme="minorHAnsi" w:hAnsiTheme="minorHAnsi" w:cstheme="minorHAnsi"/>
          <w:sz w:val="24"/>
          <w:szCs w:val="24"/>
        </w:rPr>
        <w:t xml:space="preserve"> </w:t>
      </w:r>
      <w:r w:rsidR="00F81A91">
        <w:rPr>
          <w:rFonts w:asciiTheme="minorHAnsi" w:hAnsiTheme="minorHAnsi" w:cstheme="minorHAnsi"/>
          <w:b/>
          <w:bCs/>
          <w:sz w:val="24"/>
          <w:szCs w:val="24"/>
        </w:rPr>
        <w:t>Touchpoint</w:t>
      </w:r>
      <w:r>
        <w:rPr>
          <w:rFonts w:asciiTheme="minorHAnsi" w:hAnsiTheme="minorHAnsi" w:cstheme="minorHAnsi"/>
          <w:b/>
          <w:bCs/>
          <w:sz w:val="24"/>
          <w:szCs w:val="24"/>
        </w:rPr>
        <w:t>:</w:t>
      </w:r>
      <w:r>
        <w:rPr>
          <w:rFonts w:asciiTheme="minorHAnsi" w:hAnsiTheme="minorHAnsi" w:cstheme="minorHAnsi"/>
          <w:sz w:val="24"/>
          <w:szCs w:val="24"/>
        </w:rPr>
        <w:t xml:space="preserve"> A </w:t>
      </w:r>
      <w:r w:rsidR="00AE04F9">
        <w:rPr>
          <w:rFonts w:asciiTheme="minorHAnsi" w:hAnsiTheme="minorHAnsi" w:cstheme="minorHAnsi"/>
          <w:sz w:val="24"/>
          <w:szCs w:val="24"/>
        </w:rPr>
        <w:t>90-minute</w:t>
      </w:r>
      <w:r>
        <w:rPr>
          <w:rFonts w:asciiTheme="minorHAnsi" w:hAnsiTheme="minorHAnsi" w:cstheme="minorHAnsi"/>
          <w:sz w:val="24"/>
          <w:szCs w:val="24"/>
        </w:rPr>
        <w:t xml:space="preserve"> </w:t>
      </w:r>
      <w:r w:rsidR="00E527FB">
        <w:rPr>
          <w:rFonts w:asciiTheme="minorHAnsi" w:hAnsiTheme="minorHAnsi" w:cstheme="minorHAnsi"/>
          <w:sz w:val="24"/>
          <w:szCs w:val="24"/>
        </w:rPr>
        <w:t xml:space="preserve">meeting every other month where recent developments in regulator or </w:t>
      </w:r>
      <w:r w:rsidR="00AE04F9">
        <w:rPr>
          <w:rFonts w:asciiTheme="minorHAnsi" w:hAnsiTheme="minorHAnsi" w:cstheme="minorHAnsi"/>
          <w:sz w:val="24"/>
          <w:szCs w:val="24"/>
        </w:rPr>
        <w:t xml:space="preserve">customer </w:t>
      </w:r>
      <w:r w:rsidR="00E527FB">
        <w:rPr>
          <w:rFonts w:asciiTheme="minorHAnsi" w:hAnsiTheme="minorHAnsi" w:cstheme="minorHAnsi"/>
          <w:sz w:val="24"/>
          <w:szCs w:val="24"/>
        </w:rPr>
        <w:t>expectations</w:t>
      </w:r>
      <w:r w:rsidR="00BB1E57">
        <w:rPr>
          <w:rFonts w:asciiTheme="minorHAnsi" w:hAnsiTheme="minorHAnsi" w:cstheme="minorHAnsi"/>
          <w:sz w:val="24"/>
          <w:szCs w:val="24"/>
        </w:rPr>
        <w:t xml:space="preserve">, external standards or guidance </w:t>
      </w:r>
      <w:r w:rsidR="00BB1E57">
        <w:rPr>
          <w:rFonts w:asciiTheme="minorHAnsi" w:hAnsiTheme="minorHAnsi" w:cstheme="minorHAnsi"/>
          <w:sz w:val="24"/>
          <w:szCs w:val="24"/>
        </w:rPr>
        <w:lastRenderedPageBreak/>
        <w:t xml:space="preserve">documents, or new company-wide projects on </w:t>
      </w:r>
      <w:r w:rsidR="00744896">
        <w:rPr>
          <w:rFonts w:asciiTheme="minorHAnsi" w:hAnsiTheme="minorHAnsi" w:cstheme="minorHAnsi"/>
          <w:sz w:val="24"/>
          <w:szCs w:val="24"/>
        </w:rPr>
        <w:t>m</w:t>
      </w:r>
      <w:r w:rsidR="00BB1E57">
        <w:rPr>
          <w:rFonts w:asciiTheme="minorHAnsi" w:hAnsiTheme="minorHAnsi" w:cstheme="minorHAnsi"/>
          <w:sz w:val="24"/>
          <w:szCs w:val="24"/>
        </w:rPr>
        <w:t xml:space="preserve">edical </w:t>
      </w:r>
      <w:r w:rsidR="00744896">
        <w:rPr>
          <w:rFonts w:asciiTheme="minorHAnsi" w:hAnsiTheme="minorHAnsi" w:cstheme="minorHAnsi"/>
          <w:sz w:val="24"/>
          <w:szCs w:val="24"/>
        </w:rPr>
        <w:t>d</w:t>
      </w:r>
      <w:r w:rsidR="00BB1E57">
        <w:rPr>
          <w:rFonts w:asciiTheme="minorHAnsi" w:hAnsiTheme="minorHAnsi" w:cstheme="minorHAnsi"/>
          <w:sz w:val="24"/>
          <w:szCs w:val="24"/>
        </w:rPr>
        <w:t xml:space="preserve">evice </w:t>
      </w:r>
      <w:r w:rsidR="00744896">
        <w:rPr>
          <w:rFonts w:asciiTheme="minorHAnsi" w:hAnsiTheme="minorHAnsi" w:cstheme="minorHAnsi"/>
          <w:sz w:val="24"/>
          <w:szCs w:val="24"/>
        </w:rPr>
        <w:t>s</w:t>
      </w:r>
      <w:r w:rsidR="00BB1E57">
        <w:rPr>
          <w:rFonts w:asciiTheme="minorHAnsi" w:hAnsiTheme="minorHAnsi" w:cstheme="minorHAnsi"/>
          <w:sz w:val="24"/>
          <w:szCs w:val="24"/>
        </w:rPr>
        <w:t>ecurity are shared and discussed.  Attendance is optional with recordings saved of each meeting for reference.</w:t>
      </w:r>
    </w:p>
    <w:p w14:paraId="5921F16F" w14:textId="7DA618C2" w:rsidR="003A340F" w:rsidRPr="001254AC" w:rsidRDefault="00247F7B" w:rsidP="001254AC">
      <w:pPr>
        <w:pStyle w:val="Content"/>
        <w:numPr>
          <w:ilvl w:val="0"/>
          <w:numId w:val="5"/>
        </w:numPr>
        <w:tabs>
          <w:tab w:val="clear" w:pos="560"/>
        </w:tabs>
        <w:adjustRightInd/>
        <w:spacing w:after="120" w:line="240" w:lineRule="auto"/>
        <w:jc w:val="left"/>
        <w:rPr>
          <w:rFonts w:asciiTheme="minorHAnsi" w:hAnsiTheme="minorHAnsi" w:cstheme="minorHAnsi"/>
          <w:sz w:val="24"/>
          <w:szCs w:val="24"/>
        </w:rPr>
      </w:pPr>
      <w:r>
        <w:rPr>
          <w:rFonts w:asciiTheme="minorHAnsi" w:hAnsiTheme="minorHAnsi" w:cstheme="minorHAnsi"/>
          <w:b/>
          <w:bCs/>
          <w:sz w:val="24"/>
          <w:szCs w:val="24"/>
        </w:rPr>
        <w:t>Medical Device Security Advisory Council</w:t>
      </w:r>
      <w:r>
        <w:rPr>
          <w:rFonts w:asciiTheme="minorHAnsi" w:hAnsiTheme="minorHAnsi" w:cstheme="minorHAnsi"/>
          <w:sz w:val="24"/>
          <w:szCs w:val="24"/>
        </w:rPr>
        <w:t xml:space="preserve">: A quarterly meeting between leadership of </w:t>
      </w:r>
      <w:r w:rsidR="00744896">
        <w:rPr>
          <w:rFonts w:asciiTheme="minorHAnsi" w:hAnsiTheme="minorHAnsi" w:cstheme="minorHAnsi"/>
          <w:sz w:val="24"/>
          <w:szCs w:val="24"/>
        </w:rPr>
        <w:t>c</w:t>
      </w:r>
      <w:r>
        <w:rPr>
          <w:rFonts w:asciiTheme="minorHAnsi" w:hAnsiTheme="minorHAnsi" w:cstheme="minorHAnsi"/>
          <w:sz w:val="24"/>
          <w:szCs w:val="24"/>
        </w:rPr>
        <w:t xml:space="preserve">orporate </w:t>
      </w:r>
      <w:r w:rsidR="00744896">
        <w:rPr>
          <w:rFonts w:asciiTheme="minorHAnsi" w:hAnsiTheme="minorHAnsi" w:cstheme="minorHAnsi"/>
          <w:sz w:val="24"/>
          <w:szCs w:val="24"/>
        </w:rPr>
        <w:t>m</w:t>
      </w:r>
      <w:r>
        <w:rPr>
          <w:rFonts w:asciiTheme="minorHAnsi" w:hAnsiTheme="minorHAnsi" w:cstheme="minorHAnsi"/>
          <w:sz w:val="24"/>
          <w:szCs w:val="24"/>
        </w:rPr>
        <w:t xml:space="preserve">edical </w:t>
      </w:r>
      <w:r w:rsidR="00744896">
        <w:rPr>
          <w:rFonts w:asciiTheme="minorHAnsi" w:hAnsiTheme="minorHAnsi" w:cstheme="minorHAnsi"/>
          <w:sz w:val="24"/>
          <w:szCs w:val="24"/>
        </w:rPr>
        <w:t>d</w:t>
      </w:r>
      <w:r>
        <w:rPr>
          <w:rFonts w:asciiTheme="minorHAnsi" w:hAnsiTheme="minorHAnsi" w:cstheme="minorHAnsi"/>
          <w:sz w:val="24"/>
          <w:szCs w:val="24"/>
        </w:rPr>
        <w:t xml:space="preserve">evice </w:t>
      </w:r>
      <w:r w:rsidR="00744896">
        <w:rPr>
          <w:rFonts w:asciiTheme="minorHAnsi" w:hAnsiTheme="minorHAnsi" w:cstheme="minorHAnsi"/>
          <w:sz w:val="24"/>
          <w:szCs w:val="24"/>
        </w:rPr>
        <w:t>s</w:t>
      </w:r>
      <w:r>
        <w:rPr>
          <w:rFonts w:asciiTheme="minorHAnsi" w:hAnsiTheme="minorHAnsi" w:cstheme="minorHAnsi"/>
          <w:sz w:val="24"/>
          <w:szCs w:val="24"/>
        </w:rPr>
        <w:t>ecurity and leadership of each Operating Unit to</w:t>
      </w:r>
      <w:r w:rsidR="008F5D4F">
        <w:rPr>
          <w:rFonts w:asciiTheme="minorHAnsi" w:hAnsiTheme="minorHAnsi" w:cstheme="minorHAnsi"/>
          <w:sz w:val="24"/>
          <w:szCs w:val="24"/>
        </w:rPr>
        <w:t xml:space="preserve"> cover</w:t>
      </w:r>
      <w:r>
        <w:rPr>
          <w:rFonts w:asciiTheme="minorHAnsi" w:hAnsiTheme="minorHAnsi" w:cstheme="minorHAnsi"/>
          <w:sz w:val="24"/>
          <w:szCs w:val="24"/>
        </w:rPr>
        <w:t xml:space="preserve"> </w:t>
      </w:r>
      <w:r w:rsidR="00C200E5">
        <w:rPr>
          <w:rFonts w:asciiTheme="minorHAnsi" w:hAnsiTheme="minorHAnsi" w:cstheme="minorHAnsi"/>
          <w:sz w:val="24"/>
          <w:szCs w:val="24"/>
        </w:rPr>
        <w:t xml:space="preserve">recent external developments on this topic, decide on organizational-wide funding </w:t>
      </w:r>
      <w:r w:rsidR="005A0D38">
        <w:rPr>
          <w:rFonts w:asciiTheme="minorHAnsi" w:hAnsiTheme="minorHAnsi" w:cstheme="minorHAnsi"/>
          <w:sz w:val="24"/>
          <w:szCs w:val="24"/>
        </w:rPr>
        <w:t>for resources, and agree on strategic direction for this topic across the company.</w:t>
      </w:r>
    </w:p>
    <w:p w14:paraId="33EC7326" w14:textId="77777777" w:rsidR="001254AC" w:rsidRPr="00F96D9C" w:rsidRDefault="001254AC" w:rsidP="00B827FD">
      <w:pPr>
        <w:pStyle w:val="Heading1"/>
      </w:pPr>
      <w:bookmarkStart w:id="12" w:name="_Toc92269977"/>
      <w:bookmarkStart w:id="13" w:name="_Toc95501629"/>
      <w:r w:rsidRPr="00F96D9C">
        <w:t>Metrics</w:t>
      </w:r>
      <w:bookmarkEnd w:id="12"/>
      <w:bookmarkEnd w:id="13"/>
    </w:p>
    <w:p w14:paraId="6CCFD231" w14:textId="689257A4" w:rsidR="0074607F" w:rsidRDefault="00D819E2" w:rsidP="0074607F">
      <w:pPr>
        <w:pStyle w:val="Content"/>
        <w:spacing w:after="0" w:line="240" w:lineRule="auto"/>
        <w:jc w:val="left"/>
        <w:rPr>
          <w:rFonts w:asciiTheme="minorHAnsi" w:hAnsiTheme="minorHAnsi" w:cstheme="minorHAnsi"/>
          <w:sz w:val="24"/>
          <w:szCs w:val="24"/>
        </w:rPr>
      </w:pPr>
      <w:bookmarkStart w:id="14" w:name="_Hlk94031097"/>
      <w:r>
        <w:rPr>
          <w:rFonts w:asciiTheme="minorHAnsi" w:hAnsiTheme="minorHAnsi" w:cstheme="minorHAnsi"/>
          <w:sz w:val="24"/>
          <w:szCs w:val="24"/>
        </w:rPr>
        <w:t xml:space="preserve">Metrics will be collected to allow for </w:t>
      </w:r>
      <w:r w:rsidR="0074607F">
        <w:rPr>
          <w:rFonts w:asciiTheme="minorHAnsi" w:hAnsiTheme="minorHAnsi" w:cstheme="minorHAnsi"/>
          <w:sz w:val="24"/>
          <w:szCs w:val="24"/>
        </w:rPr>
        <w:t xml:space="preserve">measuring and managing the </w:t>
      </w:r>
      <w:r w:rsidR="009633BA">
        <w:rPr>
          <w:rFonts w:asciiTheme="minorHAnsi" w:hAnsiTheme="minorHAnsi" w:cstheme="minorHAnsi"/>
          <w:sz w:val="24"/>
          <w:szCs w:val="24"/>
        </w:rPr>
        <w:t>t</w:t>
      </w:r>
      <w:r w:rsidR="0074607F">
        <w:rPr>
          <w:rFonts w:asciiTheme="minorHAnsi" w:hAnsiTheme="minorHAnsi" w:cstheme="minorHAnsi"/>
          <w:sz w:val="24"/>
          <w:szCs w:val="24"/>
        </w:rPr>
        <w:t xml:space="preserve">raining and </w:t>
      </w:r>
      <w:r w:rsidR="009633BA">
        <w:rPr>
          <w:rFonts w:asciiTheme="minorHAnsi" w:hAnsiTheme="minorHAnsi" w:cstheme="minorHAnsi"/>
          <w:sz w:val="24"/>
          <w:szCs w:val="24"/>
        </w:rPr>
        <w:t>a</w:t>
      </w:r>
      <w:r w:rsidR="0074607F">
        <w:rPr>
          <w:rFonts w:asciiTheme="minorHAnsi" w:hAnsiTheme="minorHAnsi" w:cstheme="minorHAnsi"/>
          <w:sz w:val="24"/>
          <w:szCs w:val="24"/>
        </w:rPr>
        <w:t>wareness program.  Further</w:t>
      </w:r>
      <w:bookmarkEnd w:id="14"/>
      <w:r w:rsidR="0074607F">
        <w:rPr>
          <w:rFonts w:asciiTheme="minorHAnsi" w:hAnsiTheme="minorHAnsi" w:cstheme="minorHAnsi"/>
          <w:sz w:val="24"/>
          <w:szCs w:val="24"/>
        </w:rPr>
        <w:t xml:space="preserve">, these metrics will demonstrate the impact the program is having to Leadership.  Two categories of metrics will </w:t>
      </w:r>
      <w:r w:rsidR="00B722C8">
        <w:rPr>
          <w:rFonts w:asciiTheme="minorHAnsi" w:hAnsiTheme="minorHAnsi" w:cstheme="minorHAnsi"/>
          <w:sz w:val="24"/>
          <w:szCs w:val="24"/>
        </w:rPr>
        <w:t>be tracked</w:t>
      </w:r>
      <w:r w:rsidR="0074607F">
        <w:rPr>
          <w:rFonts w:asciiTheme="minorHAnsi" w:hAnsiTheme="minorHAnsi" w:cstheme="minorHAnsi"/>
          <w:sz w:val="24"/>
          <w:szCs w:val="24"/>
        </w:rPr>
        <w:t>:</w:t>
      </w:r>
    </w:p>
    <w:p w14:paraId="11EBB5FE" w14:textId="758A2088" w:rsidR="0074607F" w:rsidRPr="0074607F" w:rsidRDefault="0074607F" w:rsidP="0074607F">
      <w:pPr>
        <w:pStyle w:val="Content"/>
        <w:numPr>
          <w:ilvl w:val="0"/>
          <w:numId w:val="8"/>
        </w:numPr>
        <w:spacing w:after="0" w:line="240" w:lineRule="auto"/>
        <w:ind w:left="360"/>
        <w:jc w:val="left"/>
        <w:rPr>
          <w:rFonts w:eastAsia="Calibri"/>
        </w:rPr>
      </w:pPr>
      <w:r w:rsidRPr="5E5655BD">
        <w:rPr>
          <w:rFonts w:asciiTheme="minorHAnsi" w:hAnsiTheme="minorHAnsi" w:cstheme="minorBidi"/>
          <w:b/>
          <w:bCs/>
          <w:sz w:val="24"/>
          <w:szCs w:val="24"/>
        </w:rPr>
        <w:t>Compliance</w:t>
      </w:r>
      <w:r w:rsidRPr="5E5655BD">
        <w:rPr>
          <w:rFonts w:asciiTheme="minorHAnsi" w:hAnsiTheme="minorHAnsi" w:cstheme="minorBidi"/>
          <w:sz w:val="24"/>
          <w:szCs w:val="24"/>
        </w:rPr>
        <w:t xml:space="preserve">: Ensure our </w:t>
      </w:r>
      <w:r w:rsidR="009633BA" w:rsidRPr="5E5655BD">
        <w:rPr>
          <w:rFonts w:asciiTheme="minorHAnsi" w:hAnsiTheme="minorHAnsi" w:cstheme="minorBidi"/>
          <w:sz w:val="24"/>
          <w:szCs w:val="24"/>
        </w:rPr>
        <w:t>o</w:t>
      </w:r>
      <w:r w:rsidRPr="5E5655BD">
        <w:rPr>
          <w:rFonts w:asciiTheme="minorHAnsi" w:hAnsiTheme="minorHAnsi" w:cstheme="minorBidi"/>
          <w:sz w:val="24"/>
          <w:szCs w:val="24"/>
        </w:rPr>
        <w:t xml:space="preserve">rganizational-wide content is being taken and understood by all company employees so that we can demonstrate </w:t>
      </w:r>
      <w:r w:rsidR="00B722C8" w:rsidRPr="5E5655BD">
        <w:rPr>
          <w:rFonts w:asciiTheme="minorHAnsi" w:hAnsiTheme="minorHAnsi" w:cstheme="minorBidi"/>
          <w:sz w:val="24"/>
          <w:szCs w:val="24"/>
        </w:rPr>
        <w:t>results to our regulators.</w:t>
      </w:r>
      <w:r w:rsidR="00452AAD" w:rsidRPr="5E5655BD">
        <w:rPr>
          <w:rFonts w:asciiTheme="minorHAnsi" w:hAnsiTheme="minorHAnsi" w:cstheme="minorBidi"/>
          <w:sz w:val="24"/>
          <w:szCs w:val="24"/>
        </w:rPr>
        <w:t xml:space="preserve">  </w:t>
      </w:r>
      <w:r w:rsidR="00000CBF" w:rsidRPr="5E5655BD">
        <w:rPr>
          <w:rFonts w:asciiTheme="minorHAnsi" w:hAnsiTheme="minorHAnsi" w:cstheme="minorBidi"/>
          <w:sz w:val="24"/>
          <w:szCs w:val="24"/>
        </w:rPr>
        <w:t xml:space="preserve">We will track completion of the quiz questions by all employees that take the Quality </w:t>
      </w:r>
      <w:r w:rsidR="009633BA" w:rsidRPr="5E5655BD">
        <w:rPr>
          <w:rFonts w:asciiTheme="minorHAnsi" w:hAnsiTheme="minorHAnsi" w:cstheme="minorBidi"/>
          <w:sz w:val="24"/>
          <w:szCs w:val="24"/>
        </w:rPr>
        <w:t>t</w:t>
      </w:r>
      <w:r w:rsidR="00000CBF" w:rsidRPr="5E5655BD">
        <w:rPr>
          <w:rFonts w:asciiTheme="minorHAnsi" w:hAnsiTheme="minorHAnsi" w:cstheme="minorBidi"/>
          <w:sz w:val="24"/>
          <w:szCs w:val="24"/>
        </w:rPr>
        <w:t xml:space="preserve">raining in Foundations to ensure our entire organization meets the compliance standards established by global regulators.  This metric will be tracked annually by the </w:t>
      </w:r>
      <w:r w:rsidR="009633BA" w:rsidRPr="5E5655BD">
        <w:rPr>
          <w:rFonts w:asciiTheme="minorHAnsi" w:hAnsiTheme="minorHAnsi" w:cstheme="minorBidi"/>
          <w:sz w:val="24"/>
          <w:szCs w:val="24"/>
        </w:rPr>
        <w:t>c</w:t>
      </w:r>
      <w:r w:rsidR="00000CBF" w:rsidRPr="5E5655BD">
        <w:rPr>
          <w:rFonts w:asciiTheme="minorHAnsi" w:hAnsiTheme="minorHAnsi" w:cstheme="minorBidi"/>
          <w:sz w:val="24"/>
          <w:szCs w:val="24"/>
        </w:rPr>
        <w:t xml:space="preserve">orporate Quality team who manage the completion of the entire Quality training of which </w:t>
      </w:r>
      <w:r w:rsidR="009633BA" w:rsidRPr="5E5655BD">
        <w:rPr>
          <w:rFonts w:asciiTheme="minorHAnsi" w:hAnsiTheme="minorHAnsi" w:cstheme="minorBidi"/>
          <w:sz w:val="24"/>
          <w:szCs w:val="24"/>
        </w:rPr>
        <w:t>m</w:t>
      </w:r>
      <w:r w:rsidR="00000CBF" w:rsidRPr="5E5655BD">
        <w:rPr>
          <w:rFonts w:asciiTheme="minorHAnsi" w:hAnsiTheme="minorHAnsi" w:cstheme="minorBidi"/>
          <w:sz w:val="24"/>
          <w:szCs w:val="24"/>
        </w:rPr>
        <w:t xml:space="preserve">edical </w:t>
      </w:r>
      <w:r w:rsidR="009633BA" w:rsidRPr="5E5655BD">
        <w:rPr>
          <w:rFonts w:asciiTheme="minorHAnsi" w:hAnsiTheme="minorHAnsi" w:cstheme="minorBidi"/>
          <w:sz w:val="24"/>
          <w:szCs w:val="24"/>
        </w:rPr>
        <w:t>d</w:t>
      </w:r>
      <w:r w:rsidR="00000CBF" w:rsidRPr="5E5655BD">
        <w:rPr>
          <w:rFonts w:asciiTheme="minorHAnsi" w:hAnsiTheme="minorHAnsi" w:cstheme="minorBidi"/>
          <w:sz w:val="24"/>
          <w:szCs w:val="24"/>
        </w:rPr>
        <w:t xml:space="preserve">evice </w:t>
      </w:r>
      <w:r w:rsidR="009633BA" w:rsidRPr="5E5655BD">
        <w:rPr>
          <w:rFonts w:asciiTheme="minorHAnsi" w:hAnsiTheme="minorHAnsi" w:cstheme="minorBidi"/>
          <w:sz w:val="24"/>
          <w:szCs w:val="24"/>
        </w:rPr>
        <w:t>s</w:t>
      </w:r>
      <w:r w:rsidR="00000CBF" w:rsidRPr="5E5655BD">
        <w:rPr>
          <w:rFonts w:asciiTheme="minorHAnsi" w:hAnsiTheme="minorHAnsi" w:cstheme="minorBidi"/>
          <w:sz w:val="24"/>
          <w:szCs w:val="24"/>
        </w:rPr>
        <w:t>ecurity is a discrete module.</w:t>
      </w:r>
    </w:p>
    <w:p w14:paraId="502342E0" w14:textId="343CD7B8" w:rsidR="001254AC" w:rsidRPr="00B722C8" w:rsidRDefault="0074607F" w:rsidP="00B722C8">
      <w:pPr>
        <w:pStyle w:val="Content"/>
        <w:numPr>
          <w:ilvl w:val="0"/>
          <w:numId w:val="8"/>
        </w:numPr>
        <w:spacing w:after="0" w:line="240" w:lineRule="auto"/>
        <w:ind w:left="360"/>
        <w:jc w:val="left"/>
        <w:rPr>
          <w:rFonts w:eastAsia="Calibri"/>
        </w:rPr>
      </w:pPr>
      <w:r w:rsidRPr="0074607F">
        <w:rPr>
          <w:rFonts w:asciiTheme="minorHAnsi" w:hAnsiTheme="minorHAnsi" w:cstheme="minorHAnsi"/>
          <w:b/>
          <w:bCs/>
          <w:sz w:val="24"/>
          <w:szCs w:val="24"/>
        </w:rPr>
        <w:t>Impact</w:t>
      </w:r>
      <w:r>
        <w:rPr>
          <w:rFonts w:asciiTheme="minorHAnsi" w:hAnsiTheme="minorHAnsi" w:cstheme="minorHAnsi"/>
          <w:sz w:val="24"/>
          <w:szCs w:val="24"/>
        </w:rPr>
        <w:t>: Measure the</w:t>
      </w:r>
      <w:r w:rsidR="00B722C8">
        <w:rPr>
          <w:rFonts w:asciiTheme="minorHAnsi" w:hAnsiTheme="minorHAnsi" w:cstheme="minorHAnsi"/>
          <w:sz w:val="24"/>
          <w:szCs w:val="24"/>
        </w:rPr>
        <w:t xml:space="preserve"> changes we’re having across the Operating Units with the inclusion of security risks in their development process as well as the continuous monitoring of security risks once medical devices are on the market.  These metrics will be measured by each Operating Unit </w:t>
      </w:r>
      <w:r w:rsidR="00B7082C">
        <w:rPr>
          <w:rFonts w:asciiTheme="minorHAnsi" w:hAnsiTheme="minorHAnsi" w:cstheme="minorHAnsi"/>
          <w:sz w:val="24"/>
          <w:szCs w:val="24"/>
        </w:rPr>
        <w:t xml:space="preserve">to </w:t>
      </w:r>
      <w:r w:rsidR="00B722C8">
        <w:rPr>
          <w:rFonts w:asciiTheme="minorHAnsi" w:hAnsiTheme="minorHAnsi" w:cstheme="minorHAnsi"/>
          <w:sz w:val="24"/>
          <w:szCs w:val="24"/>
        </w:rPr>
        <w:t>maintain clear reporting lines to Operating Unit leadership.</w:t>
      </w:r>
    </w:p>
    <w:p w14:paraId="73C97BB1" w14:textId="68C7DA73" w:rsidR="001254AC" w:rsidRPr="00B722C8" w:rsidRDefault="00452AAD" w:rsidP="00B722C8">
      <w:pPr>
        <w:pStyle w:val="Heading2"/>
        <w:rPr>
          <w:rFonts w:asciiTheme="minorHAnsi" w:hAnsiTheme="minorHAnsi" w:cstheme="minorHAnsi"/>
        </w:rPr>
      </w:pPr>
      <w:bookmarkStart w:id="15" w:name="_Toc92269978"/>
      <w:bookmarkStart w:id="16" w:name="_Toc95501630"/>
      <w:r>
        <w:rPr>
          <w:rFonts w:asciiTheme="minorHAnsi" w:hAnsiTheme="minorHAnsi" w:cstheme="minorHAnsi"/>
        </w:rPr>
        <w:t>Impact</w:t>
      </w:r>
      <w:r w:rsidR="001254AC" w:rsidRPr="00B722C8">
        <w:rPr>
          <w:rFonts w:asciiTheme="minorHAnsi" w:hAnsiTheme="minorHAnsi" w:cstheme="minorHAnsi"/>
        </w:rPr>
        <w:t xml:space="preserve"> Metrics</w:t>
      </w:r>
      <w:bookmarkEnd w:id="15"/>
      <w:bookmarkEnd w:id="16"/>
    </w:p>
    <w:p w14:paraId="403BB768" w14:textId="17B2BB60" w:rsidR="001254AC" w:rsidRDefault="00000CBF" w:rsidP="00000CBF">
      <w:pPr>
        <w:pStyle w:val="Content"/>
        <w:spacing w:after="0" w:line="240" w:lineRule="auto"/>
        <w:jc w:val="left"/>
      </w:pPr>
      <w:r w:rsidRPr="00000CBF">
        <w:rPr>
          <w:rFonts w:asciiTheme="minorHAnsi" w:hAnsiTheme="minorHAnsi" w:cstheme="minorHAnsi"/>
          <w:sz w:val="24"/>
          <w:szCs w:val="24"/>
        </w:rPr>
        <w:t>Our goal</w:t>
      </w:r>
      <w:r>
        <w:rPr>
          <w:rFonts w:asciiTheme="minorHAnsi" w:hAnsiTheme="minorHAnsi" w:cstheme="minorHAnsi"/>
          <w:sz w:val="24"/>
          <w:szCs w:val="24"/>
        </w:rPr>
        <w:t>s</w:t>
      </w:r>
      <w:r w:rsidRPr="00000CBF">
        <w:rPr>
          <w:rFonts w:asciiTheme="minorHAnsi" w:hAnsiTheme="minorHAnsi" w:cstheme="minorHAnsi"/>
          <w:sz w:val="24"/>
          <w:szCs w:val="24"/>
        </w:rPr>
        <w:t xml:space="preserve"> </w:t>
      </w:r>
      <w:r>
        <w:rPr>
          <w:rFonts w:asciiTheme="minorHAnsi" w:hAnsiTheme="minorHAnsi" w:cstheme="minorHAnsi"/>
          <w:sz w:val="24"/>
          <w:szCs w:val="24"/>
        </w:rPr>
        <w:t>are</w:t>
      </w:r>
      <w:r w:rsidRPr="00000CBF">
        <w:rPr>
          <w:rFonts w:asciiTheme="minorHAnsi" w:hAnsiTheme="minorHAnsi" w:cstheme="minorHAnsi"/>
          <w:sz w:val="24"/>
          <w:szCs w:val="24"/>
        </w:rPr>
        <w:t xml:space="preserve"> to ensure appropriate security controls in our new products, maintained security </w:t>
      </w:r>
      <w:r w:rsidR="0018494E">
        <w:rPr>
          <w:rFonts w:asciiTheme="minorHAnsi" w:hAnsiTheme="minorHAnsi" w:cstheme="minorHAnsi"/>
          <w:sz w:val="24"/>
          <w:szCs w:val="24"/>
        </w:rPr>
        <w:t xml:space="preserve">of our devices </w:t>
      </w:r>
      <w:r w:rsidRPr="00000CBF">
        <w:rPr>
          <w:rFonts w:asciiTheme="minorHAnsi" w:hAnsiTheme="minorHAnsi" w:cstheme="minorHAnsi"/>
          <w:sz w:val="24"/>
          <w:szCs w:val="24"/>
        </w:rPr>
        <w:t>in the market, and faster approval for our new devices due to less security deficiency comments from our regulators</w:t>
      </w:r>
      <w:r>
        <w:rPr>
          <w:rFonts w:asciiTheme="minorHAnsi" w:hAnsiTheme="minorHAnsi" w:cstheme="minorHAnsi"/>
          <w:sz w:val="24"/>
          <w:szCs w:val="24"/>
        </w:rPr>
        <w:t xml:space="preserve">.  </w:t>
      </w:r>
      <w:r w:rsidR="00B722C8">
        <w:rPr>
          <w:rFonts w:asciiTheme="minorHAnsi" w:hAnsiTheme="minorHAnsi" w:cstheme="minorHAnsi"/>
          <w:sz w:val="24"/>
          <w:szCs w:val="24"/>
        </w:rPr>
        <w:t xml:space="preserve">We track the following </w:t>
      </w:r>
      <w:r>
        <w:rPr>
          <w:rFonts w:asciiTheme="minorHAnsi" w:hAnsiTheme="minorHAnsi" w:cstheme="minorHAnsi"/>
          <w:sz w:val="24"/>
          <w:szCs w:val="24"/>
        </w:rPr>
        <w:t>metrics</w:t>
      </w:r>
      <w:r w:rsidR="00B722C8">
        <w:rPr>
          <w:rFonts w:asciiTheme="minorHAnsi" w:hAnsiTheme="minorHAnsi" w:cstheme="minorHAnsi"/>
          <w:sz w:val="24"/>
          <w:szCs w:val="24"/>
        </w:rPr>
        <w:t xml:space="preserve"> to </w:t>
      </w:r>
      <w:r>
        <w:rPr>
          <w:rFonts w:asciiTheme="minorHAnsi" w:hAnsiTheme="minorHAnsi" w:cstheme="minorHAnsi"/>
          <w:sz w:val="24"/>
          <w:szCs w:val="24"/>
        </w:rPr>
        <w:t>measure the impact of our training and awareness program towards these goals.</w:t>
      </w:r>
    </w:p>
    <w:p w14:paraId="5EF8B266" w14:textId="77777777" w:rsidR="003D1215" w:rsidRDefault="003D1215" w:rsidP="003D1215">
      <w:pPr>
        <w:pStyle w:val="Content"/>
        <w:spacing w:after="0" w:line="240" w:lineRule="auto"/>
        <w:jc w:val="left"/>
      </w:pPr>
    </w:p>
    <w:tbl>
      <w:tblPr>
        <w:tblStyle w:val="TableGrid"/>
        <w:tblW w:w="0" w:type="auto"/>
        <w:tblInd w:w="-522" w:type="dxa"/>
        <w:tblLook w:val="04A0" w:firstRow="1" w:lastRow="0" w:firstColumn="1" w:lastColumn="0" w:noHBand="0" w:noVBand="1"/>
      </w:tblPr>
      <w:tblGrid>
        <w:gridCol w:w="1480"/>
        <w:gridCol w:w="2709"/>
        <w:gridCol w:w="2810"/>
        <w:gridCol w:w="1411"/>
        <w:gridCol w:w="1462"/>
      </w:tblGrid>
      <w:tr w:rsidR="00E12B29" w:rsidRPr="007E388D" w14:paraId="093F9FAD" w14:textId="77777777" w:rsidTr="003D1215">
        <w:trPr>
          <w:trHeight w:val="880"/>
        </w:trPr>
        <w:tc>
          <w:tcPr>
            <w:tcW w:w="0" w:type="auto"/>
            <w:shd w:val="clear" w:color="auto" w:fill="D9E2F3" w:themeFill="accent1" w:themeFillTint="33"/>
            <w:hideMark/>
          </w:tcPr>
          <w:p w14:paraId="4DF7EA3F" w14:textId="77777777" w:rsidR="001254AC" w:rsidRPr="003D1215" w:rsidRDefault="001254AC" w:rsidP="00524448">
            <w:pPr>
              <w:pStyle w:val="Content"/>
              <w:jc w:val="center"/>
              <w:rPr>
                <w:rFonts w:asciiTheme="minorHAnsi" w:hAnsiTheme="minorHAnsi" w:cstheme="minorHAnsi"/>
                <w:b/>
                <w:sz w:val="24"/>
                <w:szCs w:val="24"/>
              </w:rPr>
            </w:pPr>
            <w:bookmarkStart w:id="17" w:name="RANGE!A1"/>
            <w:r w:rsidRPr="003D1215">
              <w:rPr>
                <w:rFonts w:asciiTheme="minorHAnsi" w:hAnsiTheme="minorHAnsi" w:cstheme="minorHAnsi"/>
                <w:b/>
                <w:sz w:val="24"/>
                <w:szCs w:val="24"/>
              </w:rPr>
              <w:t>Metric Name</w:t>
            </w:r>
            <w:bookmarkEnd w:id="17"/>
          </w:p>
        </w:tc>
        <w:tc>
          <w:tcPr>
            <w:tcW w:w="0" w:type="auto"/>
            <w:shd w:val="clear" w:color="auto" w:fill="D9E2F3" w:themeFill="accent1" w:themeFillTint="33"/>
            <w:hideMark/>
          </w:tcPr>
          <w:p w14:paraId="3AE24815" w14:textId="77777777" w:rsidR="001254AC" w:rsidRPr="003D1215" w:rsidRDefault="001254AC" w:rsidP="00524448">
            <w:pPr>
              <w:pStyle w:val="Content"/>
              <w:jc w:val="center"/>
              <w:rPr>
                <w:rFonts w:asciiTheme="minorHAnsi" w:hAnsiTheme="minorHAnsi" w:cstheme="minorHAnsi"/>
                <w:b/>
                <w:sz w:val="24"/>
                <w:szCs w:val="24"/>
              </w:rPr>
            </w:pPr>
            <w:r w:rsidRPr="003D1215">
              <w:rPr>
                <w:rFonts w:asciiTheme="minorHAnsi" w:hAnsiTheme="minorHAnsi" w:cstheme="minorHAnsi"/>
                <w:b/>
                <w:sz w:val="24"/>
                <w:szCs w:val="24"/>
              </w:rPr>
              <w:t>What Is Measured?</w:t>
            </w:r>
          </w:p>
        </w:tc>
        <w:tc>
          <w:tcPr>
            <w:tcW w:w="0" w:type="auto"/>
            <w:shd w:val="clear" w:color="auto" w:fill="D9E2F3" w:themeFill="accent1" w:themeFillTint="33"/>
            <w:hideMark/>
          </w:tcPr>
          <w:p w14:paraId="15F41543" w14:textId="77777777" w:rsidR="001254AC" w:rsidRPr="003D1215" w:rsidRDefault="001254AC" w:rsidP="00524448">
            <w:pPr>
              <w:pStyle w:val="Content"/>
              <w:jc w:val="center"/>
              <w:rPr>
                <w:rFonts w:asciiTheme="minorHAnsi" w:hAnsiTheme="minorHAnsi" w:cstheme="minorHAnsi"/>
                <w:b/>
                <w:sz w:val="24"/>
                <w:szCs w:val="24"/>
              </w:rPr>
            </w:pPr>
            <w:r w:rsidRPr="003D1215">
              <w:rPr>
                <w:rFonts w:asciiTheme="minorHAnsi" w:hAnsiTheme="minorHAnsi" w:cstheme="minorHAnsi"/>
                <w:b/>
                <w:sz w:val="24"/>
                <w:szCs w:val="24"/>
              </w:rPr>
              <w:t>How Is It Measured?</w:t>
            </w:r>
          </w:p>
        </w:tc>
        <w:tc>
          <w:tcPr>
            <w:tcW w:w="0" w:type="auto"/>
            <w:shd w:val="clear" w:color="auto" w:fill="D9E2F3" w:themeFill="accent1" w:themeFillTint="33"/>
            <w:hideMark/>
          </w:tcPr>
          <w:p w14:paraId="4FE077B1" w14:textId="77777777" w:rsidR="001254AC" w:rsidRPr="003D1215" w:rsidRDefault="001254AC" w:rsidP="00524448">
            <w:pPr>
              <w:pStyle w:val="Content"/>
              <w:jc w:val="center"/>
              <w:rPr>
                <w:rFonts w:asciiTheme="minorHAnsi" w:hAnsiTheme="minorHAnsi" w:cstheme="minorHAnsi"/>
                <w:b/>
                <w:sz w:val="24"/>
                <w:szCs w:val="24"/>
              </w:rPr>
            </w:pPr>
            <w:r w:rsidRPr="003D1215">
              <w:rPr>
                <w:rFonts w:asciiTheme="minorHAnsi" w:hAnsiTheme="minorHAnsi" w:cstheme="minorHAnsi"/>
                <w:b/>
                <w:sz w:val="24"/>
                <w:szCs w:val="24"/>
              </w:rPr>
              <w:t>When Is It Measured?</w:t>
            </w:r>
          </w:p>
        </w:tc>
        <w:tc>
          <w:tcPr>
            <w:tcW w:w="0" w:type="auto"/>
            <w:shd w:val="clear" w:color="auto" w:fill="D9E2F3" w:themeFill="accent1" w:themeFillTint="33"/>
            <w:hideMark/>
          </w:tcPr>
          <w:p w14:paraId="715C9EA9" w14:textId="77777777" w:rsidR="001254AC" w:rsidRPr="003D1215" w:rsidRDefault="001254AC" w:rsidP="00524448">
            <w:pPr>
              <w:pStyle w:val="Content"/>
              <w:jc w:val="center"/>
              <w:rPr>
                <w:rFonts w:asciiTheme="minorHAnsi" w:hAnsiTheme="minorHAnsi" w:cstheme="minorHAnsi"/>
                <w:b/>
                <w:sz w:val="24"/>
                <w:szCs w:val="24"/>
              </w:rPr>
            </w:pPr>
            <w:r w:rsidRPr="003D1215">
              <w:rPr>
                <w:rFonts w:asciiTheme="minorHAnsi" w:hAnsiTheme="minorHAnsi" w:cstheme="minorHAnsi"/>
                <w:b/>
                <w:sz w:val="24"/>
                <w:szCs w:val="24"/>
              </w:rPr>
              <w:t>Who Measures?</w:t>
            </w:r>
          </w:p>
        </w:tc>
      </w:tr>
      <w:tr w:rsidR="00E12B29" w:rsidRPr="007E388D" w14:paraId="20B5C565" w14:textId="77777777" w:rsidTr="003D1215">
        <w:trPr>
          <w:trHeight w:val="980"/>
        </w:trPr>
        <w:tc>
          <w:tcPr>
            <w:tcW w:w="0" w:type="auto"/>
            <w:hideMark/>
          </w:tcPr>
          <w:p w14:paraId="68DD6113" w14:textId="1A210241" w:rsidR="00000CBF" w:rsidRPr="003D1215" w:rsidRDefault="00E12B29" w:rsidP="00000CBF">
            <w:pPr>
              <w:pStyle w:val="Content"/>
              <w:spacing w:after="0" w:line="240" w:lineRule="auto"/>
              <w:jc w:val="left"/>
              <w:rPr>
                <w:rFonts w:asciiTheme="minorHAnsi" w:hAnsiTheme="minorHAnsi" w:cstheme="minorHAnsi"/>
                <w:sz w:val="24"/>
                <w:szCs w:val="24"/>
              </w:rPr>
            </w:pPr>
            <w:r>
              <w:rPr>
                <w:rFonts w:asciiTheme="minorHAnsi" w:hAnsiTheme="minorHAnsi" w:cstheme="minorHAnsi"/>
                <w:sz w:val="24"/>
                <w:szCs w:val="24"/>
              </w:rPr>
              <w:t>Security Risks Mitigated</w:t>
            </w:r>
          </w:p>
        </w:tc>
        <w:tc>
          <w:tcPr>
            <w:tcW w:w="0" w:type="auto"/>
            <w:hideMark/>
          </w:tcPr>
          <w:p w14:paraId="0FE1FCB5" w14:textId="2472CD5E" w:rsidR="00000CBF" w:rsidRPr="003D1215" w:rsidRDefault="00E12B29" w:rsidP="00000CBF">
            <w:pPr>
              <w:pStyle w:val="Content"/>
              <w:spacing w:after="0" w:line="240" w:lineRule="auto"/>
              <w:jc w:val="left"/>
              <w:rPr>
                <w:rFonts w:asciiTheme="minorHAnsi" w:hAnsiTheme="minorHAnsi" w:cstheme="minorHAnsi"/>
                <w:sz w:val="24"/>
                <w:szCs w:val="24"/>
              </w:rPr>
            </w:pPr>
            <w:r>
              <w:rPr>
                <w:rFonts w:asciiTheme="minorHAnsi" w:hAnsiTheme="minorHAnsi" w:cstheme="minorHAnsi"/>
                <w:sz w:val="24"/>
                <w:szCs w:val="24"/>
              </w:rPr>
              <w:t>Number of security risks identified and mitigated through security control requirements during development of new medical devices.</w:t>
            </w:r>
          </w:p>
        </w:tc>
        <w:tc>
          <w:tcPr>
            <w:tcW w:w="0" w:type="auto"/>
            <w:hideMark/>
          </w:tcPr>
          <w:p w14:paraId="6BA86752" w14:textId="6052D7AE" w:rsidR="00000CBF" w:rsidRPr="003D1215" w:rsidRDefault="00E12B29" w:rsidP="00000CBF">
            <w:pPr>
              <w:pStyle w:val="Content"/>
              <w:spacing w:after="0" w:line="240" w:lineRule="auto"/>
              <w:jc w:val="left"/>
              <w:rPr>
                <w:rFonts w:asciiTheme="minorHAnsi" w:hAnsiTheme="minorHAnsi" w:cstheme="minorHAnsi"/>
                <w:sz w:val="24"/>
                <w:szCs w:val="24"/>
              </w:rPr>
            </w:pPr>
            <w:r>
              <w:rPr>
                <w:rFonts w:asciiTheme="minorHAnsi" w:hAnsiTheme="minorHAnsi" w:cstheme="minorHAnsi"/>
                <w:sz w:val="24"/>
                <w:szCs w:val="24"/>
              </w:rPr>
              <w:t>Track</w:t>
            </w:r>
            <w:r w:rsidR="00061D86">
              <w:rPr>
                <w:rFonts w:asciiTheme="minorHAnsi" w:hAnsiTheme="minorHAnsi" w:cstheme="minorHAnsi"/>
                <w:sz w:val="24"/>
                <w:szCs w:val="24"/>
              </w:rPr>
              <w:t>ed</w:t>
            </w:r>
            <w:r>
              <w:rPr>
                <w:rFonts w:asciiTheme="minorHAnsi" w:hAnsiTheme="minorHAnsi" w:cstheme="minorHAnsi"/>
                <w:sz w:val="24"/>
                <w:szCs w:val="24"/>
              </w:rPr>
              <w:t xml:space="preserve"> by the number of security risks itemized with associated security risk requirements in the Security Risk Assessment Quality document required for every new medical device being developed.</w:t>
            </w:r>
          </w:p>
        </w:tc>
        <w:tc>
          <w:tcPr>
            <w:tcW w:w="0" w:type="auto"/>
            <w:hideMark/>
          </w:tcPr>
          <w:p w14:paraId="36909E24" w14:textId="2C270A83" w:rsidR="00000CBF" w:rsidRPr="003D1215" w:rsidRDefault="00E12B29" w:rsidP="00000CBF">
            <w:pPr>
              <w:pStyle w:val="Content"/>
              <w:spacing w:after="0" w:line="240" w:lineRule="auto"/>
              <w:jc w:val="left"/>
              <w:rPr>
                <w:rFonts w:asciiTheme="minorHAnsi" w:hAnsiTheme="minorHAnsi" w:cstheme="minorHAnsi"/>
                <w:sz w:val="24"/>
                <w:szCs w:val="24"/>
              </w:rPr>
            </w:pPr>
            <w:r>
              <w:rPr>
                <w:rFonts w:asciiTheme="minorHAnsi" w:hAnsiTheme="minorHAnsi" w:cstheme="minorHAnsi"/>
                <w:sz w:val="24"/>
                <w:szCs w:val="24"/>
              </w:rPr>
              <w:t>Quarterly</w:t>
            </w:r>
          </w:p>
        </w:tc>
        <w:tc>
          <w:tcPr>
            <w:tcW w:w="0" w:type="auto"/>
            <w:hideMark/>
          </w:tcPr>
          <w:p w14:paraId="650F8D8A" w14:textId="1E4B3C37" w:rsidR="00000CBF" w:rsidRPr="003D1215" w:rsidRDefault="00E12B29" w:rsidP="00000CBF">
            <w:pPr>
              <w:pStyle w:val="Content"/>
              <w:spacing w:after="0" w:line="240" w:lineRule="auto"/>
              <w:jc w:val="left"/>
              <w:rPr>
                <w:rFonts w:asciiTheme="minorHAnsi" w:hAnsiTheme="minorHAnsi" w:cstheme="minorHAnsi"/>
                <w:sz w:val="24"/>
                <w:szCs w:val="24"/>
              </w:rPr>
            </w:pPr>
            <w:r>
              <w:rPr>
                <w:rFonts w:asciiTheme="minorHAnsi" w:hAnsiTheme="minorHAnsi" w:cstheme="minorHAnsi"/>
                <w:sz w:val="24"/>
                <w:szCs w:val="24"/>
              </w:rPr>
              <w:t>Corporate Quality team</w:t>
            </w:r>
          </w:p>
        </w:tc>
      </w:tr>
      <w:tr w:rsidR="00E12B29" w:rsidRPr="007E388D" w14:paraId="03CBC384" w14:textId="77777777" w:rsidTr="000324D3">
        <w:trPr>
          <w:trHeight w:val="2114"/>
        </w:trPr>
        <w:tc>
          <w:tcPr>
            <w:tcW w:w="0" w:type="auto"/>
          </w:tcPr>
          <w:p w14:paraId="78627A7F" w14:textId="156CAD72" w:rsidR="001254AC" w:rsidRPr="003D1215" w:rsidRDefault="00000CBF" w:rsidP="003D1215">
            <w:pPr>
              <w:pStyle w:val="Content"/>
              <w:spacing w:after="0" w:line="240" w:lineRule="auto"/>
              <w:jc w:val="left"/>
              <w:rPr>
                <w:rFonts w:asciiTheme="minorHAnsi" w:hAnsiTheme="minorHAnsi" w:cstheme="minorHAnsi"/>
                <w:sz w:val="24"/>
                <w:szCs w:val="24"/>
              </w:rPr>
            </w:pPr>
            <w:r>
              <w:rPr>
                <w:rFonts w:asciiTheme="minorHAnsi" w:hAnsiTheme="minorHAnsi" w:cstheme="minorHAnsi"/>
                <w:sz w:val="24"/>
                <w:szCs w:val="24"/>
              </w:rPr>
              <w:lastRenderedPageBreak/>
              <w:t>Regulator Security Deficiency Comments</w:t>
            </w:r>
          </w:p>
        </w:tc>
        <w:tc>
          <w:tcPr>
            <w:tcW w:w="0" w:type="auto"/>
          </w:tcPr>
          <w:p w14:paraId="75024CED" w14:textId="2BBD5756" w:rsidR="00963D07" w:rsidRPr="003D1215" w:rsidRDefault="00000CBF" w:rsidP="00000CBF">
            <w:pPr>
              <w:pStyle w:val="Content"/>
              <w:spacing w:after="0" w:line="240" w:lineRule="auto"/>
              <w:jc w:val="left"/>
              <w:rPr>
                <w:rFonts w:asciiTheme="minorHAnsi" w:hAnsiTheme="minorHAnsi" w:cstheme="minorHAnsi"/>
                <w:sz w:val="24"/>
                <w:szCs w:val="24"/>
              </w:rPr>
            </w:pPr>
            <w:r>
              <w:rPr>
                <w:rFonts w:asciiTheme="minorHAnsi" w:hAnsiTheme="minorHAnsi" w:cstheme="minorHAnsi"/>
                <w:sz w:val="24"/>
                <w:szCs w:val="24"/>
              </w:rPr>
              <w:t>Number of deficiency comments related to security across all our medical device regulatory submissions each fiscal year.</w:t>
            </w:r>
          </w:p>
        </w:tc>
        <w:tc>
          <w:tcPr>
            <w:tcW w:w="0" w:type="auto"/>
          </w:tcPr>
          <w:p w14:paraId="744E046C" w14:textId="3F242810" w:rsidR="001254AC" w:rsidRPr="003D1215" w:rsidRDefault="00000CBF" w:rsidP="003D1215">
            <w:pPr>
              <w:pStyle w:val="Content"/>
              <w:spacing w:after="0" w:line="240" w:lineRule="auto"/>
              <w:jc w:val="left"/>
              <w:rPr>
                <w:rFonts w:asciiTheme="minorHAnsi" w:hAnsiTheme="minorHAnsi" w:cstheme="minorHAnsi"/>
                <w:sz w:val="24"/>
                <w:szCs w:val="24"/>
              </w:rPr>
            </w:pPr>
            <w:r>
              <w:rPr>
                <w:rFonts w:asciiTheme="minorHAnsi" w:hAnsiTheme="minorHAnsi" w:cstheme="minorHAnsi"/>
                <w:sz w:val="24"/>
                <w:szCs w:val="24"/>
              </w:rPr>
              <w:t xml:space="preserve">Tracking by the </w:t>
            </w:r>
            <w:r w:rsidR="00581496">
              <w:rPr>
                <w:rFonts w:asciiTheme="minorHAnsi" w:hAnsiTheme="minorHAnsi" w:cstheme="minorHAnsi"/>
                <w:sz w:val="24"/>
                <w:szCs w:val="24"/>
              </w:rPr>
              <w:t>c</w:t>
            </w:r>
            <w:r>
              <w:rPr>
                <w:rFonts w:asciiTheme="minorHAnsi" w:hAnsiTheme="minorHAnsi" w:cstheme="minorHAnsi"/>
                <w:sz w:val="24"/>
                <w:szCs w:val="24"/>
              </w:rPr>
              <w:t xml:space="preserve">orporate Regulatory Affairs team who has visibility into all deficiency comments from </w:t>
            </w:r>
            <w:r w:rsidR="00EA578B">
              <w:rPr>
                <w:rFonts w:asciiTheme="minorHAnsi" w:hAnsiTheme="minorHAnsi" w:cstheme="minorHAnsi"/>
                <w:sz w:val="24"/>
                <w:szCs w:val="24"/>
              </w:rPr>
              <w:t xml:space="preserve">all </w:t>
            </w:r>
            <w:r>
              <w:rPr>
                <w:rFonts w:asciiTheme="minorHAnsi" w:hAnsiTheme="minorHAnsi" w:cstheme="minorHAnsi"/>
                <w:sz w:val="24"/>
                <w:szCs w:val="24"/>
              </w:rPr>
              <w:t>submissions.</w:t>
            </w:r>
          </w:p>
        </w:tc>
        <w:tc>
          <w:tcPr>
            <w:tcW w:w="0" w:type="auto"/>
          </w:tcPr>
          <w:p w14:paraId="700CABD3" w14:textId="7CE29EB8" w:rsidR="001254AC" w:rsidRPr="003D1215" w:rsidRDefault="000324D3" w:rsidP="003D1215">
            <w:pPr>
              <w:pStyle w:val="Content"/>
              <w:spacing w:after="0" w:line="240" w:lineRule="auto"/>
              <w:jc w:val="left"/>
              <w:rPr>
                <w:rFonts w:asciiTheme="minorHAnsi" w:hAnsiTheme="minorHAnsi" w:cstheme="minorHAnsi"/>
                <w:sz w:val="24"/>
                <w:szCs w:val="24"/>
              </w:rPr>
            </w:pPr>
            <w:r>
              <w:rPr>
                <w:rFonts w:asciiTheme="minorHAnsi" w:hAnsiTheme="minorHAnsi" w:cstheme="minorHAnsi"/>
                <w:sz w:val="24"/>
                <w:szCs w:val="24"/>
              </w:rPr>
              <w:t>Quarterly</w:t>
            </w:r>
          </w:p>
        </w:tc>
        <w:tc>
          <w:tcPr>
            <w:tcW w:w="0" w:type="auto"/>
          </w:tcPr>
          <w:p w14:paraId="3128C2F3" w14:textId="061A4B6C" w:rsidR="001254AC" w:rsidRPr="003D1215" w:rsidRDefault="000324D3" w:rsidP="003D1215">
            <w:pPr>
              <w:pStyle w:val="Content"/>
              <w:spacing w:after="0" w:line="240" w:lineRule="auto"/>
              <w:jc w:val="left"/>
              <w:rPr>
                <w:rFonts w:asciiTheme="minorHAnsi" w:hAnsiTheme="minorHAnsi" w:cstheme="minorHAnsi"/>
                <w:sz w:val="24"/>
                <w:szCs w:val="24"/>
              </w:rPr>
            </w:pPr>
            <w:r>
              <w:rPr>
                <w:rFonts w:asciiTheme="minorHAnsi" w:hAnsiTheme="minorHAnsi" w:cstheme="minorHAnsi"/>
                <w:sz w:val="24"/>
                <w:szCs w:val="24"/>
              </w:rPr>
              <w:t>Corporate Regulatory Affairs team</w:t>
            </w:r>
          </w:p>
        </w:tc>
      </w:tr>
      <w:tr w:rsidR="00E12B29" w:rsidRPr="007E388D" w14:paraId="609D044B" w14:textId="77777777" w:rsidTr="00000CBF">
        <w:trPr>
          <w:trHeight w:val="1180"/>
        </w:trPr>
        <w:tc>
          <w:tcPr>
            <w:tcW w:w="0" w:type="auto"/>
          </w:tcPr>
          <w:p w14:paraId="3B184D42" w14:textId="180716B6" w:rsidR="001254AC" w:rsidRPr="003D1215" w:rsidRDefault="000324D3" w:rsidP="003D1215">
            <w:pPr>
              <w:pStyle w:val="Content"/>
              <w:spacing w:after="0" w:line="240" w:lineRule="auto"/>
              <w:jc w:val="left"/>
              <w:rPr>
                <w:rFonts w:asciiTheme="minorHAnsi" w:hAnsiTheme="minorHAnsi" w:cstheme="minorHAnsi"/>
                <w:sz w:val="24"/>
                <w:szCs w:val="24"/>
              </w:rPr>
            </w:pPr>
            <w:r>
              <w:rPr>
                <w:rFonts w:asciiTheme="minorHAnsi" w:hAnsiTheme="minorHAnsi" w:cstheme="minorHAnsi"/>
                <w:sz w:val="24"/>
                <w:szCs w:val="24"/>
              </w:rPr>
              <w:t>Security Bulletins</w:t>
            </w:r>
          </w:p>
        </w:tc>
        <w:tc>
          <w:tcPr>
            <w:tcW w:w="0" w:type="auto"/>
          </w:tcPr>
          <w:p w14:paraId="2E58C08F" w14:textId="6921D3A3" w:rsidR="001254AC" w:rsidRPr="003D1215" w:rsidRDefault="000324D3" w:rsidP="003D1215">
            <w:pPr>
              <w:pStyle w:val="Content"/>
              <w:spacing w:after="0" w:line="240" w:lineRule="auto"/>
              <w:jc w:val="left"/>
              <w:rPr>
                <w:rFonts w:asciiTheme="minorHAnsi" w:hAnsiTheme="minorHAnsi" w:cstheme="minorHAnsi"/>
                <w:sz w:val="24"/>
                <w:szCs w:val="24"/>
              </w:rPr>
            </w:pPr>
            <w:r>
              <w:rPr>
                <w:rFonts w:asciiTheme="minorHAnsi" w:hAnsiTheme="minorHAnsi" w:cstheme="minorHAnsi"/>
                <w:sz w:val="24"/>
                <w:szCs w:val="24"/>
              </w:rPr>
              <w:t xml:space="preserve">Number of Security Bulletins issued to the public on our </w:t>
            </w:r>
            <w:r w:rsidR="00581496">
              <w:rPr>
                <w:rFonts w:asciiTheme="minorHAnsi" w:hAnsiTheme="minorHAnsi" w:cstheme="minorHAnsi"/>
                <w:sz w:val="24"/>
                <w:szCs w:val="24"/>
              </w:rPr>
              <w:t>c</w:t>
            </w:r>
            <w:r>
              <w:rPr>
                <w:rFonts w:asciiTheme="minorHAnsi" w:hAnsiTheme="minorHAnsi" w:cstheme="minorHAnsi"/>
                <w:sz w:val="24"/>
                <w:szCs w:val="24"/>
              </w:rPr>
              <w:t>orporate website advising on current vulnerabilities affecting our devices on the market as well as available mitigations.</w:t>
            </w:r>
          </w:p>
        </w:tc>
        <w:tc>
          <w:tcPr>
            <w:tcW w:w="0" w:type="auto"/>
          </w:tcPr>
          <w:p w14:paraId="1DDFF0CA" w14:textId="51C10EA6" w:rsidR="001254AC" w:rsidRPr="003D1215" w:rsidRDefault="000324D3" w:rsidP="003D1215">
            <w:pPr>
              <w:pStyle w:val="Content"/>
              <w:spacing w:after="0" w:line="240" w:lineRule="auto"/>
              <w:jc w:val="left"/>
              <w:rPr>
                <w:rFonts w:asciiTheme="minorHAnsi" w:hAnsiTheme="minorHAnsi" w:cstheme="minorHAnsi"/>
                <w:sz w:val="24"/>
                <w:szCs w:val="24"/>
              </w:rPr>
            </w:pPr>
            <w:r>
              <w:rPr>
                <w:rFonts w:asciiTheme="minorHAnsi" w:hAnsiTheme="minorHAnsi" w:cstheme="minorHAnsi"/>
                <w:sz w:val="24"/>
                <w:szCs w:val="24"/>
              </w:rPr>
              <w:t xml:space="preserve">Tracked by number of public security bulletins issued on our </w:t>
            </w:r>
            <w:r w:rsidR="00581496">
              <w:rPr>
                <w:rFonts w:asciiTheme="minorHAnsi" w:hAnsiTheme="minorHAnsi" w:cstheme="minorHAnsi"/>
                <w:sz w:val="24"/>
                <w:szCs w:val="24"/>
              </w:rPr>
              <w:t>c</w:t>
            </w:r>
            <w:r>
              <w:rPr>
                <w:rFonts w:asciiTheme="minorHAnsi" w:hAnsiTheme="minorHAnsi" w:cstheme="minorHAnsi"/>
                <w:sz w:val="24"/>
                <w:szCs w:val="24"/>
              </w:rPr>
              <w:t>orporate website.</w:t>
            </w:r>
          </w:p>
        </w:tc>
        <w:tc>
          <w:tcPr>
            <w:tcW w:w="0" w:type="auto"/>
          </w:tcPr>
          <w:p w14:paraId="332529C2" w14:textId="1B75B2CD" w:rsidR="001254AC" w:rsidRPr="003D1215" w:rsidRDefault="000324D3" w:rsidP="003D1215">
            <w:pPr>
              <w:pStyle w:val="Content"/>
              <w:spacing w:after="0" w:line="240" w:lineRule="auto"/>
              <w:jc w:val="left"/>
              <w:rPr>
                <w:rFonts w:asciiTheme="minorHAnsi" w:hAnsiTheme="minorHAnsi" w:cstheme="minorHAnsi"/>
                <w:sz w:val="24"/>
                <w:szCs w:val="24"/>
              </w:rPr>
            </w:pPr>
            <w:r>
              <w:rPr>
                <w:rFonts w:asciiTheme="minorHAnsi" w:hAnsiTheme="minorHAnsi" w:cstheme="minorHAnsi"/>
                <w:sz w:val="24"/>
                <w:szCs w:val="24"/>
              </w:rPr>
              <w:t>Quarterly</w:t>
            </w:r>
          </w:p>
        </w:tc>
        <w:tc>
          <w:tcPr>
            <w:tcW w:w="0" w:type="auto"/>
          </w:tcPr>
          <w:p w14:paraId="33BFD00B" w14:textId="21231A14" w:rsidR="001254AC" w:rsidRPr="003D1215" w:rsidRDefault="000324D3" w:rsidP="003D1215">
            <w:pPr>
              <w:pStyle w:val="Content"/>
              <w:spacing w:after="0" w:line="240" w:lineRule="auto"/>
              <w:jc w:val="left"/>
              <w:rPr>
                <w:rFonts w:asciiTheme="minorHAnsi" w:hAnsiTheme="minorHAnsi" w:cstheme="minorHAnsi"/>
                <w:sz w:val="24"/>
                <w:szCs w:val="24"/>
              </w:rPr>
            </w:pPr>
            <w:r>
              <w:rPr>
                <w:rFonts w:asciiTheme="minorHAnsi" w:hAnsiTheme="minorHAnsi" w:cstheme="minorHAnsi"/>
                <w:sz w:val="24"/>
                <w:szCs w:val="24"/>
              </w:rPr>
              <w:t xml:space="preserve">Medical </w:t>
            </w:r>
            <w:r w:rsidR="00581496">
              <w:rPr>
                <w:rFonts w:asciiTheme="minorHAnsi" w:hAnsiTheme="minorHAnsi" w:cstheme="minorHAnsi"/>
                <w:sz w:val="24"/>
                <w:szCs w:val="24"/>
              </w:rPr>
              <w:t>d</w:t>
            </w:r>
            <w:r>
              <w:rPr>
                <w:rFonts w:asciiTheme="minorHAnsi" w:hAnsiTheme="minorHAnsi" w:cstheme="minorHAnsi"/>
                <w:sz w:val="24"/>
                <w:szCs w:val="24"/>
              </w:rPr>
              <w:t xml:space="preserve">evice </w:t>
            </w:r>
            <w:r w:rsidR="00581496">
              <w:rPr>
                <w:rFonts w:asciiTheme="minorHAnsi" w:hAnsiTheme="minorHAnsi" w:cstheme="minorHAnsi"/>
                <w:sz w:val="24"/>
                <w:szCs w:val="24"/>
              </w:rPr>
              <w:t>s</w:t>
            </w:r>
            <w:r>
              <w:rPr>
                <w:rFonts w:asciiTheme="minorHAnsi" w:hAnsiTheme="minorHAnsi" w:cstheme="minorHAnsi"/>
                <w:sz w:val="24"/>
                <w:szCs w:val="24"/>
              </w:rPr>
              <w:t xml:space="preserve">ecurity </w:t>
            </w:r>
            <w:r w:rsidR="00581496">
              <w:rPr>
                <w:rFonts w:asciiTheme="minorHAnsi" w:hAnsiTheme="minorHAnsi" w:cstheme="minorHAnsi"/>
                <w:sz w:val="24"/>
                <w:szCs w:val="24"/>
              </w:rPr>
              <w:t>t</w:t>
            </w:r>
            <w:r>
              <w:rPr>
                <w:rFonts w:asciiTheme="minorHAnsi" w:hAnsiTheme="minorHAnsi" w:cstheme="minorHAnsi"/>
                <w:sz w:val="24"/>
                <w:szCs w:val="24"/>
              </w:rPr>
              <w:t>eam</w:t>
            </w:r>
          </w:p>
        </w:tc>
      </w:tr>
    </w:tbl>
    <w:p w14:paraId="1CC1CF31" w14:textId="5535339C" w:rsidR="00B61627" w:rsidRPr="00E37036" w:rsidRDefault="00B61627" w:rsidP="00B827FD">
      <w:pPr>
        <w:pStyle w:val="Heading1"/>
      </w:pPr>
      <w:bookmarkStart w:id="18" w:name="_Toc95501631"/>
      <w:r>
        <w:t>Appendix A</w:t>
      </w:r>
      <w:r w:rsidR="00821825">
        <w:t>: Medical Device Security Topic and Operating Unit Department Matrix</w:t>
      </w:r>
      <w:bookmarkEnd w:id="18"/>
    </w:p>
    <w:p w14:paraId="328B133D" w14:textId="1C6DDAF6" w:rsidR="00B61627" w:rsidRDefault="00B61627" w:rsidP="000A3D52">
      <w:pPr>
        <w:pStyle w:val="Content"/>
        <w:tabs>
          <w:tab w:val="clear" w:pos="560"/>
        </w:tabs>
        <w:adjustRightInd/>
        <w:spacing w:after="120" w:line="240" w:lineRule="auto"/>
        <w:jc w:val="left"/>
      </w:pPr>
    </w:p>
    <w:p w14:paraId="3D75D401" w14:textId="20E3315B" w:rsidR="00B61627" w:rsidRDefault="00B61627" w:rsidP="000A3D52">
      <w:pPr>
        <w:pStyle w:val="Content"/>
        <w:tabs>
          <w:tab w:val="clear" w:pos="560"/>
        </w:tabs>
        <w:adjustRightInd/>
        <w:spacing w:after="120" w:line="240" w:lineRule="auto"/>
        <w:jc w:val="left"/>
      </w:pPr>
      <w:r w:rsidRPr="00B61627">
        <w:rPr>
          <w:noProof/>
        </w:rPr>
        <w:drawing>
          <wp:inline distT="0" distB="0" distL="0" distR="0" wp14:anchorId="6C722199" wp14:editId="40A736F2">
            <wp:extent cx="5943600" cy="17862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1786255"/>
                    </a:xfrm>
                    <a:prstGeom prst="rect">
                      <a:avLst/>
                    </a:prstGeom>
                  </pic:spPr>
                </pic:pic>
              </a:graphicData>
            </a:graphic>
          </wp:inline>
        </w:drawing>
      </w:r>
    </w:p>
    <w:p w14:paraId="50B0EFB1" w14:textId="617FFD3B" w:rsidR="007D0586" w:rsidRPr="00E37036" w:rsidRDefault="007D0586" w:rsidP="00B827FD">
      <w:pPr>
        <w:pStyle w:val="Heading1"/>
      </w:pPr>
      <w:bookmarkStart w:id="19" w:name="_Toc95501632"/>
      <w:r>
        <w:t>Appendix B: Learning Objective</w:t>
      </w:r>
      <w:r w:rsidR="00D22A54">
        <w:t>s</w:t>
      </w:r>
      <w:bookmarkEnd w:id="19"/>
    </w:p>
    <w:p w14:paraId="6039212B" w14:textId="7DD366CB" w:rsidR="00D22A54" w:rsidRDefault="00D22A54" w:rsidP="00D22A54">
      <w:pPr>
        <w:pStyle w:val="Heading2"/>
        <w:rPr>
          <w:rFonts w:asciiTheme="minorHAnsi" w:hAnsiTheme="minorHAnsi" w:cstheme="minorHAnsi"/>
        </w:rPr>
      </w:pPr>
      <w:bookmarkStart w:id="20" w:name="_Toc95501633"/>
      <w:r>
        <w:rPr>
          <w:rFonts w:asciiTheme="minorHAnsi" w:hAnsiTheme="minorHAnsi" w:cstheme="minorHAnsi"/>
        </w:rPr>
        <w:t>Risk</w:t>
      </w:r>
      <w:bookmarkEnd w:id="20"/>
    </w:p>
    <w:p w14:paraId="5DDAA70D" w14:textId="5AAC3FA4" w:rsidR="00D22A54" w:rsidRDefault="00D22A54" w:rsidP="00D22A54">
      <w:pPr>
        <w:rPr>
          <w:lang w:eastAsia="en-US" w:bidi="ar-SA"/>
        </w:rPr>
      </w:pPr>
      <w:r>
        <w:rPr>
          <w:lang w:eastAsia="en-US" w:bidi="ar-SA"/>
        </w:rPr>
        <w:t xml:space="preserve">Incomplete </w:t>
      </w:r>
      <w:r w:rsidR="00C746B0">
        <w:rPr>
          <w:lang w:eastAsia="en-US" w:bidi="ar-SA"/>
        </w:rPr>
        <w:t xml:space="preserve">and </w:t>
      </w:r>
      <w:r w:rsidR="00581496">
        <w:rPr>
          <w:lang w:eastAsia="en-US" w:bidi="ar-SA"/>
        </w:rPr>
        <w:t>i</w:t>
      </w:r>
      <w:r w:rsidR="00C746B0">
        <w:rPr>
          <w:lang w:eastAsia="en-US" w:bidi="ar-SA"/>
        </w:rPr>
        <w:t xml:space="preserve">naccurate </w:t>
      </w:r>
      <w:r>
        <w:rPr>
          <w:lang w:eastAsia="en-US" w:bidi="ar-SA"/>
        </w:rPr>
        <w:t>Security Risk Assessment.</w:t>
      </w:r>
    </w:p>
    <w:p w14:paraId="26B5EBB0" w14:textId="158263D6" w:rsidR="00D22A54" w:rsidRDefault="00D22A54" w:rsidP="00D22A54">
      <w:pPr>
        <w:pStyle w:val="Heading2"/>
        <w:rPr>
          <w:rFonts w:asciiTheme="minorHAnsi" w:hAnsiTheme="minorHAnsi" w:cstheme="minorHAnsi"/>
        </w:rPr>
      </w:pPr>
      <w:bookmarkStart w:id="21" w:name="_Toc95501634"/>
      <w:r>
        <w:rPr>
          <w:rFonts w:asciiTheme="minorHAnsi" w:hAnsiTheme="minorHAnsi" w:cstheme="minorHAnsi"/>
        </w:rPr>
        <w:t>Goal</w:t>
      </w:r>
      <w:bookmarkEnd w:id="21"/>
    </w:p>
    <w:p w14:paraId="2C1F98DA" w14:textId="629E2ACD" w:rsidR="00D22A54" w:rsidRPr="00B827FD" w:rsidRDefault="00EA11F9" w:rsidP="00D22A54">
      <w:pPr>
        <w:rPr>
          <w:sz w:val="24"/>
          <w:szCs w:val="24"/>
          <w:lang w:eastAsia="en-US" w:bidi="ar-SA"/>
        </w:rPr>
      </w:pPr>
      <w:r w:rsidRPr="00B827FD">
        <w:rPr>
          <w:sz w:val="24"/>
          <w:szCs w:val="24"/>
          <w:lang w:eastAsia="en-US" w:bidi="ar-SA"/>
        </w:rPr>
        <w:t xml:space="preserve">Participants will explain and demonstrate how executing a </w:t>
      </w:r>
      <w:r w:rsidR="00581496">
        <w:rPr>
          <w:sz w:val="24"/>
          <w:szCs w:val="24"/>
          <w:lang w:eastAsia="en-US" w:bidi="ar-SA"/>
        </w:rPr>
        <w:t>t</w:t>
      </w:r>
      <w:r w:rsidRPr="00B827FD">
        <w:rPr>
          <w:sz w:val="24"/>
          <w:szCs w:val="24"/>
          <w:lang w:eastAsia="en-US" w:bidi="ar-SA"/>
        </w:rPr>
        <w:t xml:space="preserve">hreat </w:t>
      </w:r>
      <w:r w:rsidR="00581496">
        <w:rPr>
          <w:sz w:val="24"/>
          <w:szCs w:val="24"/>
          <w:lang w:eastAsia="en-US" w:bidi="ar-SA"/>
        </w:rPr>
        <w:t>m</w:t>
      </w:r>
      <w:r w:rsidRPr="00B827FD">
        <w:rPr>
          <w:sz w:val="24"/>
          <w:szCs w:val="24"/>
          <w:lang w:eastAsia="en-US" w:bidi="ar-SA"/>
        </w:rPr>
        <w:t xml:space="preserve">odeling methodology will lead to a complete identification of security risks </w:t>
      </w:r>
      <w:r w:rsidR="00C746B0">
        <w:rPr>
          <w:sz w:val="24"/>
          <w:szCs w:val="24"/>
          <w:lang w:eastAsia="en-US" w:bidi="ar-SA"/>
        </w:rPr>
        <w:t xml:space="preserve">and accurate assessment of those risks </w:t>
      </w:r>
      <w:r w:rsidRPr="00B827FD">
        <w:rPr>
          <w:sz w:val="24"/>
          <w:szCs w:val="24"/>
          <w:lang w:eastAsia="en-US" w:bidi="ar-SA"/>
        </w:rPr>
        <w:t>affecting their medical device.</w:t>
      </w:r>
      <w:r w:rsidR="00B827FD" w:rsidRPr="00B827FD">
        <w:rPr>
          <w:sz w:val="24"/>
          <w:szCs w:val="24"/>
          <w:lang w:eastAsia="en-US" w:bidi="ar-SA"/>
        </w:rPr>
        <w:t xml:space="preserve">  This more thorough identification </w:t>
      </w:r>
      <w:r w:rsidR="00C746B0">
        <w:rPr>
          <w:sz w:val="24"/>
          <w:szCs w:val="24"/>
          <w:lang w:eastAsia="en-US" w:bidi="ar-SA"/>
        </w:rPr>
        <w:t xml:space="preserve">and assessment </w:t>
      </w:r>
      <w:r w:rsidR="00B827FD" w:rsidRPr="00B827FD">
        <w:rPr>
          <w:sz w:val="24"/>
          <w:szCs w:val="24"/>
          <w:lang w:eastAsia="en-US" w:bidi="ar-SA"/>
        </w:rPr>
        <w:t xml:space="preserve">of security </w:t>
      </w:r>
      <w:r w:rsidR="00B827FD" w:rsidRPr="00B827FD">
        <w:rPr>
          <w:sz w:val="24"/>
          <w:szCs w:val="24"/>
          <w:lang w:eastAsia="en-US" w:bidi="ar-SA"/>
        </w:rPr>
        <w:lastRenderedPageBreak/>
        <w:t>risks will lead to more holistic management of security risks that could impact patient safety as well as create more defendable documentation for the device’s submission to regulators.</w:t>
      </w:r>
    </w:p>
    <w:p w14:paraId="4B892A4F" w14:textId="5A1E07AF" w:rsidR="00B827FD" w:rsidRDefault="00B827FD" w:rsidP="00B827FD">
      <w:pPr>
        <w:pStyle w:val="Heading2"/>
        <w:rPr>
          <w:rFonts w:asciiTheme="minorHAnsi" w:hAnsiTheme="minorHAnsi" w:cstheme="minorHAnsi"/>
        </w:rPr>
      </w:pPr>
      <w:bookmarkStart w:id="22" w:name="_Toc95501635"/>
      <w:r>
        <w:rPr>
          <w:rFonts w:asciiTheme="minorHAnsi" w:hAnsiTheme="minorHAnsi" w:cstheme="minorHAnsi"/>
        </w:rPr>
        <w:t>Background</w:t>
      </w:r>
      <w:bookmarkEnd w:id="22"/>
    </w:p>
    <w:p w14:paraId="4E67B334" w14:textId="13EBBB2D" w:rsidR="007D0586" w:rsidRDefault="00B827FD" w:rsidP="000A3D52">
      <w:pPr>
        <w:pStyle w:val="Content"/>
        <w:tabs>
          <w:tab w:val="clear" w:pos="560"/>
        </w:tabs>
        <w:adjustRightInd/>
        <w:spacing w:after="120" w:line="240" w:lineRule="auto"/>
        <w:jc w:val="left"/>
        <w:rPr>
          <w:rFonts w:asciiTheme="minorHAnsi" w:eastAsiaTheme="minorEastAsia" w:hAnsiTheme="minorHAnsi" w:cstheme="minorBidi"/>
          <w:sz w:val="24"/>
          <w:szCs w:val="24"/>
        </w:rPr>
      </w:pPr>
      <w:r w:rsidRPr="00B827FD">
        <w:rPr>
          <w:rFonts w:asciiTheme="minorHAnsi" w:eastAsiaTheme="minorEastAsia" w:hAnsiTheme="minorHAnsi" w:cstheme="minorBidi"/>
          <w:sz w:val="24"/>
          <w:szCs w:val="24"/>
        </w:rPr>
        <w:t xml:space="preserve">Incomplete identification </w:t>
      </w:r>
      <w:r w:rsidR="00C746B0">
        <w:rPr>
          <w:rFonts w:asciiTheme="minorHAnsi" w:eastAsiaTheme="minorEastAsia" w:hAnsiTheme="minorHAnsi" w:cstheme="minorBidi"/>
          <w:sz w:val="24"/>
          <w:szCs w:val="24"/>
        </w:rPr>
        <w:t xml:space="preserve">and inaccurate assessment </w:t>
      </w:r>
      <w:r w:rsidRPr="00B827FD">
        <w:rPr>
          <w:rFonts w:asciiTheme="minorHAnsi" w:eastAsiaTheme="minorEastAsia" w:hAnsiTheme="minorHAnsi" w:cstheme="minorBidi"/>
          <w:sz w:val="24"/>
          <w:szCs w:val="24"/>
        </w:rPr>
        <w:t xml:space="preserve">of security risks in a Security Risk Assessment document has been the primary source of </w:t>
      </w:r>
      <w:r w:rsidR="00581496">
        <w:rPr>
          <w:rFonts w:asciiTheme="minorHAnsi" w:eastAsiaTheme="minorEastAsia" w:hAnsiTheme="minorHAnsi" w:cstheme="minorBidi"/>
          <w:sz w:val="24"/>
          <w:szCs w:val="24"/>
        </w:rPr>
        <w:t>r</w:t>
      </w:r>
      <w:r w:rsidRPr="00B827FD">
        <w:rPr>
          <w:rFonts w:asciiTheme="minorHAnsi" w:eastAsiaTheme="minorEastAsia" w:hAnsiTheme="minorHAnsi" w:cstheme="minorBidi"/>
          <w:sz w:val="24"/>
          <w:szCs w:val="24"/>
        </w:rPr>
        <w:t xml:space="preserve">egulator deficiency comments over the past two calendar years.  As such, a focus on how to identify security risks more completely and </w:t>
      </w:r>
      <w:r w:rsidR="00C746B0">
        <w:rPr>
          <w:rFonts w:asciiTheme="minorHAnsi" w:eastAsiaTheme="minorEastAsia" w:hAnsiTheme="minorHAnsi" w:cstheme="minorBidi"/>
          <w:sz w:val="24"/>
          <w:szCs w:val="24"/>
        </w:rPr>
        <w:t xml:space="preserve">assess them more </w:t>
      </w:r>
      <w:r w:rsidRPr="00B827FD">
        <w:rPr>
          <w:rFonts w:asciiTheme="minorHAnsi" w:eastAsiaTheme="minorEastAsia" w:hAnsiTheme="minorHAnsi" w:cstheme="minorBidi"/>
          <w:sz w:val="24"/>
          <w:szCs w:val="24"/>
        </w:rPr>
        <w:t xml:space="preserve">accurately is needed.  Industry collaboration with </w:t>
      </w:r>
      <w:r w:rsidR="00581496">
        <w:rPr>
          <w:rFonts w:asciiTheme="minorHAnsi" w:eastAsiaTheme="minorEastAsia" w:hAnsiTheme="minorHAnsi" w:cstheme="minorBidi"/>
          <w:sz w:val="24"/>
          <w:szCs w:val="24"/>
        </w:rPr>
        <w:t>r</w:t>
      </w:r>
      <w:r w:rsidRPr="00B827FD">
        <w:rPr>
          <w:rFonts w:asciiTheme="minorHAnsi" w:eastAsiaTheme="minorEastAsia" w:hAnsiTheme="minorHAnsi" w:cstheme="minorBidi"/>
          <w:sz w:val="24"/>
          <w:szCs w:val="24"/>
        </w:rPr>
        <w:t xml:space="preserve">egulators over the past two calendar years has concluded that a structured </w:t>
      </w:r>
      <w:r w:rsidR="00581496">
        <w:rPr>
          <w:rFonts w:asciiTheme="minorHAnsi" w:eastAsiaTheme="minorEastAsia" w:hAnsiTheme="minorHAnsi" w:cstheme="minorBidi"/>
          <w:sz w:val="24"/>
          <w:szCs w:val="24"/>
        </w:rPr>
        <w:t>t</w:t>
      </w:r>
      <w:r w:rsidRPr="00B827FD">
        <w:rPr>
          <w:rFonts w:asciiTheme="minorHAnsi" w:eastAsiaTheme="minorEastAsia" w:hAnsiTheme="minorHAnsi" w:cstheme="minorBidi"/>
          <w:sz w:val="24"/>
          <w:szCs w:val="24"/>
        </w:rPr>
        <w:t xml:space="preserve">hreat </w:t>
      </w:r>
      <w:r w:rsidR="00581496">
        <w:rPr>
          <w:rFonts w:asciiTheme="minorHAnsi" w:eastAsiaTheme="minorEastAsia" w:hAnsiTheme="minorHAnsi" w:cstheme="minorBidi"/>
          <w:sz w:val="24"/>
          <w:szCs w:val="24"/>
        </w:rPr>
        <w:t>m</w:t>
      </w:r>
      <w:r w:rsidRPr="00B827FD">
        <w:rPr>
          <w:rFonts w:asciiTheme="minorHAnsi" w:eastAsiaTheme="minorEastAsia" w:hAnsiTheme="minorHAnsi" w:cstheme="minorBidi"/>
          <w:sz w:val="24"/>
          <w:szCs w:val="24"/>
        </w:rPr>
        <w:t>odeling methodology leveraging frameworks like STRIDE is the standard for producing complete and accurate Security Risk Assessments of medical devices.</w:t>
      </w:r>
      <w:r>
        <w:rPr>
          <w:rFonts w:asciiTheme="minorHAnsi" w:eastAsiaTheme="minorEastAsia" w:hAnsiTheme="minorHAnsi" w:cstheme="minorBidi"/>
          <w:sz w:val="24"/>
          <w:szCs w:val="24"/>
        </w:rPr>
        <w:t xml:space="preserve">  This module teaches a structured </w:t>
      </w:r>
      <w:r w:rsidR="00581496">
        <w:rPr>
          <w:rFonts w:asciiTheme="minorHAnsi" w:eastAsiaTheme="minorEastAsia" w:hAnsiTheme="minorHAnsi" w:cstheme="minorBidi"/>
          <w:sz w:val="24"/>
          <w:szCs w:val="24"/>
        </w:rPr>
        <w:t>t</w:t>
      </w:r>
      <w:r>
        <w:rPr>
          <w:rFonts w:asciiTheme="minorHAnsi" w:eastAsiaTheme="minorEastAsia" w:hAnsiTheme="minorHAnsi" w:cstheme="minorBidi"/>
          <w:sz w:val="24"/>
          <w:szCs w:val="24"/>
        </w:rPr>
        <w:t xml:space="preserve">hreat </w:t>
      </w:r>
      <w:r w:rsidR="00581496">
        <w:rPr>
          <w:rFonts w:asciiTheme="minorHAnsi" w:eastAsiaTheme="minorEastAsia" w:hAnsiTheme="minorHAnsi" w:cstheme="minorBidi"/>
          <w:sz w:val="24"/>
          <w:szCs w:val="24"/>
        </w:rPr>
        <w:t>m</w:t>
      </w:r>
      <w:r>
        <w:rPr>
          <w:rFonts w:asciiTheme="minorHAnsi" w:eastAsiaTheme="minorEastAsia" w:hAnsiTheme="minorHAnsi" w:cstheme="minorBidi"/>
          <w:sz w:val="24"/>
          <w:szCs w:val="24"/>
        </w:rPr>
        <w:t>odeling methodology using the STRIDE framework applied to medical devices.</w:t>
      </w:r>
    </w:p>
    <w:p w14:paraId="3F048DB3" w14:textId="04862496" w:rsidR="00B827FD" w:rsidRDefault="00B827FD" w:rsidP="00B827FD">
      <w:pPr>
        <w:pStyle w:val="Heading2"/>
        <w:rPr>
          <w:rFonts w:asciiTheme="minorHAnsi" w:hAnsiTheme="minorHAnsi" w:cstheme="minorHAnsi"/>
        </w:rPr>
      </w:pPr>
      <w:bookmarkStart w:id="23" w:name="_Toc95501636"/>
      <w:r>
        <w:rPr>
          <w:rFonts w:asciiTheme="minorHAnsi" w:hAnsiTheme="minorHAnsi" w:cstheme="minorHAnsi"/>
        </w:rPr>
        <w:t>Learning Objectives</w:t>
      </w:r>
      <w:bookmarkEnd w:id="23"/>
    </w:p>
    <w:p w14:paraId="1CC76BE2" w14:textId="0826F94F" w:rsidR="00B827FD" w:rsidRDefault="00B827FD" w:rsidP="00B827FD">
      <w:pPr>
        <w:pStyle w:val="ListParagraph"/>
        <w:numPr>
          <w:ilvl w:val="0"/>
          <w:numId w:val="12"/>
        </w:numPr>
        <w:rPr>
          <w:sz w:val="24"/>
          <w:szCs w:val="24"/>
        </w:rPr>
      </w:pPr>
      <w:r w:rsidRPr="00B827FD">
        <w:rPr>
          <w:sz w:val="24"/>
          <w:szCs w:val="24"/>
        </w:rPr>
        <w:t xml:space="preserve">Learners can </w:t>
      </w:r>
      <w:r w:rsidR="00C746B0">
        <w:rPr>
          <w:sz w:val="24"/>
          <w:szCs w:val="24"/>
        </w:rPr>
        <w:t xml:space="preserve">explain the steps of the </w:t>
      </w:r>
      <w:r w:rsidR="00581496">
        <w:rPr>
          <w:sz w:val="24"/>
          <w:szCs w:val="24"/>
        </w:rPr>
        <w:t>t</w:t>
      </w:r>
      <w:r w:rsidR="00C746B0">
        <w:rPr>
          <w:sz w:val="24"/>
          <w:szCs w:val="24"/>
        </w:rPr>
        <w:t xml:space="preserve">hreat </w:t>
      </w:r>
      <w:r w:rsidR="00581496">
        <w:rPr>
          <w:sz w:val="24"/>
          <w:szCs w:val="24"/>
        </w:rPr>
        <w:t>m</w:t>
      </w:r>
      <w:r w:rsidR="00C746B0">
        <w:rPr>
          <w:sz w:val="24"/>
          <w:szCs w:val="24"/>
        </w:rPr>
        <w:t>odeling methodology: identify assets, identify threats, identify vulnerabilities, assess risks, and identify control requirements.</w:t>
      </w:r>
    </w:p>
    <w:p w14:paraId="1E239BED" w14:textId="1E6D11B1" w:rsidR="00C746B0" w:rsidRDefault="00C746B0" w:rsidP="00B827FD">
      <w:pPr>
        <w:pStyle w:val="ListParagraph"/>
        <w:numPr>
          <w:ilvl w:val="0"/>
          <w:numId w:val="12"/>
        </w:numPr>
        <w:rPr>
          <w:sz w:val="24"/>
          <w:szCs w:val="24"/>
        </w:rPr>
      </w:pPr>
      <w:r>
        <w:rPr>
          <w:sz w:val="24"/>
          <w:szCs w:val="24"/>
        </w:rPr>
        <w:t xml:space="preserve">Learners can create a </w:t>
      </w:r>
      <w:r w:rsidR="00581496">
        <w:rPr>
          <w:sz w:val="24"/>
          <w:szCs w:val="24"/>
        </w:rPr>
        <w:t>t</w:t>
      </w:r>
      <w:r>
        <w:rPr>
          <w:sz w:val="24"/>
          <w:szCs w:val="24"/>
        </w:rPr>
        <w:t xml:space="preserve">hreat </w:t>
      </w:r>
      <w:r w:rsidR="00581496">
        <w:rPr>
          <w:sz w:val="24"/>
          <w:szCs w:val="24"/>
        </w:rPr>
        <w:t>m</w:t>
      </w:r>
      <w:r>
        <w:rPr>
          <w:sz w:val="24"/>
          <w:szCs w:val="24"/>
        </w:rPr>
        <w:t xml:space="preserve">odel architecture diagram for their medical device as a deliverable for the “identify assets” step in the </w:t>
      </w:r>
      <w:r w:rsidR="00581496">
        <w:rPr>
          <w:sz w:val="24"/>
          <w:szCs w:val="24"/>
        </w:rPr>
        <w:t>t</w:t>
      </w:r>
      <w:r>
        <w:rPr>
          <w:sz w:val="24"/>
          <w:szCs w:val="24"/>
        </w:rPr>
        <w:t xml:space="preserve">hreat </w:t>
      </w:r>
      <w:r w:rsidR="00581496">
        <w:rPr>
          <w:sz w:val="24"/>
          <w:szCs w:val="24"/>
        </w:rPr>
        <w:t>m</w:t>
      </w:r>
      <w:r>
        <w:rPr>
          <w:sz w:val="24"/>
          <w:szCs w:val="24"/>
        </w:rPr>
        <w:t>odeling methodology.</w:t>
      </w:r>
    </w:p>
    <w:p w14:paraId="2A7905CE" w14:textId="6B6CEECF" w:rsidR="00C746B0" w:rsidRPr="00B827FD" w:rsidRDefault="00C746B0" w:rsidP="00B827FD">
      <w:pPr>
        <w:pStyle w:val="ListParagraph"/>
        <w:numPr>
          <w:ilvl w:val="0"/>
          <w:numId w:val="12"/>
        </w:numPr>
        <w:rPr>
          <w:sz w:val="24"/>
          <w:szCs w:val="24"/>
        </w:rPr>
      </w:pPr>
      <w:r>
        <w:rPr>
          <w:sz w:val="24"/>
          <w:szCs w:val="24"/>
        </w:rPr>
        <w:t xml:space="preserve">Learners can prioritize security risks by correctly using the CVSS 3.0 scoring system while also leveraging the </w:t>
      </w:r>
      <w:hyperlink r:id="rId7" w:history="1">
        <w:r w:rsidRPr="00C746B0">
          <w:rPr>
            <w:rStyle w:val="Hyperlink"/>
            <w:sz w:val="24"/>
            <w:szCs w:val="24"/>
          </w:rPr>
          <w:t>MITRE Rubric</w:t>
        </w:r>
      </w:hyperlink>
      <w:r>
        <w:rPr>
          <w:sz w:val="24"/>
          <w:szCs w:val="24"/>
        </w:rPr>
        <w:t xml:space="preserve"> technical paper.</w:t>
      </w:r>
    </w:p>
    <w:sectPr w:rsidR="00C746B0" w:rsidRPr="00B827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ヒラギノ角ゴ Pro W3">
    <w:altName w:val="Yu Gothic"/>
    <w:panose1 w:val="020B0300000000000000"/>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D6AB2"/>
    <w:multiLevelType w:val="multilevel"/>
    <w:tmpl w:val="00D8B2BA"/>
    <w:lvl w:ilvl="0">
      <w:start w:val="1"/>
      <w:numFmt w:val="decimal"/>
      <w:isLgl/>
      <w:lvlText w:val="%1."/>
      <w:lvlJc w:val="left"/>
      <w:pPr>
        <w:tabs>
          <w:tab w:val="num" w:pos="432"/>
        </w:tabs>
        <w:ind w:left="432" w:firstLine="288"/>
      </w:pPr>
      <w:rPr>
        <w:rFonts w:hint="default"/>
        <w:position w:val="0"/>
      </w:rPr>
    </w:lvl>
    <w:lvl w:ilvl="1">
      <w:start w:val="1"/>
      <w:numFmt w:val="decimal"/>
      <w:isLgl/>
      <w:lvlText w:val="%2."/>
      <w:lvlJc w:val="left"/>
      <w:pPr>
        <w:tabs>
          <w:tab w:val="num" w:pos="360"/>
        </w:tabs>
        <w:ind w:left="360" w:firstLine="360"/>
      </w:pPr>
      <w:rPr>
        <w:rFonts w:hint="default"/>
        <w:position w:val="0"/>
      </w:rPr>
    </w:lvl>
    <w:lvl w:ilvl="2">
      <w:start w:val="1"/>
      <w:numFmt w:val="decimal"/>
      <w:pStyle w:val="Bullet-Numbers"/>
      <w:isLgl/>
      <w:lvlText w:val="%3."/>
      <w:lvlJc w:val="left"/>
      <w:pPr>
        <w:tabs>
          <w:tab w:val="num" w:pos="360"/>
        </w:tabs>
        <w:ind w:left="360" w:firstLine="720"/>
      </w:pPr>
      <w:rPr>
        <w:rFonts w:hint="default"/>
        <w:position w:val="0"/>
      </w:rPr>
    </w:lvl>
    <w:lvl w:ilvl="3">
      <w:start w:val="1"/>
      <w:numFmt w:val="decimal"/>
      <w:isLgl/>
      <w:lvlText w:val="%4."/>
      <w:lvlJc w:val="left"/>
      <w:pPr>
        <w:tabs>
          <w:tab w:val="num" w:pos="360"/>
        </w:tabs>
        <w:ind w:left="360" w:firstLine="1080"/>
      </w:pPr>
      <w:rPr>
        <w:rFonts w:hint="default"/>
        <w:position w:val="0"/>
      </w:rPr>
    </w:lvl>
    <w:lvl w:ilvl="4">
      <w:start w:val="1"/>
      <w:numFmt w:val="decimal"/>
      <w:isLgl/>
      <w:lvlText w:val="%5."/>
      <w:lvlJc w:val="left"/>
      <w:pPr>
        <w:tabs>
          <w:tab w:val="num" w:pos="360"/>
        </w:tabs>
        <w:ind w:left="360" w:firstLine="1440"/>
      </w:pPr>
      <w:rPr>
        <w:rFonts w:hint="default"/>
        <w:position w:val="0"/>
      </w:rPr>
    </w:lvl>
    <w:lvl w:ilvl="5">
      <w:start w:val="1"/>
      <w:numFmt w:val="decimal"/>
      <w:isLgl/>
      <w:lvlText w:val="%6."/>
      <w:lvlJc w:val="left"/>
      <w:pPr>
        <w:tabs>
          <w:tab w:val="num" w:pos="360"/>
        </w:tabs>
        <w:ind w:left="360" w:firstLine="1800"/>
      </w:pPr>
      <w:rPr>
        <w:rFonts w:hint="default"/>
        <w:position w:val="0"/>
      </w:rPr>
    </w:lvl>
    <w:lvl w:ilvl="6">
      <w:start w:val="1"/>
      <w:numFmt w:val="decimal"/>
      <w:isLgl/>
      <w:lvlText w:val="%7."/>
      <w:lvlJc w:val="left"/>
      <w:pPr>
        <w:tabs>
          <w:tab w:val="num" w:pos="360"/>
        </w:tabs>
        <w:ind w:left="360" w:firstLine="2160"/>
      </w:pPr>
      <w:rPr>
        <w:rFonts w:hint="default"/>
        <w:position w:val="0"/>
      </w:rPr>
    </w:lvl>
    <w:lvl w:ilvl="7">
      <w:start w:val="1"/>
      <w:numFmt w:val="decimal"/>
      <w:isLgl/>
      <w:lvlText w:val="%8."/>
      <w:lvlJc w:val="left"/>
      <w:pPr>
        <w:tabs>
          <w:tab w:val="num" w:pos="360"/>
        </w:tabs>
        <w:ind w:left="360" w:firstLine="2520"/>
      </w:pPr>
      <w:rPr>
        <w:rFonts w:hint="default"/>
        <w:position w:val="0"/>
      </w:rPr>
    </w:lvl>
    <w:lvl w:ilvl="8">
      <w:start w:val="1"/>
      <w:numFmt w:val="decimal"/>
      <w:isLgl/>
      <w:lvlText w:val="%9."/>
      <w:lvlJc w:val="left"/>
      <w:pPr>
        <w:tabs>
          <w:tab w:val="num" w:pos="360"/>
        </w:tabs>
        <w:ind w:left="360" w:firstLine="2880"/>
      </w:pPr>
      <w:rPr>
        <w:rFonts w:hint="default"/>
        <w:position w:val="0"/>
      </w:rPr>
    </w:lvl>
  </w:abstractNum>
  <w:abstractNum w:abstractNumId="1" w15:restartNumberingAfterBreak="0">
    <w:nsid w:val="16F914DA"/>
    <w:multiLevelType w:val="hybridMultilevel"/>
    <w:tmpl w:val="4950D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F06011"/>
    <w:multiLevelType w:val="hybridMultilevel"/>
    <w:tmpl w:val="6B761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0C54A9"/>
    <w:multiLevelType w:val="hybridMultilevel"/>
    <w:tmpl w:val="2236B6F4"/>
    <w:lvl w:ilvl="0" w:tplc="F1DE9900">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7D3FC3"/>
    <w:multiLevelType w:val="hybridMultilevel"/>
    <w:tmpl w:val="C9008CC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7512E0E"/>
    <w:multiLevelType w:val="hybridMultilevel"/>
    <w:tmpl w:val="FEFA5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2D3383"/>
    <w:multiLevelType w:val="multilevel"/>
    <w:tmpl w:val="28F0EBB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69610985"/>
    <w:multiLevelType w:val="hybridMultilevel"/>
    <w:tmpl w:val="B0A08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7C6977"/>
    <w:multiLevelType w:val="hybridMultilevel"/>
    <w:tmpl w:val="125CC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8C29D4"/>
    <w:multiLevelType w:val="hybridMultilevel"/>
    <w:tmpl w:val="B1BC00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BE0013"/>
    <w:multiLevelType w:val="hybridMultilevel"/>
    <w:tmpl w:val="F2FC2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4"/>
  </w:num>
  <w:num w:numId="5">
    <w:abstractNumId w:val="7"/>
  </w:num>
  <w:num w:numId="6">
    <w:abstractNumId w:val="0"/>
  </w:num>
  <w:num w:numId="7">
    <w:abstractNumId w:val="6"/>
  </w:num>
  <w:num w:numId="8">
    <w:abstractNumId w:val="10"/>
  </w:num>
  <w:num w:numId="9">
    <w:abstractNumId w:val="6"/>
  </w:num>
  <w:num w:numId="10">
    <w:abstractNumId w:val="6"/>
  </w:num>
  <w:num w:numId="11">
    <w:abstractNumId w:val="5"/>
  </w:num>
  <w:num w:numId="12">
    <w:abstractNumId w:val="8"/>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8DB"/>
    <w:rsid w:val="00000CBF"/>
    <w:rsid w:val="00010D2F"/>
    <w:rsid w:val="000163C5"/>
    <w:rsid w:val="00021678"/>
    <w:rsid w:val="00024BAA"/>
    <w:rsid w:val="00030057"/>
    <w:rsid w:val="00030789"/>
    <w:rsid w:val="000324D3"/>
    <w:rsid w:val="00035D97"/>
    <w:rsid w:val="00037F77"/>
    <w:rsid w:val="00041BDB"/>
    <w:rsid w:val="00060DED"/>
    <w:rsid w:val="00061D86"/>
    <w:rsid w:val="000659F4"/>
    <w:rsid w:val="00065C12"/>
    <w:rsid w:val="000912FF"/>
    <w:rsid w:val="000A3D52"/>
    <w:rsid w:val="000B617D"/>
    <w:rsid w:val="000C33D0"/>
    <w:rsid w:val="000C7868"/>
    <w:rsid w:val="000E7C60"/>
    <w:rsid w:val="001254AC"/>
    <w:rsid w:val="001271D7"/>
    <w:rsid w:val="0013435A"/>
    <w:rsid w:val="0016538E"/>
    <w:rsid w:val="00170C4A"/>
    <w:rsid w:val="001735D8"/>
    <w:rsid w:val="0018494E"/>
    <w:rsid w:val="00195ECB"/>
    <w:rsid w:val="001A53C2"/>
    <w:rsid w:val="001B319D"/>
    <w:rsid w:val="001C0BD2"/>
    <w:rsid w:val="001C4780"/>
    <w:rsid w:val="001D23F5"/>
    <w:rsid w:val="001D44BC"/>
    <w:rsid w:val="001D77BC"/>
    <w:rsid w:val="001E4407"/>
    <w:rsid w:val="0021214D"/>
    <w:rsid w:val="0021509C"/>
    <w:rsid w:val="0021783F"/>
    <w:rsid w:val="00235D14"/>
    <w:rsid w:val="00247F7B"/>
    <w:rsid w:val="00250987"/>
    <w:rsid w:val="002624D4"/>
    <w:rsid w:val="00262AE8"/>
    <w:rsid w:val="00273081"/>
    <w:rsid w:val="002B37BD"/>
    <w:rsid w:val="002D026D"/>
    <w:rsid w:val="002F6F94"/>
    <w:rsid w:val="003016B9"/>
    <w:rsid w:val="0030262A"/>
    <w:rsid w:val="00304302"/>
    <w:rsid w:val="0034122C"/>
    <w:rsid w:val="003530C7"/>
    <w:rsid w:val="00373470"/>
    <w:rsid w:val="00394930"/>
    <w:rsid w:val="003A340F"/>
    <w:rsid w:val="003B233F"/>
    <w:rsid w:val="003D1215"/>
    <w:rsid w:val="003D19B4"/>
    <w:rsid w:val="003F45C2"/>
    <w:rsid w:val="003F7043"/>
    <w:rsid w:val="004135F4"/>
    <w:rsid w:val="004358CA"/>
    <w:rsid w:val="00443868"/>
    <w:rsid w:val="00447AEC"/>
    <w:rsid w:val="00452AAD"/>
    <w:rsid w:val="00483F8D"/>
    <w:rsid w:val="00496071"/>
    <w:rsid w:val="004A1739"/>
    <w:rsid w:val="004B6816"/>
    <w:rsid w:val="005044A6"/>
    <w:rsid w:val="005117DC"/>
    <w:rsid w:val="0054028F"/>
    <w:rsid w:val="005515D2"/>
    <w:rsid w:val="00581496"/>
    <w:rsid w:val="0058611D"/>
    <w:rsid w:val="0059081B"/>
    <w:rsid w:val="00593020"/>
    <w:rsid w:val="005A0D38"/>
    <w:rsid w:val="005C45A6"/>
    <w:rsid w:val="005C7E4F"/>
    <w:rsid w:val="006069E2"/>
    <w:rsid w:val="00613DB5"/>
    <w:rsid w:val="00614E1F"/>
    <w:rsid w:val="00616A2F"/>
    <w:rsid w:val="006318DB"/>
    <w:rsid w:val="006A1EF2"/>
    <w:rsid w:val="006C038D"/>
    <w:rsid w:val="006D070C"/>
    <w:rsid w:val="006D4986"/>
    <w:rsid w:val="006E09A0"/>
    <w:rsid w:val="006E266B"/>
    <w:rsid w:val="006E7C9C"/>
    <w:rsid w:val="00704D4D"/>
    <w:rsid w:val="00744896"/>
    <w:rsid w:val="0074607F"/>
    <w:rsid w:val="0075309A"/>
    <w:rsid w:val="007579BA"/>
    <w:rsid w:val="00773DE3"/>
    <w:rsid w:val="007B1CE2"/>
    <w:rsid w:val="007C49F9"/>
    <w:rsid w:val="007C5D64"/>
    <w:rsid w:val="007D0586"/>
    <w:rsid w:val="007D3F72"/>
    <w:rsid w:val="007D7E19"/>
    <w:rsid w:val="007E2252"/>
    <w:rsid w:val="00821825"/>
    <w:rsid w:val="00830715"/>
    <w:rsid w:val="008319A7"/>
    <w:rsid w:val="00855951"/>
    <w:rsid w:val="00855C5E"/>
    <w:rsid w:val="00872138"/>
    <w:rsid w:val="0087652A"/>
    <w:rsid w:val="00894600"/>
    <w:rsid w:val="008955F9"/>
    <w:rsid w:val="00896844"/>
    <w:rsid w:val="008B590D"/>
    <w:rsid w:val="008E3144"/>
    <w:rsid w:val="008F5D4F"/>
    <w:rsid w:val="009041C9"/>
    <w:rsid w:val="00931618"/>
    <w:rsid w:val="00935B62"/>
    <w:rsid w:val="00941418"/>
    <w:rsid w:val="009633BA"/>
    <w:rsid w:val="00963D07"/>
    <w:rsid w:val="00976381"/>
    <w:rsid w:val="00977DFB"/>
    <w:rsid w:val="009A46D9"/>
    <w:rsid w:val="009D1C0B"/>
    <w:rsid w:val="009D6014"/>
    <w:rsid w:val="009E59AD"/>
    <w:rsid w:val="009F0EB1"/>
    <w:rsid w:val="00A57BA4"/>
    <w:rsid w:val="00A826FB"/>
    <w:rsid w:val="00A869C9"/>
    <w:rsid w:val="00A86B84"/>
    <w:rsid w:val="00A93CB7"/>
    <w:rsid w:val="00AA7033"/>
    <w:rsid w:val="00AB6BAB"/>
    <w:rsid w:val="00AC0F10"/>
    <w:rsid w:val="00AD658E"/>
    <w:rsid w:val="00AD7990"/>
    <w:rsid w:val="00AE04F9"/>
    <w:rsid w:val="00AF3CBF"/>
    <w:rsid w:val="00AF5769"/>
    <w:rsid w:val="00B03B04"/>
    <w:rsid w:val="00B172BC"/>
    <w:rsid w:val="00B20B0A"/>
    <w:rsid w:val="00B2C2CF"/>
    <w:rsid w:val="00B3142E"/>
    <w:rsid w:val="00B47D68"/>
    <w:rsid w:val="00B52D9D"/>
    <w:rsid w:val="00B61627"/>
    <w:rsid w:val="00B7082C"/>
    <w:rsid w:val="00B722C8"/>
    <w:rsid w:val="00B827FD"/>
    <w:rsid w:val="00BB1E57"/>
    <w:rsid w:val="00BC583A"/>
    <w:rsid w:val="00BD61D7"/>
    <w:rsid w:val="00C15A0D"/>
    <w:rsid w:val="00C200E5"/>
    <w:rsid w:val="00C2209B"/>
    <w:rsid w:val="00C30CCB"/>
    <w:rsid w:val="00C33F63"/>
    <w:rsid w:val="00C35840"/>
    <w:rsid w:val="00C4108E"/>
    <w:rsid w:val="00C50669"/>
    <w:rsid w:val="00C63618"/>
    <w:rsid w:val="00C70FB8"/>
    <w:rsid w:val="00C746B0"/>
    <w:rsid w:val="00C835BE"/>
    <w:rsid w:val="00C86A62"/>
    <w:rsid w:val="00CA2547"/>
    <w:rsid w:val="00CC5A97"/>
    <w:rsid w:val="00CD0F99"/>
    <w:rsid w:val="00CD1220"/>
    <w:rsid w:val="00CF11F3"/>
    <w:rsid w:val="00CF2ACD"/>
    <w:rsid w:val="00CF465F"/>
    <w:rsid w:val="00CF64F5"/>
    <w:rsid w:val="00D1075F"/>
    <w:rsid w:val="00D22A54"/>
    <w:rsid w:val="00D55238"/>
    <w:rsid w:val="00D60D95"/>
    <w:rsid w:val="00D814C6"/>
    <w:rsid w:val="00D819E2"/>
    <w:rsid w:val="00D8397B"/>
    <w:rsid w:val="00D85992"/>
    <w:rsid w:val="00D91445"/>
    <w:rsid w:val="00D96A89"/>
    <w:rsid w:val="00DF74B0"/>
    <w:rsid w:val="00E01AB3"/>
    <w:rsid w:val="00E056E8"/>
    <w:rsid w:val="00E06478"/>
    <w:rsid w:val="00E12B29"/>
    <w:rsid w:val="00E15AEF"/>
    <w:rsid w:val="00E24C37"/>
    <w:rsid w:val="00E37036"/>
    <w:rsid w:val="00E527FB"/>
    <w:rsid w:val="00E73DA0"/>
    <w:rsid w:val="00E75C0C"/>
    <w:rsid w:val="00E80F76"/>
    <w:rsid w:val="00E8508B"/>
    <w:rsid w:val="00E92DD2"/>
    <w:rsid w:val="00EA11F9"/>
    <w:rsid w:val="00EA578B"/>
    <w:rsid w:val="00EF0748"/>
    <w:rsid w:val="00EF2E41"/>
    <w:rsid w:val="00F134B1"/>
    <w:rsid w:val="00F315A8"/>
    <w:rsid w:val="00F54163"/>
    <w:rsid w:val="00F55F14"/>
    <w:rsid w:val="00F7094B"/>
    <w:rsid w:val="00F81A91"/>
    <w:rsid w:val="00F94C6F"/>
    <w:rsid w:val="00F96D9C"/>
    <w:rsid w:val="00FA0CC7"/>
    <w:rsid w:val="00FA2CA6"/>
    <w:rsid w:val="00FD24B2"/>
    <w:rsid w:val="00FE7634"/>
    <w:rsid w:val="00FF783C"/>
    <w:rsid w:val="0289FC19"/>
    <w:rsid w:val="061D0689"/>
    <w:rsid w:val="07840C78"/>
    <w:rsid w:val="089E8539"/>
    <w:rsid w:val="0D5BC9D1"/>
    <w:rsid w:val="1159C4E3"/>
    <w:rsid w:val="115E576F"/>
    <w:rsid w:val="12A01A91"/>
    <w:rsid w:val="14BF7E09"/>
    <w:rsid w:val="16EE8EDA"/>
    <w:rsid w:val="16FFE316"/>
    <w:rsid w:val="18501F83"/>
    <w:rsid w:val="249C42E5"/>
    <w:rsid w:val="25F5CCA3"/>
    <w:rsid w:val="2733F82A"/>
    <w:rsid w:val="293AE996"/>
    <w:rsid w:val="2A9B3DB8"/>
    <w:rsid w:val="2AB1AEBF"/>
    <w:rsid w:val="2AC93DC6"/>
    <w:rsid w:val="2AD6B9F7"/>
    <w:rsid w:val="2B53219B"/>
    <w:rsid w:val="2CDD3AF6"/>
    <w:rsid w:val="3022BD8B"/>
    <w:rsid w:val="313585DD"/>
    <w:rsid w:val="33B809B9"/>
    <w:rsid w:val="34F62EAE"/>
    <w:rsid w:val="4824D690"/>
    <w:rsid w:val="48BF7A24"/>
    <w:rsid w:val="49C0A6F1"/>
    <w:rsid w:val="4B48CB1F"/>
    <w:rsid w:val="4B793B8D"/>
    <w:rsid w:val="4C776410"/>
    <w:rsid w:val="4E81C265"/>
    <w:rsid w:val="4F8DCF54"/>
    <w:rsid w:val="52AC47B9"/>
    <w:rsid w:val="59D9C427"/>
    <w:rsid w:val="5ABDF46A"/>
    <w:rsid w:val="5AF4B66E"/>
    <w:rsid w:val="5B250DEF"/>
    <w:rsid w:val="5E5655BD"/>
    <w:rsid w:val="6050ED6F"/>
    <w:rsid w:val="607DBED7"/>
    <w:rsid w:val="62D98C85"/>
    <w:rsid w:val="67CD03A7"/>
    <w:rsid w:val="6A256FFA"/>
    <w:rsid w:val="6AD56AEE"/>
    <w:rsid w:val="72702A37"/>
    <w:rsid w:val="747658E7"/>
    <w:rsid w:val="78043C43"/>
    <w:rsid w:val="7949CA0A"/>
    <w:rsid w:val="7A43814A"/>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7C204"/>
  <w15:chartTrackingRefBased/>
  <w15:docId w15:val="{9CC86DF5-76BE-4EE2-AECD-6F6C43E14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Attribute Heading 1,Level 1 Heading,h1"/>
    <w:next w:val="Normal"/>
    <w:link w:val="Heading1Char"/>
    <w:autoRedefine/>
    <w:uiPriority w:val="99"/>
    <w:qFormat/>
    <w:rsid w:val="00B827FD"/>
    <w:pPr>
      <w:keepNext/>
      <w:numPr>
        <w:numId w:val="2"/>
      </w:numPr>
      <w:pBdr>
        <w:bottom w:val="single" w:sz="4" w:space="1" w:color="auto"/>
      </w:pBdr>
      <w:spacing w:before="600" w:after="60" w:line="240" w:lineRule="auto"/>
      <w:outlineLvl w:val="0"/>
    </w:pPr>
    <w:rPr>
      <w:rFonts w:ascii="Arial" w:eastAsia="ヒラギノ角ゴ Pro W3" w:hAnsi="Arial" w:cs="Arial"/>
      <w:b/>
      <w:color w:val="000000"/>
      <w:kern w:val="32"/>
      <w:sz w:val="32"/>
      <w:szCs w:val="24"/>
      <w:lang w:eastAsia="en-US" w:bidi="ar-SA"/>
    </w:rPr>
  </w:style>
  <w:style w:type="paragraph" w:styleId="Heading2">
    <w:name w:val="heading 2"/>
    <w:aliases w:val="Activity,Attribute Heading 2,Chapter Title,Level 2 Heading,h2"/>
    <w:next w:val="Normal"/>
    <w:link w:val="Heading2Char"/>
    <w:uiPriority w:val="99"/>
    <w:qFormat/>
    <w:rsid w:val="006318DB"/>
    <w:pPr>
      <w:keepNext/>
      <w:numPr>
        <w:ilvl w:val="1"/>
        <w:numId w:val="2"/>
      </w:numPr>
      <w:tabs>
        <w:tab w:val="left" w:pos="576"/>
      </w:tabs>
      <w:spacing w:before="240" w:after="60" w:line="240" w:lineRule="auto"/>
      <w:outlineLvl w:val="1"/>
    </w:pPr>
    <w:rPr>
      <w:rFonts w:ascii="Tahoma" w:eastAsia="ヒラギノ角ゴ Pro W3" w:hAnsi="Tahoma" w:cs="Times New Roman"/>
      <w:b/>
      <w:color w:val="000000"/>
      <w:sz w:val="24"/>
      <w:szCs w:val="24"/>
      <w:lang w:eastAsia="en-US" w:bidi="ar-SA"/>
    </w:rPr>
  </w:style>
  <w:style w:type="paragraph" w:styleId="Heading3">
    <w:name w:val="heading 3"/>
    <w:aliases w:val="Level 3 Heading,h3"/>
    <w:basedOn w:val="Normal"/>
    <w:next w:val="Normal"/>
    <w:link w:val="Heading3Char"/>
    <w:uiPriority w:val="99"/>
    <w:qFormat/>
    <w:rsid w:val="006318DB"/>
    <w:pPr>
      <w:keepNext/>
      <w:numPr>
        <w:ilvl w:val="2"/>
        <w:numId w:val="2"/>
      </w:numPr>
      <w:spacing w:before="240" w:after="0" w:line="336" w:lineRule="auto"/>
      <w:outlineLvl w:val="2"/>
    </w:pPr>
    <w:rPr>
      <w:rFonts w:ascii="Calibri" w:eastAsia="Times New Roman" w:hAnsi="Calibri" w:cs="Times New Roman"/>
      <w:b/>
      <w:bCs/>
      <w:color w:val="000000"/>
      <w:sz w:val="26"/>
      <w:szCs w:val="26"/>
      <w:lang w:eastAsia="en-US" w:bidi="ar-SA"/>
    </w:rPr>
  </w:style>
  <w:style w:type="paragraph" w:styleId="Heading4">
    <w:name w:val="heading 4"/>
    <w:aliases w:val="Level 4 Heading,Map Title,h4"/>
    <w:basedOn w:val="Normal"/>
    <w:next w:val="Normal"/>
    <w:link w:val="Heading4Char"/>
    <w:uiPriority w:val="9"/>
    <w:qFormat/>
    <w:rsid w:val="006318DB"/>
    <w:pPr>
      <w:keepNext/>
      <w:keepLines/>
      <w:numPr>
        <w:ilvl w:val="3"/>
        <w:numId w:val="2"/>
      </w:numPr>
      <w:spacing w:before="40" w:after="0" w:line="336" w:lineRule="auto"/>
      <w:outlineLvl w:val="3"/>
    </w:pPr>
    <w:rPr>
      <w:rFonts w:asciiTheme="majorHAnsi" w:eastAsiaTheme="majorEastAsia" w:hAnsiTheme="majorHAnsi" w:cstheme="majorBidi"/>
      <w:i/>
      <w:iCs/>
      <w:color w:val="2F5496" w:themeColor="accent1" w:themeShade="BF"/>
      <w:sz w:val="24"/>
      <w:szCs w:val="24"/>
      <w:lang w:eastAsia="en-US" w:bidi="ar-SA"/>
    </w:rPr>
  </w:style>
  <w:style w:type="paragraph" w:styleId="Heading5">
    <w:name w:val="heading 5"/>
    <w:aliases w:val="Level 5 Heading"/>
    <w:basedOn w:val="Normal"/>
    <w:next w:val="Normal"/>
    <w:link w:val="Heading5Char"/>
    <w:uiPriority w:val="9"/>
    <w:qFormat/>
    <w:rsid w:val="006318DB"/>
    <w:pPr>
      <w:keepNext/>
      <w:keepLines/>
      <w:numPr>
        <w:ilvl w:val="4"/>
        <w:numId w:val="2"/>
      </w:numPr>
      <w:spacing w:before="40" w:after="0" w:line="336" w:lineRule="auto"/>
      <w:outlineLvl w:val="4"/>
    </w:pPr>
    <w:rPr>
      <w:rFonts w:asciiTheme="majorHAnsi" w:eastAsiaTheme="majorEastAsia" w:hAnsiTheme="majorHAnsi" w:cstheme="majorBidi"/>
      <w:color w:val="2F5496" w:themeColor="accent1" w:themeShade="BF"/>
      <w:sz w:val="24"/>
      <w:szCs w:val="24"/>
      <w:lang w:eastAsia="en-US" w:bidi="ar-SA"/>
    </w:rPr>
  </w:style>
  <w:style w:type="paragraph" w:styleId="Heading6">
    <w:name w:val="heading 6"/>
    <w:aliases w:val="Level 6 Heading"/>
    <w:basedOn w:val="Normal"/>
    <w:next w:val="Normal"/>
    <w:link w:val="Heading6Char"/>
    <w:uiPriority w:val="9"/>
    <w:qFormat/>
    <w:rsid w:val="006318DB"/>
    <w:pPr>
      <w:keepNext/>
      <w:keepLines/>
      <w:numPr>
        <w:ilvl w:val="5"/>
        <w:numId w:val="2"/>
      </w:numPr>
      <w:spacing w:before="40" w:after="0" w:line="336" w:lineRule="auto"/>
      <w:outlineLvl w:val="5"/>
    </w:pPr>
    <w:rPr>
      <w:rFonts w:asciiTheme="majorHAnsi" w:eastAsiaTheme="majorEastAsia" w:hAnsiTheme="majorHAnsi" w:cstheme="majorBidi"/>
      <w:color w:val="1F3763" w:themeColor="accent1" w:themeShade="7F"/>
      <w:sz w:val="24"/>
      <w:szCs w:val="24"/>
      <w:lang w:eastAsia="en-US" w:bidi="ar-SA"/>
    </w:rPr>
  </w:style>
  <w:style w:type="paragraph" w:styleId="Heading7">
    <w:name w:val="heading 7"/>
    <w:aliases w:val="Level 7 Heading"/>
    <w:basedOn w:val="Normal"/>
    <w:next w:val="Normal"/>
    <w:link w:val="Heading7Char"/>
    <w:uiPriority w:val="9"/>
    <w:unhideWhenUsed/>
    <w:qFormat/>
    <w:rsid w:val="006318DB"/>
    <w:pPr>
      <w:keepNext/>
      <w:keepLines/>
      <w:numPr>
        <w:ilvl w:val="6"/>
        <w:numId w:val="2"/>
      </w:numPr>
      <w:spacing w:before="40" w:after="0" w:line="336" w:lineRule="auto"/>
      <w:outlineLvl w:val="6"/>
    </w:pPr>
    <w:rPr>
      <w:rFonts w:asciiTheme="majorHAnsi" w:eastAsiaTheme="majorEastAsia" w:hAnsiTheme="majorHAnsi" w:cstheme="majorBidi"/>
      <w:i/>
      <w:iCs/>
      <w:color w:val="1F3763" w:themeColor="accent1" w:themeShade="7F"/>
      <w:sz w:val="24"/>
      <w:szCs w:val="24"/>
      <w:lang w:eastAsia="en-US" w:bidi="ar-SA"/>
    </w:rPr>
  </w:style>
  <w:style w:type="paragraph" w:styleId="Heading8">
    <w:name w:val="heading 8"/>
    <w:aliases w:val="Level 8 Heading"/>
    <w:basedOn w:val="Normal"/>
    <w:next w:val="Normal"/>
    <w:link w:val="Heading8Char"/>
    <w:uiPriority w:val="9"/>
    <w:unhideWhenUsed/>
    <w:qFormat/>
    <w:rsid w:val="006318DB"/>
    <w:pPr>
      <w:keepNext/>
      <w:keepLines/>
      <w:numPr>
        <w:ilvl w:val="7"/>
        <w:numId w:val="2"/>
      </w:numPr>
      <w:spacing w:before="40" w:after="0" w:line="336" w:lineRule="auto"/>
      <w:outlineLvl w:val="7"/>
    </w:pPr>
    <w:rPr>
      <w:rFonts w:asciiTheme="majorHAnsi" w:eastAsiaTheme="majorEastAsia" w:hAnsiTheme="majorHAnsi" w:cstheme="majorBidi"/>
      <w:color w:val="272727" w:themeColor="text1" w:themeTint="D8"/>
      <w:sz w:val="21"/>
      <w:szCs w:val="21"/>
      <w:lang w:eastAsia="en-US" w:bidi="ar-SA"/>
    </w:rPr>
  </w:style>
  <w:style w:type="paragraph" w:styleId="Heading9">
    <w:name w:val="heading 9"/>
    <w:aliases w:val="Level 9 Heading"/>
    <w:basedOn w:val="Normal"/>
    <w:next w:val="Normal"/>
    <w:link w:val="Heading9Char"/>
    <w:uiPriority w:val="9"/>
    <w:unhideWhenUsed/>
    <w:qFormat/>
    <w:rsid w:val="006318DB"/>
    <w:pPr>
      <w:keepNext/>
      <w:keepLines/>
      <w:numPr>
        <w:ilvl w:val="8"/>
        <w:numId w:val="2"/>
      </w:numPr>
      <w:spacing w:before="40" w:after="0" w:line="336" w:lineRule="auto"/>
      <w:outlineLvl w:val="8"/>
    </w:pPr>
    <w:rPr>
      <w:rFonts w:asciiTheme="majorHAnsi" w:eastAsiaTheme="majorEastAsia" w:hAnsiTheme="majorHAnsi" w:cstheme="majorBidi"/>
      <w:i/>
      <w:iCs/>
      <w:color w:val="272727" w:themeColor="text1" w:themeTint="D8"/>
      <w:sz w:val="21"/>
      <w:szCs w:val="21"/>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ttribute Heading 1 Char,Level 1 Heading Char,h1 Char"/>
    <w:basedOn w:val="DefaultParagraphFont"/>
    <w:link w:val="Heading1"/>
    <w:uiPriority w:val="99"/>
    <w:rsid w:val="00B827FD"/>
    <w:rPr>
      <w:rFonts w:ascii="Arial" w:eastAsia="ヒラギノ角ゴ Pro W3" w:hAnsi="Arial" w:cs="Arial"/>
      <w:b/>
      <w:color w:val="000000"/>
      <w:kern w:val="32"/>
      <w:sz w:val="32"/>
      <w:szCs w:val="24"/>
      <w:lang w:eastAsia="en-US" w:bidi="ar-SA"/>
    </w:rPr>
  </w:style>
  <w:style w:type="character" w:customStyle="1" w:styleId="Heading2Char">
    <w:name w:val="Heading 2 Char"/>
    <w:aliases w:val="Activity Char,Attribute Heading 2 Char,Chapter Title Char,Level 2 Heading Char,h2 Char"/>
    <w:basedOn w:val="DefaultParagraphFont"/>
    <w:link w:val="Heading2"/>
    <w:rsid w:val="006318DB"/>
    <w:rPr>
      <w:rFonts w:ascii="Tahoma" w:eastAsia="ヒラギノ角ゴ Pro W3" w:hAnsi="Tahoma" w:cs="Times New Roman"/>
      <w:b/>
      <w:color w:val="000000"/>
      <w:sz w:val="24"/>
      <w:szCs w:val="24"/>
      <w:lang w:eastAsia="en-US" w:bidi="ar-SA"/>
    </w:rPr>
  </w:style>
  <w:style w:type="character" w:customStyle="1" w:styleId="Heading3Char">
    <w:name w:val="Heading 3 Char"/>
    <w:aliases w:val="Level 3 Heading Char,h3 Char"/>
    <w:basedOn w:val="DefaultParagraphFont"/>
    <w:link w:val="Heading3"/>
    <w:uiPriority w:val="99"/>
    <w:rsid w:val="006318DB"/>
    <w:rPr>
      <w:rFonts w:ascii="Calibri" w:eastAsia="Times New Roman" w:hAnsi="Calibri" w:cs="Times New Roman"/>
      <w:b/>
      <w:bCs/>
      <w:color w:val="000000"/>
      <w:sz w:val="26"/>
      <w:szCs w:val="26"/>
      <w:lang w:eastAsia="en-US" w:bidi="ar-SA"/>
    </w:rPr>
  </w:style>
  <w:style w:type="character" w:customStyle="1" w:styleId="Heading4Char">
    <w:name w:val="Heading 4 Char"/>
    <w:aliases w:val="Level 4 Heading Char,Map Title Char,h4 Char"/>
    <w:basedOn w:val="DefaultParagraphFont"/>
    <w:link w:val="Heading4"/>
    <w:uiPriority w:val="9"/>
    <w:rsid w:val="006318DB"/>
    <w:rPr>
      <w:rFonts w:asciiTheme="majorHAnsi" w:eastAsiaTheme="majorEastAsia" w:hAnsiTheme="majorHAnsi" w:cstheme="majorBidi"/>
      <w:i/>
      <w:iCs/>
      <w:color w:val="2F5496" w:themeColor="accent1" w:themeShade="BF"/>
      <w:sz w:val="24"/>
      <w:szCs w:val="24"/>
      <w:lang w:eastAsia="en-US" w:bidi="ar-SA"/>
    </w:rPr>
  </w:style>
  <w:style w:type="character" w:customStyle="1" w:styleId="Heading5Char">
    <w:name w:val="Heading 5 Char"/>
    <w:aliases w:val="Level 5 Heading Char"/>
    <w:basedOn w:val="DefaultParagraphFont"/>
    <w:link w:val="Heading5"/>
    <w:uiPriority w:val="9"/>
    <w:rsid w:val="006318DB"/>
    <w:rPr>
      <w:rFonts w:asciiTheme="majorHAnsi" w:eastAsiaTheme="majorEastAsia" w:hAnsiTheme="majorHAnsi" w:cstheme="majorBidi"/>
      <w:color w:val="2F5496" w:themeColor="accent1" w:themeShade="BF"/>
      <w:sz w:val="24"/>
      <w:szCs w:val="24"/>
      <w:lang w:eastAsia="en-US" w:bidi="ar-SA"/>
    </w:rPr>
  </w:style>
  <w:style w:type="character" w:customStyle="1" w:styleId="Heading6Char">
    <w:name w:val="Heading 6 Char"/>
    <w:aliases w:val="Level 6 Heading Char"/>
    <w:basedOn w:val="DefaultParagraphFont"/>
    <w:link w:val="Heading6"/>
    <w:uiPriority w:val="9"/>
    <w:rsid w:val="006318DB"/>
    <w:rPr>
      <w:rFonts w:asciiTheme="majorHAnsi" w:eastAsiaTheme="majorEastAsia" w:hAnsiTheme="majorHAnsi" w:cstheme="majorBidi"/>
      <w:color w:val="1F3763" w:themeColor="accent1" w:themeShade="7F"/>
      <w:sz w:val="24"/>
      <w:szCs w:val="24"/>
      <w:lang w:eastAsia="en-US" w:bidi="ar-SA"/>
    </w:rPr>
  </w:style>
  <w:style w:type="character" w:customStyle="1" w:styleId="Heading7Char">
    <w:name w:val="Heading 7 Char"/>
    <w:aliases w:val="Level 7 Heading Char"/>
    <w:basedOn w:val="DefaultParagraphFont"/>
    <w:link w:val="Heading7"/>
    <w:uiPriority w:val="9"/>
    <w:rsid w:val="006318DB"/>
    <w:rPr>
      <w:rFonts w:asciiTheme="majorHAnsi" w:eastAsiaTheme="majorEastAsia" w:hAnsiTheme="majorHAnsi" w:cstheme="majorBidi"/>
      <w:i/>
      <w:iCs/>
      <w:color w:val="1F3763" w:themeColor="accent1" w:themeShade="7F"/>
      <w:sz w:val="24"/>
      <w:szCs w:val="24"/>
      <w:lang w:eastAsia="en-US" w:bidi="ar-SA"/>
    </w:rPr>
  </w:style>
  <w:style w:type="character" w:customStyle="1" w:styleId="Heading8Char">
    <w:name w:val="Heading 8 Char"/>
    <w:aliases w:val="Level 8 Heading Char"/>
    <w:basedOn w:val="DefaultParagraphFont"/>
    <w:link w:val="Heading8"/>
    <w:uiPriority w:val="9"/>
    <w:rsid w:val="006318DB"/>
    <w:rPr>
      <w:rFonts w:asciiTheme="majorHAnsi" w:eastAsiaTheme="majorEastAsia" w:hAnsiTheme="majorHAnsi" w:cstheme="majorBidi"/>
      <w:color w:val="272727" w:themeColor="text1" w:themeTint="D8"/>
      <w:sz w:val="21"/>
      <w:szCs w:val="21"/>
      <w:lang w:eastAsia="en-US" w:bidi="ar-SA"/>
    </w:rPr>
  </w:style>
  <w:style w:type="character" w:customStyle="1" w:styleId="Heading9Char">
    <w:name w:val="Heading 9 Char"/>
    <w:aliases w:val="Level 9 Heading Char"/>
    <w:basedOn w:val="DefaultParagraphFont"/>
    <w:link w:val="Heading9"/>
    <w:uiPriority w:val="9"/>
    <w:rsid w:val="006318DB"/>
    <w:rPr>
      <w:rFonts w:asciiTheme="majorHAnsi" w:eastAsiaTheme="majorEastAsia" w:hAnsiTheme="majorHAnsi" w:cstheme="majorBidi"/>
      <w:i/>
      <w:iCs/>
      <w:color w:val="272727" w:themeColor="text1" w:themeTint="D8"/>
      <w:sz w:val="21"/>
      <w:szCs w:val="21"/>
      <w:lang w:eastAsia="en-US" w:bidi="ar-SA"/>
    </w:rPr>
  </w:style>
  <w:style w:type="paragraph" w:customStyle="1" w:styleId="Content">
    <w:name w:val="Content"/>
    <w:basedOn w:val="Normal"/>
    <w:qFormat/>
    <w:rsid w:val="006318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line="312" w:lineRule="auto"/>
      <w:jc w:val="both"/>
    </w:pPr>
    <w:rPr>
      <w:rFonts w:ascii="Verdana" w:eastAsia="Times New Roman" w:hAnsi="Verdana" w:cs="Verdana"/>
      <w:sz w:val="20"/>
      <w:szCs w:val="20"/>
      <w:lang w:eastAsia="en-US" w:bidi="ar-SA"/>
    </w:rPr>
  </w:style>
  <w:style w:type="table" w:styleId="TableGrid">
    <w:name w:val="Table Grid"/>
    <w:basedOn w:val="TableNormal"/>
    <w:rsid w:val="001254AC"/>
    <w:pPr>
      <w:spacing w:after="0" w:line="240" w:lineRule="auto"/>
    </w:pPr>
    <w:rPr>
      <w:rFonts w:ascii="Times New Roman" w:eastAsia="Times New Roman" w:hAnsi="Times New Roman" w:cs="Times New Roman"/>
      <w:sz w:val="24"/>
      <w:szCs w:val="24"/>
      <w:lang w:eastAsia="en-US"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ullet-Numbers">
    <w:name w:val="Bullet - Numbers"/>
    <w:basedOn w:val="Normal"/>
    <w:qFormat/>
    <w:rsid w:val="001254AC"/>
    <w:pPr>
      <w:numPr>
        <w:ilvl w:val="2"/>
        <w:numId w:val="6"/>
      </w:numPr>
      <w:tabs>
        <w:tab w:val="clear" w:pos="360"/>
      </w:tabs>
      <w:spacing w:after="0" w:line="336" w:lineRule="auto"/>
      <w:ind w:left="720" w:hanging="360"/>
      <w:jc w:val="both"/>
    </w:pPr>
    <w:rPr>
      <w:rFonts w:ascii="Verdana" w:eastAsia="ヒラギノ角ゴ Pro W3" w:hAnsi="Verdana" w:cs="Times New Roman"/>
      <w:color w:val="000000"/>
      <w:sz w:val="20"/>
      <w:szCs w:val="20"/>
      <w:lang w:eastAsia="en-US" w:bidi="ar-SA"/>
    </w:rPr>
  </w:style>
  <w:style w:type="paragraph" w:styleId="ListParagraph">
    <w:name w:val="List Paragraph"/>
    <w:basedOn w:val="Normal"/>
    <w:uiPriority w:val="34"/>
    <w:qFormat/>
    <w:rsid w:val="00B827FD"/>
    <w:pPr>
      <w:ind w:left="720"/>
      <w:contextualSpacing/>
    </w:pPr>
  </w:style>
  <w:style w:type="character" w:styleId="Hyperlink">
    <w:name w:val="Hyperlink"/>
    <w:basedOn w:val="DefaultParagraphFont"/>
    <w:uiPriority w:val="99"/>
    <w:unhideWhenUsed/>
    <w:rsid w:val="00C746B0"/>
    <w:rPr>
      <w:color w:val="0563C1" w:themeColor="hyperlink"/>
      <w:u w:val="single"/>
    </w:rPr>
  </w:style>
  <w:style w:type="character" w:styleId="UnresolvedMention">
    <w:name w:val="Unresolved Mention"/>
    <w:basedOn w:val="DefaultParagraphFont"/>
    <w:uiPriority w:val="99"/>
    <w:semiHidden/>
    <w:unhideWhenUsed/>
    <w:rsid w:val="00C746B0"/>
    <w:rPr>
      <w:color w:val="605E5C"/>
      <w:shd w:val="clear" w:color="auto" w:fill="E1DFDD"/>
    </w:rPr>
  </w:style>
  <w:style w:type="paragraph" w:styleId="Revision">
    <w:name w:val="Revision"/>
    <w:hidden/>
    <w:uiPriority w:val="99"/>
    <w:semiHidden/>
    <w:rsid w:val="0059081B"/>
    <w:pPr>
      <w:spacing w:after="0" w:line="240" w:lineRule="auto"/>
    </w:pPr>
  </w:style>
  <w:style w:type="character" w:styleId="CommentReference">
    <w:name w:val="annotation reference"/>
    <w:basedOn w:val="DefaultParagraphFont"/>
    <w:uiPriority w:val="99"/>
    <w:semiHidden/>
    <w:unhideWhenUsed/>
    <w:rsid w:val="0059081B"/>
    <w:rPr>
      <w:sz w:val="16"/>
      <w:szCs w:val="16"/>
    </w:rPr>
  </w:style>
  <w:style w:type="paragraph" w:styleId="CommentText">
    <w:name w:val="annotation text"/>
    <w:basedOn w:val="Normal"/>
    <w:link w:val="CommentTextChar"/>
    <w:uiPriority w:val="99"/>
    <w:semiHidden/>
    <w:unhideWhenUsed/>
    <w:rsid w:val="0059081B"/>
    <w:pPr>
      <w:spacing w:line="240" w:lineRule="auto"/>
    </w:pPr>
    <w:rPr>
      <w:sz w:val="20"/>
      <w:szCs w:val="20"/>
    </w:rPr>
  </w:style>
  <w:style w:type="character" w:customStyle="1" w:styleId="CommentTextChar">
    <w:name w:val="Comment Text Char"/>
    <w:basedOn w:val="DefaultParagraphFont"/>
    <w:link w:val="CommentText"/>
    <w:uiPriority w:val="99"/>
    <w:semiHidden/>
    <w:rsid w:val="0059081B"/>
    <w:rPr>
      <w:sz w:val="20"/>
      <w:szCs w:val="20"/>
    </w:rPr>
  </w:style>
  <w:style w:type="paragraph" w:styleId="CommentSubject">
    <w:name w:val="annotation subject"/>
    <w:basedOn w:val="CommentText"/>
    <w:next w:val="CommentText"/>
    <w:link w:val="CommentSubjectChar"/>
    <w:uiPriority w:val="99"/>
    <w:semiHidden/>
    <w:unhideWhenUsed/>
    <w:rsid w:val="0059081B"/>
    <w:rPr>
      <w:b/>
      <w:bCs/>
    </w:rPr>
  </w:style>
  <w:style w:type="character" w:customStyle="1" w:styleId="CommentSubjectChar">
    <w:name w:val="Comment Subject Char"/>
    <w:basedOn w:val="CommentTextChar"/>
    <w:link w:val="CommentSubject"/>
    <w:uiPriority w:val="99"/>
    <w:semiHidden/>
    <w:rsid w:val="0059081B"/>
    <w:rPr>
      <w:b/>
      <w:bCs/>
      <w:sz w:val="20"/>
      <w:szCs w:val="20"/>
    </w:rPr>
  </w:style>
  <w:style w:type="paragraph" w:styleId="TOCHeading">
    <w:name w:val="TOC Heading"/>
    <w:basedOn w:val="Heading1"/>
    <w:next w:val="Normal"/>
    <w:uiPriority w:val="39"/>
    <w:unhideWhenUsed/>
    <w:qFormat/>
    <w:rsid w:val="00773DE3"/>
    <w:pPr>
      <w:keepLines/>
      <w:numPr>
        <w:numId w:val="0"/>
      </w:numPr>
      <w:pBdr>
        <w:bottom w:val="none" w:sz="0" w:space="0" w:color="auto"/>
      </w:pBdr>
      <w:spacing w:before="240" w:after="0" w:line="259" w:lineRule="auto"/>
      <w:outlineLvl w:val="9"/>
    </w:pPr>
    <w:rPr>
      <w:rFonts w:asciiTheme="majorHAnsi" w:eastAsiaTheme="majorEastAsia" w:hAnsiTheme="majorHAnsi" w:cstheme="majorBidi"/>
      <w:b w:val="0"/>
      <w:color w:val="2F5496" w:themeColor="accent1" w:themeShade="BF"/>
      <w:kern w:val="0"/>
      <w:szCs w:val="32"/>
    </w:rPr>
  </w:style>
  <w:style w:type="paragraph" w:styleId="TOC1">
    <w:name w:val="toc 1"/>
    <w:basedOn w:val="Normal"/>
    <w:next w:val="Normal"/>
    <w:autoRedefine/>
    <w:uiPriority w:val="39"/>
    <w:unhideWhenUsed/>
    <w:rsid w:val="00773DE3"/>
    <w:pPr>
      <w:spacing w:after="100"/>
    </w:pPr>
  </w:style>
  <w:style w:type="paragraph" w:styleId="TOC2">
    <w:name w:val="toc 2"/>
    <w:basedOn w:val="Normal"/>
    <w:next w:val="Normal"/>
    <w:autoRedefine/>
    <w:uiPriority w:val="39"/>
    <w:unhideWhenUsed/>
    <w:rsid w:val="00773DE3"/>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mitre.org/publications/technical-papers/rubric-for-applying-cvss-to-medical-devic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595BA-80A5-4EED-B1A4-1DE6F3C79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2826</Words>
  <Characters>16114</Characters>
  <Application>Microsoft Office Word</Application>
  <DocSecurity>0</DocSecurity>
  <Lines>134</Lines>
  <Paragraphs>37</Paragraphs>
  <ScaleCrop>false</ScaleCrop>
  <Company/>
  <LinksUpToDate>false</LinksUpToDate>
  <CharactersWithSpaces>18903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Vorhees, Matthew</dc:creator>
  <cp:keywords/>
  <dc:description/>
  <cp:lastModifiedBy>Lance Spitzner</cp:lastModifiedBy>
  <cp:revision>2</cp:revision>
  <cp:lastPrinted>2022-02-12T19:38:00Z</cp:lastPrinted>
  <dcterms:created xsi:type="dcterms:W3CDTF">2022-02-23T14:21:00Z</dcterms:created>
  <dcterms:modified xsi:type="dcterms:W3CDTF">2022-02-23T14:21:00Z</dcterms:modified>
</cp:coreProperties>
</file>