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650E8" w14:textId="28453355" w:rsidR="00161B5A" w:rsidRDefault="00503665" w:rsidP="00CB4A31">
      <w:pPr>
        <w:pStyle w:val="Heading1"/>
        <w:pBdr>
          <w:between w:val="single" w:sz="4" w:space="1" w:color="auto"/>
        </w:pBdr>
        <w:spacing w:after="0"/>
      </w:pPr>
      <w:bookmarkStart w:id="0" w:name="_GoBack"/>
      <w:bookmarkEnd w:id="0"/>
      <w:r>
        <w:t>Question &amp; Answer #3</w:t>
      </w:r>
      <w:r w:rsidR="00D97104">
        <w:t xml:space="preserve"> </w:t>
      </w:r>
      <w:r w:rsidR="00D97104" w:rsidRPr="00EB2665">
        <w:rPr>
          <w:color w:val="auto"/>
        </w:rPr>
        <w:t xml:space="preserve">and </w:t>
      </w:r>
      <w:r w:rsidR="00EB2665" w:rsidRPr="00EB2665">
        <w:rPr>
          <w:color w:val="auto"/>
        </w:rPr>
        <w:t>Amendment #2</w:t>
      </w:r>
    </w:p>
    <w:p w14:paraId="229A9D90" w14:textId="314F315B" w:rsidR="00C025FF" w:rsidRPr="00C025FF" w:rsidRDefault="001E6D28" w:rsidP="00CB4A31">
      <w:pPr>
        <w:pBdr>
          <w:top w:val="single" w:sz="4" w:space="1" w:color="auto"/>
        </w:pBdr>
        <w:spacing w:after="120"/>
        <w:rPr>
          <w:rFonts w:cs="Arial"/>
          <w:caps/>
          <w:sz w:val="24"/>
          <w:szCs w:val="20"/>
        </w:rPr>
      </w:pPr>
      <w:r>
        <w:rPr>
          <w:rFonts w:cs="Arial"/>
          <w:sz w:val="28"/>
        </w:rPr>
        <w:t>#0</w:t>
      </w:r>
      <w:r w:rsidR="00B67374">
        <w:rPr>
          <w:rFonts w:cs="Arial"/>
          <w:sz w:val="28"/>
        </w:rPr>
        <w:t>0719</w:t>
      </w:r>
      <w:r w:rsidR="00727E26">
        <w:rPr>
          <w:rFonts w:cs="Arial"/>
          <w:sz w:val="28"/>
        </w:rPr>
        <w:t xml:space="preserve"> </w:t>
      </w:r>
      <w:r w:rsidR="00B67374">
        <w:rPr>
          <w:rFonts w:cs="Arial"/>
          <w:sz w:val="28"/>
        </w:rPr>
        <w:t>/</w:t>
      </w:r>
      <w:r w:rsidR="00727E26">
        <w:rPr>
          <w:rFonts w:cs="Arial"/>
          <w:sz w:val="28"/>
        </w:rPr>
        <w:t xml:space="preserve"> </w:t>
      </w:r>
      <w:r w:rsidR="00B67374">
        <w:rPr>
          <w:rFonts w:cs="Arial"/>
          <w:sz w:val="28"/>
        </w:rPr>
        <w:t>#00819</w:t>
      </w:r>
      <w:r w:rsidR="00C025FF" w:rsidRPr="00C025FF">
        <w:rPr>
          <w:rFonts w:cs="Arial"/>
          <w:sz w:val="28"/>
        </w:rPr>
        <w:t xml:space="preserve"> </w:t>
      </w:r>
      <w:r>
        <w:rPr>
          <w:rFonts w:cs="Arial"/>
          <w:sz w:val="28"/>
        </w:rPr>
        <w:t>–</w:t>
      </w:r>
      <w:r w:rsidR="00C025FF" w:rsidRPr="00C025FF">
        <w:rPr>
          <w:rFonts w:cs="Arial"/>
          <w:sz w:val="28"/>
        </w:rPr>
        <w:t xml:space="preserve"> </w:t>
      </w:r>
      <w:r w:rsidR="00B67374">
        <w:rPr>
          <w:rFonts w:cs="Arial"/>
          <w:sz w:val="28"/>
        </w:rPr>
        <w:t>Commercial Card Services</w:t>
      </w:r>
      <w:r w:rsidR="00C025FF" w:rsidRPr="00C025FF">
        <w:rPr>
          <w:rFonts w:cs="Arial"/>
          <w:sz w:val="28"/>
        </w:rPr>
        <w:t xml:space="preserve"> </w:t>
      </w:r>
    </w:p>
    <w:p w14:paraId="209B6984" w14:textId="77777777" w:rsidR="00161B5A" w:rsidRDefault="00161B5A" w:rsidP="00CB4A31"/>
    <w:p w14:paraId="70F2AB48" w14:textId="70B7199A" w:rsidR="00D97104" w:rsidRDefault="00FB0070" w:rsidP="00CB4A31">
      <w:r>
        <w:t xml:space="preserve">This document is posted to </w:t>
      </w:r>
      <w:r w:rsidR="00D97104">
        <w:t xml:space="preserve">capture questions received </w:t>
      </w:r>
      <w:r w:rsidR="00503665">
        <w:t xml:space="preserve">during the Question &amp; Answer Period </w:t>
      </w:r>
      <w:r w:rsidR="00B00543">
        <w:t xml:space="preserve">and Pre-Bid Conference </w:t>
      </w:r>
      <w:r w:rsidR="002747B3">
        <w:t>and to add Participating States and state specific Terms &amp; Conditions to solicitation #00719 / #00819 for Commercial Card Services.</w:t>
      </w:r>
    </w:p>
    <w:p w14:paraId="77BF395D" w14:textId="77777777" w:rsidR="00D97104" w:rsidRDefault="00D97104" w:rsidP="00CB4A31"/>
    <w:p w14:paraId="79E69D64" w14:textId="77777777" w:rsidR="00C025FF" w:rsidRDefault="00C025FF" w:rsidP="00CB4A31"/>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Caption w:val="Question &amp; Answer Table"/>
        <w:tblDescription w:val="This table reflects the questions received by potential bidders and answers provided by DES. It also reflects if the response changes the solicitation."/>
      </w:tblPr>
      <w:tblGrid>
        <w:gridCol w:w="547"/>
        <w:gridCol w:w="3502"/>
        <w:gridCol w:w="3413"/>
        <w:gridCol w:w="1868"/>
      </w:tblGrid>
      <w:tr w:rsidR="001C166B" w:rsidRPr="00986320" w14:paraId="02E092BA" w14:textId="77777777" w:rsidTr="0099033B">
        <w:trPr>
          <w:cantSplit/>
          <w:trHeight w:val="602"/>
          <w:tblHeader/>
        </w:trPr>
        <w:tc>
          <w:tcPr>
            <w:tcW w:w="293" w:type="pct"/>
            <w:shd w:val="clear" w:color="auto" w:fill="F2F2F2" w:themeFill="background1" w:themeFillShade="F2"/>
            <w:vAlign w:val="center"/>
          </w:tcPr>
          <w:p w14:paraId="56367047" w14:textId="487B1BDA" w:rsidR="00CE6CCD" w:rsidRPr="00A96486" w:rsidRDefault="00CE52AE" w:rsidP="00CB4A31">
            <w:pPr>
              <w:pStyle w:val="Header"/>
              <w:tabs>
                <w:tab w:val="left" w:pos="6300"/>
              </w:tabs>
              <w:spacing w:before="120"/>
              <w:rPr>
                <w:rFonts w:cs="Arial"/>
                <w:b/>
              </w:rPr>
            </w:pPr>
            <w:r>
              <w:rPr>
                <w:rFonts w:cs="Arial"/>
                <w:b/>
              </w:rPr>
              <w:t xml:space="preserve"> #</w:t>
            </w:r>
          </w:p>
        </w:tc>
        <w:tc>
          <w:tcPr>
            <w:tcW w:w="1877" w:type="pct"/>
            <w:shd w:val="clear" w:color="auto" w:fill="F2F2F2" w:themeFill="background1" w:themeFillShade="F2"/>
            <w:vAlign w:val="center"/>
          </w:tcPr>
          <w:p w14:paraId="1F310276" w14:textId="5E329978" w:rsidR="00CE6CCD" w:rsidRPr="00A96486" w:rsidRDefault="00CE6CCD" w:rsidP="00CB4A31">
            <w:pPr>
              <w:pStyle w:val="Header"/>
              <w:tabs>
                <w:tab w:val="left" w:pos="6300"/>
              </w:tabs>
              <w:spacing w:before="120"/>
              <w:rPr>
                <w:rFonts w:cs="Arial"/>
                <w:b/>
              </w:rPr>
            </w:pPr>
            <w:r w:rsidRPr="00A96486">
              <w:rPr>
                <w:rFonts w:cs="Arial"/>
                <w:b/>
              </w:rPr>
              <w:t>Question</w:t>
            </w:r>
          </w:p>
        </w:tc>
        <w:tc>
          <w:tcPr>
            <w:tcW w:w="1829" w:type="pct"/>
            <w:shd w:val="clear" w:color="auto" w:fill="F2F2F2" w:themeFill="background1" w:themeFillShade="F2"/>
            <w:vAlign w:val="center"/>
          </w:tcPr>
          <w:p w14:paraId="36382988" w14:textId="77777777" w:rsidR="00CE6CCD" w:rsidRPr="00A96486" w:rsidRDefault="00CE6CCD" w:rsidP="00CB4A31">
            <w:pPr>
              <w:pStyle w:val="Header"/>
              <w:tabs>
                <w:tab w:val="left" w:pos="6300"/>
              </w:tabs>
              <w:spacing w:before="120"/>
              <w:rPr>
                <w:rFonts w:cs="Arial"/>
                <w:b/>
              </w:rPr>
            </w:pPr>
            <w:r w:rsidRPr="00A96486">
              <w:rPr>
                <w:rFonts w:cs="Arial"/>
                <w:b/>
              </w:rPr>
              <w:t>Response</w:t>
            </w:r>
          </w:p>
        </w:tc>
        <w:tc>
          <w:tcPr>
            <w:tcW w:w="1001" w:type="pct"/>
            <w:shd w:val="clear" w:color="auto" w:fill="F2F2F2" w:themeFill="background1" w:themeFillShade="F2"/>
            <w:vAlign w:val="center"/>
          </w:tcPr>
          <w:p w14:paraId="239E16E2" w14:textId="77777777" w:rsidR="00CE6CCD" w:rsidRPr="00A96486" w:rsidRDefault="00CE6CCD" w:rsidP="00CB4A31">
            <w:pPr>
              <w:pStyle w:val="Header"/>
              <w:tabs>
                <w:tab w:val="left" w:pos="6300"/>
              </w:tabs>
              <w:spacing w:before="120"/>
              <w:rPr>
                <w:rFonts w:cs="Arial"/>
                <w:b/>
              </w:rPr>
            </w:pPr>
            <w:r w:rsidRPr="00A96486">
              <w:rPr>
                <w:rFonts w:cs="Arial"/>
                <w:b/>
              </w:rPr>
              <w:t>Did this change the solicitation?</w:t>
            </w:r>
          </w:p>
        </w:tc>
      </w:tr>
      <w:tr w:rsidR="001C166B" w:rsidRPr="00B319C7" w14:paraId="5EE4823D" w14:textId="77777777" w:rsidTr="0099033B">
        <w:trPr>
          <w:cantSplit/>
          <w:trHeight w:val="692"/>
        </w:trPr>
        <w:tc>
          <w:tcPr>
            <w:tcW w:w="293" w:type="pct"/>
          </w:tcPr>
          <w:p w14:paraId="317593C9" w14:textId="1F4E7034" w:rsidR="00D97104" w:rsidRPr="00B00543" w:rsidRDefault="00D97104" w:rsidP="00B00543">
            <w:pPr>
              <w:pStyle w:val="Header"/>
              <w:tabs>
                <w:tab w:val="left" w:pos="6300"/>
              </w:tabs>
              <w:spacing w:before="120"/>
            </w:pPr>
            <w:bookmarkStart w:id="1" w:name="Question_1"/>
            <w:r>
              <w:rPr>
                <w:rFonts w:cs="Arial"/>
              </w:rPr>
              <w:t>1</w:t>
            </w:r>
            <w:bookmarkEnd w:id="1"/>
          </w:p>
        </w:tc>
        <w:tc>
          <w:tcPr>
            <w:tcW w:w="1877" w:type="pct"/>
          </w:tcPr>
          <w:p w14:paraId="057D9B4E" w14:textId="0582C656" w:rsidR="00D97104" w:rsidRPr="00880A69" w:rsidRDefault="00503665" w:rsidP="00F57C03">
            <w:pPr>
              <w:pStyle w:val="Header"/>
              <w:tabs>
                <w:tab w:val="left" w:pos="6300"/>
              </w:tabs>
              <w:spacing w:before="120"/>
              <w:rPr>
                <w:rFonts w:cs="Arial"/>
              </w:rPr>
            </w:pPr>
            <w:r w:rsidRPr="00E9758A">
              <w:rPr>
                <w:rFonts w:cs="Arial"/>
              </w:rPr>
              <w:t>In Section 3.7, Bid Submittal Checklist, of the Competitive Solicitation document, you state, “Do not include marketing material in your response”. What would you define as marketing material? Would you allow for exhibits that specifically support a response to a need directly mentioned in Exhibit B1?</w:t>
            </w:r>
          </w:p>
        </w:tc>
        <w:tc>
          <w:tcPr>
            <w:tcW w:w="1829" w:type="pct"/>
          </w:tcPr>
          <w:p w14:paraId="7D14A77D" w14:textId="1A8F9AB4" w:rsidR="00BE7EDD" w:rsidRDefault="00AF0513" w:rsidP="00CB4A31">
            <w:pPr>
              <w:pStyle w:val="Header"/>
              <w:tabs>
                <w:tab w:val="left" w:pos="6300"/>
              </w:tabs>
              <w:spacing w:before="120"/>
              <w:rPr>
                <w:rFonts w:cs="Arial"/>
              </w:rPr>
            </w:pPr>
            <w:r>
              <w:rPr>
                <w:rFonts w:cs="Arial"/>
              </w:rPr>
              <w:t>The direction against including marketing materials is to ensure that bid submittals are detailed. ‘Marketing Material’ usually lack the detail needed in a bidder narrative response.</w:t>
            </w:r>
          </w:p>
          <w:p w14:paraId="7DA60A14" w14:textId="0120F32A" w:rsidR="00A35E22" w:rsidRDefault="00AF0513" w:rsidP="00CB4A31">
            <w:pPr>
              <w:pStyle w:val="Header"/>
              <w:tabs>
                <w:tab w:val="left" w:pos="6300"/>
              </w:tabs>
              <w:spacing w:before="120"/>
              <w:rPr>
                <w:rFonts w:cs="Arial"/>
              </w:rPr>
            </w:pPr>
            <w:r>
              <w:rPr>
                <w:rFonts w:cs="Arial"/>
              </w:rPr>
              <w:t>If marketing materials would provide a complete response to the Exhibit requirements, Bidders may choose to submit that material.</w:t>
            </w:r>
          </w:p>
          <w:p w14:paraId="3EBBA254" w14:textId="03126130" w:rsidR="00AF0513" w:rsidRPr="00A96486" w:rsidRDefault="00A35E22" w:rsidP="00CB4A31">
            <w:pPr>
              <w:pStyle w:val="Header"/>
              <w:tabs>
                <w:tab w:val="left" w:pos="6300"/>
              </w:tabs>
              <w:spacing w:before="120"/>
              <w:rPr>
                <w:rFonts w:cs="Arial"/>
              </w:rPr>
            </w:pPr>
            <w:r>
              <w:rPr>
                <w:rFonts w:cs="Arial"/>
              </w:rPr>
              <w:t>Bid materials should not include links to websites or items that can be altered. The bid should not be a generic advertisement, but provide detailed responses to the requirements and questions asked.</w:t>
            </w:r>
            <w:r>
              <w:rPr>
                <w:rFonts w:cs="Arial"/>
              </w:rPr>
              <w:br/>
            </w:r>
          </w:p>
        </w:tc>
        <w:tc>
          <w:tcPr>
            <w:tcW w:w="1001" w:type="pct"/>
          </w:tcPr>
          <w:p w14:paraId="3F4F43B0" w14:textId="5C0BAF77" w:rsidR="00D97104" w:rsidRPr="008F3951" w:rsidRDefault="008F3951" w:rsidP="00CB4A31">
            <w:pPr>
              <w:pStyle w:val="Header"/>
              <w:tabs>
                <w:tab w:val="left" w:pos="6300"/>
              </w:tabs>
              <w:spacing w:before="120"/>
            </w:pPr>
            <w:r w:rsidRPr="008F3951">
              <w:t>Yes.</w:t>
            </w:r>
          </w:p>
        </w:tc>
      </w:tr>
      <w:tr w:rsidR="001C166B" w:rsidRPr="00B319C7" w14:paraId="1054B726" w14:textId="77777777" w:rsidTr="000678E6">
        <w:trPr>
          <w:cantSplit/>
          <w:trHeight w:val="692"/>
        </w:trPr>
        <w:tc>
          <w:tcPr>
            <w:tcW w:w="293" w:type="pct"/>
            <w:shd w:val="clear" w:color="auto" w:fill="auto"/>
          </w:tcPr>
          <w:p w14:paraId="0DDE09FA" w14:textId="6A9EFEF2" w:rsidR="00D97104" w:rsidRPr="006A7F19" w:rsidRDefault="00D97104" w:rsidP="006A7F19">
            <w:pPr>
              <w:pStyle w:val="Header"/>
              <w:tabs>
                <w:tab w:val="left" w:pos="6300"/>
              </w:tabs>
              <w:spacing w:before="120"/>
            </w:pPr>
            <w:bookmarkStart w:id="2" w:name="Question_2"/>
            <w:r>
              <w:rPr>
                <w:rFonts w:cs="Arial"/>
              </w:rPr>
              <w:t>2</w:t>
            </w:r>
            <w:bookmarkEnd w:id="2"/>
          </w:p>
        </w:tc>
        <w:tc>
          <w:tcPr>
            <w:tcW w:w="1877" w:type="pct"/>
            <w:shd w:val="clear" w:color="auto" w:fill="auto"/>
          </w:tcPr>
          <w:p w14:paraId="6C49E554" w14:textId="6D2E6B3D" w:rsidR="00D97104" w:rsidRPr="00880A69" w:rsidRDefault="00503665" w:rsidP="00F57C03">
            <w:pPr>
              <w:pStyle w:val="Header"/>
              <w:tabs>
                <w:tab w:val="left" w:pos="6300"/>
              </w:tabs>
              <w:spacing w:before="120"/>
              <w:rPr>
                <w:rFonts w:cs="Arial"/>
              </w:rPr>
            </w:pPr>
            <w:r w:rsidRPr="00E9758A">
              <w:rPr>
                <w:rFonts w:cs="Arial"/>
              </w:rPr>
              <w:t>For Mandatory Requirement questions throughout Exhibit B1, would you allow for narrative explanations for mandatory requirements we cannot agree to in an effort to explain our positioning and what services we can provide?</w:t>
            </w:r>
          </w:p>
        </w:tc>
        <w:tc>
          <w:tcPr>
            <w:tcW w:w="1829" w:type="pct"/>
            <w:shd w:val="clear" w:color="auto" w:fill="auto"/>
          </w:tcPr>
          <w:p w14:paraId="4D4CC6A5" w14:textId="77777777" w:rsidR="00CB4A31" w:rsidRDefault="00AF0513" w:rsidP="00CB4A31">
            <w:pPr>
              <w:pStyle w:val="Header"/>
              <w:tabs>
                <w:tab w:val="left" w:pos="6300"/>
              </w:tabs>
              <w:spacing w:before="120"/>
              <w:rPr>
                <w:rFonts w:cs="Arial"/>
              </w:rPr>
            </w:pPr>
            <w:r>
              <w:rPr>
                <w:rFonts w:cs="Arial"/>
              </w:rPr>
              <w:t xml:space="preserve">As stated in Section 4.3, Mandatory and Mandatory Scored requirements are non-negotiable. </w:t>
            </w:r>
          </w:p>
          <w:p w14:paraId="69EFC039" w14:textId="253BACA0" w:rsidR="00BE7EDD" w:rsidRPr="00A96486" w:rsidRDefault="00CB4A31" w:rsidP="00CB4A31">
            <w:pPr>
              <w:pStyle w:val="Header"/>
              <w:tabs>
                <w:tab w:val="left" w:pos="6300"/>
              </w:tabs>
              <w:spacing w:before="120"/>
              <w:rPr>
                <w:rFonts w:cs="Arial"/>
              </w:rPr>
            </w:pPr>
            <w:r>
              <w:rPr>
                <w:rFonts w:cs="Arial"/>
              </w:rPr>
              <w:t>If bidders have questions about specific requirements, of any type (M, MS, NM, NMS) those questions should be raised prior to the end of the Question &amp; Answer period. Enterprise Services may amend the solicitation document in response to that feedback.</w:t>
            </w:r>
            <w:r>
              <w:rPr>
                <w:rFonts w:cs="Arial"/>
              </w:rPr>
              <w:br/>
            </w:r>
            <w:r w:rsidR="00AF0513">
              <w:rPr>
                <w:rFonts w:cs="Arial"/>
              </w:rPr>
              <w:t xml:space="preserve"> </w:t>
            </w:r>
          </w:p>
        </w:tc>
        <w:tc>
          <w:tcPr>
            <w:tcW w:w="1001" w:type="pct"/>
            <w:shd w:val="clear" w:color="auto" w:fill="auto"/>
          </w:tcPr>
          <w:p w14:paraId="2DAE3C86" w14:textId="0EAB0FCF" w:rsidR="00F21663" w:rsidRPr="00081065" w:rsidRDefault="00CB4A31" w:rsidP="00CB4A31">
            <w:pPr>
              <w:pStyle w:val="Header"/>
              <w:tabs>
                <w:tab w:val="left" w:pos="6300"/>
              </w:tabs>
              <w:spacing w:before="120"/>
            </w:pPr>
            <w:r>
              <w:t>No.</w:t>
            </w:r>
          </w:p>
        </w:tc>
      </w:tr>
      <w:tr w:rsidR="001C166B" w:rsidRPr="00B319C7" w14:paraId="06328B59" w14:textId="77777777" w:rsidTr="000678E6">
        <w:trPr>
          <w:cantSplit/>
          <w:trHeight w:val="692"/>
        </w:trPr>
        <w:tc>
          <w:tcPr>
            <w:tcW w:w="293" w:type="pct"/>
            <w:shd w:val="clear" w:color="auto" w:fill="auto"/>
          </w:tcPr>
          <w:p w14:paraId="1D02F7CF" w14:textId="0693EAC4" w:rsidR="00D97104" w:rsidRDefault="00D97104" w:rsidP="00CB4A31">
            <w:pPr>
              <w:pStyle w:val="Header"/>
              <w:tabs>
                <w:tab w:val="left" w:pos="6300"/>
              </w:tabs>
              <w:spacing w:before="120"/>
              <w:rPr>
                <w:rFonts w:cs="Arial"/>
              </w:rPr>
            </w:pPr>
            <w:r>
              <w:rPr>
                <w:rFonts w:cs="Arial"/>
              </w:rPr>
              <w:lastRenderedPageBreak/>
              <w:t>3</w:t>
            </w:r>
          </w:p>
        </w:tc>
        <w:tc>
          <w:tcPr>
            <w:tcW w:w="1877" w:type="pct"/>
            <w:shd w:val="clear" w:color="auto" w:fill="auto"/>
          </w:tcPr>
          <w:p w14:paraId="15E99339" w14:textId="4DFB194F" w:rsidR="00BE7EDD" w:rsidRPr="00E9758A" w:rsidRDefault="00503665" w:rsidP="00F57C03">
            <w:pPr>
              <w:pStyle w:val="Header"/>
              <w:tabs>
                <w:tab w:val="left" w:pos="6300"/>
              </w:tabs>
              <w:spacing w:before="120"/>
              <w:rPr>
                <w:rFonts w:cs="Arial"/>
              </w:rPr>
            </w:pPr>
            <w:r w:rsidRPr="00E9758A">
              <w:rPr>
                <w:rFonts w:cs="Arial"/>
              </w:rPr>
              <w:t xml:space="preserve">In Exhibit B1, Question 2.20, are you specifically asking for summary data or transaction data? Providing transaction data would cause privacy issues. </w:t>
            </w:r>
            <w:r w:rsidR="00F57C03">
              <w:rPr>
                <w:rFonts w:cs="Arial"/>
              </w:rPr>
              <w:br/>
            </w:r>
          </w:p>
        </w:tc>
        <w:tc>
          <w:tcPr>
            <w:tcW w:w="1829" w:type="pct"/>
            <w:shd w:val="clear" w:color="auto" w:fill="auto"/>
          </w:tcPr>
          <w:p w14:paraId="3CC1AF13" w14:textId="63C11740" w:rsidR="00CB4A31" w:rsidRPr="00CB4A31" w:rsidRDefault="00CB4A31" w:rsidP="00F57C03">
            <w:pPr>
              <w:overflowPunct w:val="0"/>
              <w:autoSpaceDE w:val="0"/>
              <w:autoSpaceDN w:val="0"/>
              <w:adjustRightInd w:val="0"/>
              <w:spacing w:before="120"/>
              <w:textAlignment w:val="baseline"/>
              <w:rPr>
                <w:rFonts w:cs="Arial"/>
              </w:rPr>
            </w:pPr>
            <w:r>
              <w:rPr>
                <w:rFonts w:cs="Arial"/>
              </w:rPr>
              <w:t>Statewide Administrator will need to have access to pull reports for all transaction data within their state under the Master Agreement.</w:t>
            </w:r>
          </w:p>
        </w:tc>
        <w:tc>
          <w:tcPr>
            <w:tcW w:w="1001" w:type="pct"/>
            <w:shd w:val="clear" w:color="auto" w:fill="auto"/>
          </w:tcPr>
          <w:p w14:paraId="6D663CAC" w14:textId="05089BBB" w:rsidR="00D97104" w:rsidRPr="00081065" w:rsidRDefault="00CB4A31" w:rsidP="00CB4A31">
            <w:pPr>
              <w:pStyle w:val="Header"/>
              <w:tabs>
                <w:tab w:val="left" w:pos="6300"/>
              </w:tabs>
              <w:spacing w:before="120"/>
            </w:pPr>
            <w:r>
              <w:t>No.</w:t>
            </w:r>
          </w:p>
        </w:tc>
      </w:tr>
      <w:tr w:rsidR="001C166B" w:rsidRPr="00B319C7" w14:paraId="71023C7A" w14:textId="77777777" w:rsidTr="000678E6">
        <w:trPr>
          <w:cantSplit/>
          <w:trHeight w:val="692"/>
        </w:trPr>
        <w:tc>
          <w:tcPr>
            <w:tcW w:w="293" w:type="pct"/>
            <w:shd w:val="clear" w:color="auto" w:fill="auto"/>
          </w:tcPr>
          <w:p w14:paraId="5C18885B" w14:textId="57499E7D" w:rsidR="00D97104" w:rsidRDefault="00D97104" w:rsidP="00CB4A31">
            <w:pPr>
              <w:pStyle w:val="Header"/>
              <w:tabs>
                <w:tab w:val="left" w:pos="6300"/>
              </w:tabs>
              <w:spacing w:before="120"/>
              <w:rPr>
                <w:rFonts w:cs="Arial"/>
              </w:rPr>
            </w:pPr>
            <w:r>
              <w:rPr>
                <w:rFonts w:cs="Arial"/>
              </w:rPr>
              <w:t>4</w:t>
            </w:r>
          </w:p>
        </w:tc>
        <w:tc>
          <w:tcPr>
            <w:tcW w:w="1877" w:type="pct"/>
            <w:shd w:val="clear" w:color="auto" w:fill="auto"/>
          </w:tcPr>
          <w:p w14:paraId="3433FFA6" w14:textId="6D57AD2A" w:rsidR="00D97104" w:rsidRPr="00880A69" w:rsidRDefault="00503665" w:rsidP="00F57C03">
            <w:pPr>
              <w:pStyle w:val="Header"/>
              <w:tabs>
                <w:tab w:val="left" w:pos="6300"/>
              </w:tabs>
              <w:spacing w:before="120"/>
              <w:rPr>
                <w:rFonts w:cs="Arial"/>
              </w:rPr>
            </w:pPr>
            <w:r w:rsidRPr="00E9758A">
              <w:rPr>
                <w:rFonts w:cs="Arial"/>
              </w:rPr>
              <w:t>In Exhibit B1, Question 3.3, can you please provide your definition of the word, “post”? Would you consider this to be after the merchant has batched the transaction?</w:t>
            </w:r>
            <w:r w:rsidR="00F57C03">
              <w:rPr>
                <w:rFonts w:cs="Arial"/>
              </w:rPr>
              <w:br/>
            </w:r>
          </w:p>
        </w:tc>
        <w:tc>
          <w:tcPr>
            <w:tcW w:w="1829" w:type="pct"/>
            <w:shd w:val="clear" w:color="auto" w:fill="auto"/>
          </w:tcPr>
          <w:p w14:paraId="49E34F0F" w14:textId="348E057E" w:rsidR="00CB4A31" w:rsidRPr="00CB4A31" w:rsidRDefault="00CB4A31" w:rsidP="00F57C03">
            <w:pPr>
              <w:pStyle w:val="Header"/>
              <w:tabs>
                <w:tab w:val="left" w:pos="6300"/>
              </w:tabs>
              <w:spacing w:before="120"/>
              <w:rPr>
                <w:rFonts w:cs="Arial"/>
              </w:rPr>
            </w:pPr>
            <w:r>
              <w:rPr>
                <w:rFonts w:cs="Arial"/>
              </w:rPr>
              <w:t>In this instance the transaction appearing within the Purchase Card data management and reporting system.</w:t>
            </w:r>
          </w:p>
        </w:tc>
        <w:tc>
          <w:tcPr>
            <w:tcW w:w="1001" w:type="pct"/>
            <w:shd w:val="clear" w:color="auto" w:fill="auto"/>
          </w:tcPr>
          <w:p w14:paraId="305CBE6E" w14:textId="5B1EB3A4" w:rsidR="00D97104" w:rsidRPr="00081065" w:rsidRDefault="00CB4A31" w:rsidP="00CB4A31">
            <w:pPr>
              <w:pStyle w:val="Header"/>
              <w:tabs>
                <w:tab w:val="left" w:pos="6300"/>
              </w:tabs>
              <w:spacing w:before="120"/>
            </w:pPr>
            <w:r>
              <w:t>No.</w:t>
            </w:r>
          </w:p>
        </w:tc>
      </w:tr>
      <w:tr w:rsidR="001C166B" w:rsidRPr="00B319C7" w14:paraId="66E6CF5A" w14:textId="77777777" w:rsidTr="0099033B">
        <w:trPr>
          <w:cantSplit/>
          <w:trHeight w:val="692"/>
        </w:trPr>
        <w:tc>
          <w:tcPr>
            <w:tcW w:w="293" w:type="pct"/>
          </w:tcPr>
          <w:p w14:paraId="447206E4" w14:textId="15E0AE52" w:rsidR="00D97104" w:rsidRDefault="00D97104" w:rsidP="00CB4A31">
            <w:pPr>
              <w:pStyle w:val="Header"/>
              <w:tabs>
                <w:tab w:val="left" w:pos="6300"/>
              </w:tabs>
              <w:spacing w:before="120"/>
              <w:rPr>
                <w:rFonts w:cs="Arial"/>
              </w:rPr>
            </w:pPr>
            <w:bookmarkStart w:id="3" w:name="Question_5"/>
            <w:r>
              <w:rPr>
                <w:rFonts w:cs="Arial"/>
              </w:rPr>
              <w:t>5</w:t>
            </w:r>
            <w:bookmarkEnd w:id="3"/>
          </w:p>
        </w:tc>
        <w:tc>
          <w:tcPr>
            <w:tcW w:w="1877" w:type="pct"/>
          </w:tcPr>
          <w:p w14:paraId="657F3DE8" w14:textId="76A3BDEC" w:rsidR="006531C3" w:rsidRPr="00880A69" w:rsidRDefault="00503665" w:rsidP="00F57C03">
            <w:pPr>
              <w:pStyle w:val="Header"/>
              <w:tabs>
                <w:tab w:val="left" w:pos="6300"/>
              </w:tabs>
              <w:spacing w:before="120"/>
              <w:rPr>
                <w:rFonts w:cs="Arial"/>
              </w:rPr>
            </w:pPr>
            <w:r w:rsidRPr="00E9758A">
              <w:rPr>
                <w:rFonts w:cs="Arial"/>
              </w:rPr>
              <w:t>In Exhibit B1, Question 3.18, can you provide more information on a TIF file and an example in which you would use it?</w:t>
            </w:r>
            <w:r w:rsidR="00F57C03">
              <w:rPr>
                <w:rFonts w:cs="Arial"/>
              </w:rPr>
              <w:br/>
            </w:r>
          </w:p>
        </w:tc>
        <w:tc>
          <w:tcPr>
            <w:tcW w:w="1829" w:type="pct"/>
          </w:tcPr>
          <w:p w14:paraId="5D76C865" w14:textId="39EDFCA7" w:rsidR="000532DB" w:rsidRPr="000532DB" w:rsidRDefault="000532DB" w:rsidP="00F57C03">
            <w:pPr>
              <w:spacing w:before="120"/>
              <w:rPr>
                <w:rFonts w:cs="Arial"/>
              </w:rPr>
            </w:pPr>
            <w:r>
              <w:rPr>
                <w:rFonts w:cs="Arial"/>
              </w:rPr>
              <w:t>.tiff files are a format in which documents can be saved.  It is a file type similar to .jpg, .pdf, and .gif.</w:t>
            </w:r>
          </w:p>
        </w:tc>
        <w:tc>
          <w:tcPr>
            <w:tcW w:w="1001" w:type="pct"/>
          </w:tcPr>
          <w:p w14:paraId="30F29FBC" w14:textId="3240BD6D" w:rsidR="00D97104" w:rsidRPr="00081065" w:rsidRDefault="003635FE" w:rsidP="00CB4A31">
            <w:pPr>
              <w:pStyle w:val="Header"/>
              <w:tabs>
                <w:tab w:val="left" w:pos="6300"/>
              </w:tabs>
              <w:spacing w:before="120"/>
            </w:pPr>
            <w:r>
              <w:t>Yes</w:t>
            </w:r>
            <w:r w:rsidR="00F57C03">
              <w:t>.</w:t>
            </w:r>
          </w:p>
        </w:tc>
      </w:tr>
      <w:tr w:rsidR="001C166B" w:rsidRPr="00B319C7" w14:paraId="2EAB8FA5" w14:textId="77777777" w:rsidTr="0099033B">
        <w:trPr>
          <w:cantSplit/>
          <w:trHeight w:val="692"/>
        </w:trPr>
        <w:tc>
          <w:tcPr>
            <w:tcW w:w="293" w:type="pct"/>
          </w:tcPr>
          <w:p w14:paraId="3FADAAA7" w14:textId="5014026C" w:rsidR="00D97104" w:rsidRDefault="00D97104" w:rsidP="00CB4A31">
            <w:pPr>
              <w:pStyle w:val="Header"/>
              <w:tabs>
                <w:tab w:val="left" w:pos="6300"/>
              </w:tabs>
              <w:spacing w:before="120"/>
              <w:rPr>
                <w:rFonts w:cs="Arial"/>
              </w:rPr>
            </w:pPr>
            <w:bookmarkStart w:id="4" w:name="Question_6"/>
            <w:r>
              <w:rPr>
                <w:rFonts w:cs="Arial"/>
              </w:rPr>
              <w:t>6</w:t>
            </w:r>
            <w:bookmarkEnd w:id="4"/>
          </w:p>
        </w:tc>
        <w:tc>
          <w:tcPr>
            <w:tcW w:w="1877" w:type="pct"/>
          </w:tcPr>
          <w:p w14:paraId="424D354E" w14:textId="77777777" w:rsidR="00503665" w:rsidRPr="00E9758A" w:rsidRDefault="00503665" w:rsidP="00CB4A31">
            <w:pPr>
              <w:pStyle w:val="Header"/>
              <w:tabs>
                <w:tab w:val="left" w:pos="6300"/>
              </w:tabs>
              <w:spacing w:before="120"/>
              <w:rPr>
                <w:rFonts w:cs="Arial"/>
              </w:rPr>
            </w:pPr>
            <w:r w:rsidRPr="00E9758A">
              <w:rPr>
                <w:rFonts w:cs="Arial"/>
              </w:rPr>
              <w:t>In Exhibit B1, Question 4.4, you state, “Participating States will not accept forced/pushed ‘top-down’ system changes unless required by federal law”. We would imagine all providers would have a system in which it’s difficult to have specific customers dictate what is ultimately available for all clients using the system. Would you consider moving this question to the NMS category and allow us to explain what we can and or are open to accommodating for this parameter?</w:t>
            </w:r>
          </w:p>
          <w:p w14:paraId="0478A549" w14:textId="3E84D807" w:rsidR="00D97104" w:rsidRPr="00880A69" w:rsidRDefault="00D97104" w:rsidP="00CB4A31">
            <w:pPr>
              <w:pStyle w:val="Header"/>
              <w:tabs>
                <w:tab w:val="left" w:pos="6300"/>
              </w:tabs>
              <w:spacing w:before="120"/>
              <w:rPr>
                <w:rFonts w:cs="Arial"/>
              </w:rPr>
            </w:pPr>
          </w:p>
        </w:tc>
        <w:tc>
          <w:tcPr>
            <w:tcW w:w="1829" w:type="pct"/>
          </w:tcPr>
          <w:p w14:paraId="2369821E" w14:textId="4B1E7E0A" w:rsidR="000678E6" w:rsidRPr="000532DB" w:rsidRDefault="000678E6" w:rsidP="00F57C03">
            <w:pPr>
              <w:pStyle w:val="Header"/>
              <w:tabs>
                <w:tab w:val="left" w:pos="6300"/>
              </w:tabs>
              <w:spacing w:before="120"/>
              <w:rPr>
                <w:rFonts w:cs="Arial"/>
              </w:rPr>
            </w:pPr>
            <w:r>
              <w:rPr>
                <w:rFonts w:cs="Arial"/>
              </w:rPr>
              <w:t>The statement “Participating States will not accept forced/pushed ‘top-down’ system changes unless required by federal law”</w:t>
            </w:r>
            <w:r w:rsidR="00F57C03">
              <w:rPr>
                <w:rFonts w:cs="Arial"/>
              </w:rPr>
              <w:t xml:space="preserve"> has been removed.</w:t>
            </w:r>
          </w:p>
        </w:tc>
        <w:tc>
          <w:tcPr>
            <w:tcW w:w="1001" w:type="pct"/>
          </w:tcPr>
          <w:p w14:paraId="21B16CE7" w14:textId="530CD725" w:rsidR="003635FE" w:rsidRPr="00081065" w:rsidRDefault="000678E6" w:rsidP="00CB4A31">
            <w:pPr>
              <w:pStyle w:val="Header"/>
              <w:tabs>
                <w:tab w:val="left" w:pos="6300"/>
              </w:tabs>
              <w:spacing w:before="120"/>
            </w:pPr>
            <w:r>
              <w:t>Yes</w:t>
            </w:r>
            <w:r w:rsidR="00F57C03">
              <w:t>.</w:t>
            </w:r>
          </w:p>
        </w:tc>
      </w:tr>
      <w:tr w:rsidR="001C166B" w:rsidRPr="00B319C7" w14:paraId="182A61FB" w14:textId="77777777" w:rsidTr="0099033B">
        <w:trPr>
          <w:cantSplit/>
          <w:trHeight w:val="692"/>
        </w:trPr>
        <w:tc>
          <w:tcPr>
            <w:tcW w:w="293" w:type="pct"/>
          </w:tcPr>
          <w:p w14:paraId="0BAB842F" w14:textId="41A185EC" w:rsidR="00367C4A" w:rsidRDefault="00367C4A" w:rsidP="00CB4A31">
            <w:pPr>
              <w:pStyle w:val="Header"/>
              <w:tabs>
                <w:tab w:val="left" w:pos="6300"/>
              </w:tabs>
              <w:spacing w:before="120"/>
              <w:rPr>
                <w:rFonts w:cs="Arial"/>
              </w:rPr>
            </w:pPr>
            <w:r>
              <w:rPr>
                <w:rFonts w:cs="Arial"/>
              </w:rPr>
              <w:lastRenderedPageBreak/>
              <w:t>7</w:t>
            </w:r>
          </w:p>
        </w:tc>
        <w:tc>
          <w:tcPr>
            <w:tcW w:w="1877" w:type="pct"/>
          </w:tcPr>
          <w:p w14:paraId="012814A4" w14:textId="77777777" w:rsidR="00503665" w:rsidRPr="00E9758A" w:rsidRDefault="00503665" w:rsidP="00CB4A31">
            <w:pPr>
              <w:pStyle w:val="Header"/>
              <w:tabs>
                <w:tab w:val="left" w:pos="6300"/>
              </w:tabs>
              <w:spacing w:before="120"/>
              <w:rPr>
                <w:rFonts w:cs="Arial"/>
              </w:rPr>
            </w:pPr>
            <w:r w:rsidRPr="00E9758A">
              <w:rPr>
                <w:rFonts w:cs="Arial"/>
              </w:rPr>
              <w:t>In Exhibit B1, Question 5.1, can you provide some context around why it is important to have the time-stamp in local time?</w:t>
            </w:r>
          </w:p>
          <w:p w14:paraId="4DFAB326" w14:textId="3749EA91" w:rsidR="00367C4A" w:rsidRDefault="00367C4A" w:rsidP="00CB4A31">
            <w:pPr>
              <w:pStyle w:val="Header"/>
              <w:tabs>
                <w:tab w:val="left" w:pos="6300"/>
              </w:tabs>
              <w:spacing w:before="120"/>
              <w:rPr>
                <w:rFonts w:cs="Arial"/>
              </w:rPr>
            </w:pPr>
          </w:p>
        </w:tc>
        <w:tc>
          <w:tcPr>
            <w:tcW w:w="1829" w:type="pct"/>
          </w:tcPr>
          <w:p w14:paraId="05E2A8EB" w14:textId="7B5B8960" w:rsidR="00F57C03" w:rsidRDefault="00F57C03" w:rsidP="00CB4A31">
            <w:pPr>
              <w:pStyle w:val="Header"/>
              <w:tabs>
                <w:tab w:val="left" w:pos="6300"/>
              </w:tabs>
              <w:spacing w:before="120"/>
              <w:rPr>
                <w:rFonts w:cs="Arial"/>
              </w:rPr>
            </w:pPr>
            <w:r>
              <w:rPr>
                <w:rFonts w:cs="Arial"/>
              </w:rPr>
              <w:t>Having transactions and reports reflect the time zone of the transaction location or report request are important for a number of reason:</w:t>
            </w:r>
          </w:p>
          <w:p w14:paraId="01B23498" w14:textId="52254786" w:rsidR="00F57C03" w:rsidRDefault="00F57C03" w:rsidP="00F57C03">
            <w:pPr>
              <w:pStyle w:val="Header"/>
              <w:numPr>
                <w:ilvl w:val="0"/>
                <w:numId w:val="31"/>
              </w:numPr>
              <w:tabs>
                <w:tab w:val="left" w:pos="6300"/>
              </w:tabs>
              <w:spacing w:before="120"/>
              <w:ind w:left="241" w:hanging="180"/>
              <w:rPr>
                <w:rFonts w:cs="Arial"/>
              </w:rPr>
            </w:pPr>
            <w:r>
              <w:rPr>
                <w:rFonts w:cs="Arial"/>
              </w:rPr>
              <w:t>If transactions and/or reports show an odd time (i.e. 2am) that may alert program administrators to a potential card issues or fraudulent charge.</w:t>
            </w:r>
          </w:p>
          <w:p w14:paraId="7B35D34A" w14:textId="799C3304" w:rsidR="00F57C03" w:rsidRDefault="00F57C03" w:rsidP="00F57C03">
            <w:pPr>
              <w:pStyle w:val="Header"/>
              <w:numPr>
                <w:ilvl w:val="0"/>
                <w:numId w:val="31"/>
              </w:numPr>
              <w:tabs>
                <w:tab w:val="left" w:pos="6300"/>
              </w:tabs>
              <w:spacing w:before="120"/>
              <w:ind w:left="241" w:hanging="180"/>
              <w:rPr>
                <w:rFonts w:cs="Arial"/>
              </w:rPr>
            </w:pPr>
            <w:r>
              <w:rPr>
                <w:rFonts w:cs="Arial"/>
              </w:rPr>
              <w:t>Actual time of transactions is important to effectively determine if there is a response from the Program Administrator required.</w:t>
            </w:r>
          </w:p>
          <w:p w14:paraId="25B79BDD" w14:textId="399219D2" w:rsidR="003635FE" w:rsidRPr="00F57C03" w:rsidRDefault="00F57C03" w:rsidP="00CB4A31">
            <w:pPr>
              <w:pStyle w:val="Header"/>
              <w:numPr>
                <w:ilvl w:val="0"/>
                <w:numId w:val="31"/>
              </w:numPr>
              <w:tabs>
                <w:tab w:val="left" w:pos="6300"/>
              </w:tabs>
              <w:spacing w:before="120"/>
              <w:ind w:left="241" w:hanging="180"/>
              <w:rPr>
                <w:rFonts w:cs="Arial"/>
              </w:rPr>
            </w:pPr>
            <w:r>
              <w:rPr>
                <w:rFonts w:cs="Arial"/>
              </w:rPr>
              <w:t>Reports need to reflect the time the data was pulled for the sake of accuracy.</w:t>
            </w:r>
            <w:r>
              <w:rPr>
                <w:rFonts w:cs="Arial"/>
              </w:rPr>
              <w:br/>
            </w:r>
          </w:p>
        </w:tc>
        <w:tc>
          <w:tcPr>
            <w:tcW w:w="1001" w:type="pct"/>
          </w:tcPr>
          <w:p w14:paraId="0FE325B6" w14:textId="706324A6" w:rsidR="00367C4A" w:rsidRDefault="00F57C03" w:rsidP="00CB4A31">
            <w:pPr>
              <w:pStyle w:val="Header"/>
              <w:tabs>
                <w:tab w:val="left" w:pos="6300"/>
              </w:tabs>
              <w:spacing w:before="120"/>
            </w:pPr>
            <w:r>
              <w:t>No.</w:t>
            </w:r>
          </w:p>
        </w:tc>
      </w:tr>
      <w:tr w:rsidR="001C166B" w:rsidRPr="00B319C7" w14:paraId="4A31C385" w14:textId="77777777" w:rsidTr="0099033B">
        <w:trPr>
          <w:cantSplit/>
          <w:trHeight w:val="692"/>
        </w:trPr>
        <w:tc>
          <w:tcPr>
            <w:tcW w:w="293" w:type="pct"/>
          </w:tcPr>
          <w:p w14:paraId="780411C1" w14:textId="30DF4F5D" w:rsidR="00367C4A" w:rsidRDefault="00367C4A" w:rsidP="00CB4A31">
            <w:pPr>
              <w:pStyle w:val="Header"/>
              <w:tabs>
                <w:tab w:val="left" w:pos="6300"/>
              </w:tabs>
              <w:spacing w:before="120"/>
              <w:rPr>
                <w:rFonts w:cs="Arial"/>
              </w:rPr>
            </w:pPr>
            <w:r>
              <w:rPr>
                <w:rFonts w:cs="Arial"/>
              </w:rPr>
              <w:t>8</w:t>
            </w:r>
          </w:p>
        </w:tc>
        <w:tc>
          <w:tcPr>
            <w:tcW w:w="1877" w:type="pct"/>
          </w:tcPr>
          <w:p w14:paraId="1097E9D7" w14:textId="77777777" w:rsidR="00503665" w:rsidRPr="00E9758A" w:rsidRDefault="00503665" w:rsidP="00CB4A31">
            <w:pPr>
              <w:pStyle w:val="Header"/>
              <w:tabs>
                <w:tab w:val="left" w:pos="6300"/>
              </w:tabs>
              <w:spacing w:before="120"/>
              <w:rPr>
                <w:rFonts w:cs="Arial"/>
              </w:rPr>
            </w:pPr>
            <w:r w:rsidRPr="00E9758A">
              <w:rPr>
                <w:rFonts w:cs="Arial"/>
              </w:rPr>
              <w:t xml:space="preserve">Exhibit B1, Question 5.7, how would you define “overrides”? </w:t>
            </w:r>
          </w:p>
          <w:p w14:paraId="4F2A0A54" w14:textId="398A6537" w:rsidR="00367C4A" w:rsidRDefault="00367C4A" w:rsidP="00CB4A31">
            <w:pPr>
              <w:pStyle w:val="Header"/>
              <w:tabs>
                <w:tab w:val="left" w:pos="6300"/>
              </w:tabs>
              <w:spacing w:before="120"/>
              <w:rPr>
                <w:rFonts w:cs="Arial"/>
              </w:rPr>
            </w:pPr>
          </w:p>
        </w:tc>
        <w:tc>
          <w:tcPr>
            <w:tcW w:w="1829" w:type="pct"/>
          </w:tcPr>
          <w:p w14:paraId="549E175B" w14:textId="77777777" w:rsidR="00F57C03" w:rsidRDefault="0033684F" w:rsidP="00CB4A31">
            <w:pPr>
              <w:pStyle w:val="Header"/>
              <w:tabs>
                <w:tab w:val="left" w:pos="6300"/>
              </w:tabs>
              <w:spacing w:before="120"/>
              <w:rPr>
                <w:rFonts w:cs="Arial"/>
              </w:rPr>
            </w:pPr>
            <w:r>
              <w:rPr>
                <w:rFonts w:cs="Arial"/>
              </w:rPr>
              <w:t>In this instance, “</w:t>
            </w:r>
            <w:r w:rsidR="00F57C03">
              <w:rPr>
                <w:rFonts w:cs="Arial"/>
              </w:rPr>
              <w:t>overrides” include the following;</w:t>
            </w:r>
          </w:p>
          <w:p w14:paraId="1F0912A0" w14:textId="3B304C75" w:rsidR="00F57C03" w:rsidRDefault="00D90676" w:rsidP="00F57C03">
            <w:pPr>
              <w:pStyle w:val="Header"/>
              <w:numPr>
                <w:ilvl w:val="0"/>
                <w:numId w:val="32"/>
              </w:numPr>
              <w:tabs>
                <w:tab w:val="left" w:pos="6300"/>
              </w:tabs>
              <w:spacing w:before="120"/>
              <w:ind w:left="241" w:hanging="180"/>
              <w:rPr>
                <w:rFonts w:cs="Arial"/>
              </w:rPr>
            </w:pPr>
            <w:r w:rsidRPr="00F57C03">
              <w:rPr>
                <w:rFonts w:cs="Arial"/>
              </w:rPr>
              <w:t xml:space="preserve">Merchant </w:t>
            </w:r>
            <w:r w:rsidR="0033684F" w:rsidRPr="00F57C03">
              <w:rPr>
                <w:rFonts w:cs="Arial"/>
              </w:rPr>
              <w:t xml:space="preserve">overrides </w:t>
            </w:r>
            <w:r w:rsidR="00F57C03">
              <w:rPr>
                <w:rFonts w:cs="Arial"/>
              </w:rPr>
              <w:t>-</w:t>
            </w:r>
            <w:r w:rsidR="0033684F" w:rsidRPr="00F57C03">
              <w:rPr>
                <w:rFonts w:cs="Arial"/>
              </w:rPr>
              <w:t xml:space="preserve"> transactions that have been pushed through by a merchant location. </w:t>
            </w:r>
          </w:p>
          <w:p w14:paraId="4A064790" w14:textId="77777777" w:rsidR="00F57C03" w:rsidRDefault="00D90676" w:rsidP="00CB4A31">
            <w:pPr>
              <w:pStyle w:val="Header"/>
              <w:numPr>
                <w:ilvl w:val="0"/>
                <w:numId w:val="32"/>
              </w:numPr>
              <w:tabs>
                <w:tab w:val="left" w:pos="6300"/>
              </w:tabs>
              <w:spacing w:before="120"/>
              <w:ind w:left="241" w:hanging="180"/>
              <w:rPr>
                <w:rFonts w:cs="Arial"/>
              </w:rPr>
            </w:pPr>
            <w:r w:rsidRPr="00F57C03">
              <w:rPr>
                <w:rFonts w:cs="Arial"/>
              </w:rPr>
              <w:t>Bank Overrides – customer calls bank and get transaction pushed through</w:t>
            </w:r>
          </w:p>
          <w:p w14:paraId="1ADB240A" w14:textId="7BD74EE7" w:rsidR="000532DB" w:rsidRPr="00F57C03" w:rsidRDefault="00D90676" w:rsidP="00CB4A31">
            <w:pPr>
              <w:pStyle w:val="Header"/>
              <w:numPr>
                <w:ilvl w:val="0"/>
                <w:numId w:val="32"/>
              </w:numPr>
              <w:tabs>
                <w:tab w:val="left" w:pos="6300"/>
              </w:tabs>
              <w:spacing w:before="120"/>
              <w:ind w:left="241" w:hanging="180"/>
              <w:rPr>
                <w:rFonts w:cs="Arial"/>
              </w:rPr>
            </w:pPr>
            <w:r w:rsidRPr="00F57C03">
              <w:rPr>
                <w:rFonts w:cs="Arial"/>
              </w:rPr>
              <w:t xml:space="preserve">Program </w:t>
            </w:r>
            <w:r w:rsidR="00F57C03" w:rsidRPr="00F57C03">
              <w:rPr>
                <w:rFonts w:cs="Arial"/>
              </w:rPr>
              <w:t>Administrator</w:t>
            </w:r>
            <w:r w:rsidRPr="00F57C03">
              <w:rPr>
                <w:rFonts w:cs="Arial"/>
              </w:rPr>
              <w:t xml:space="preserve"> – PA calls bank and gets transaction pushed </w:t>
            </w:r>
            <w:r w:rsidR="00F57C03" w:rsidRPr="00F57C03">
              <w:rPr>
                <w:rFonts w:cs="Arial"/>
              </w:rPr>
              <w:t>through</w:t>
            </w:r>
            <w:r w:rsidR="000532DB" w:rsidRPr="00F57C03">
              <w:rPr>
                <w:rFonts w:cs="Arial"/>
              </w:rPr>
              <w:br/>
            </w:r>
          </w:p>
        </w:tc>
        <w:tc>
          <w:tcPr>
            <w:tcW w:w="1001" w:type="pct"/>
          </w:tcPr>
          <w:p w14:paraId="64026035" w14:textId="1B20F7A7" w:rsidR="003635FE" w:rsidRDefault="0033684F" w:rsidP="00D90676">
            <w:pPr>
              <w:pStyle w:val="Header"/>
              <w:tabs>
                <w:tab w:val="left" w:pos="6300"/>
              </w:tabs>
              <w:spacing w:before="120"/>
            </w:pPr>
            <w:r>
              <w:t>Yes</w:t>
            </w:r>
          </w:p>
        </w:tc>
      </w:tr>
      <w:tr w:rsidR="001C166B" w:rsidRPr="00B319C7" w14:paraId="2D609171" w14:textId="77777777" w:rsidTr="006033DA">
        <w:trPr>
          <w:cantSplit/>
          <w:trHeight w:val="692"/>
        </w:trPr>
        <w:tc>
          <w:tcPr>
            <w:tcW w:w="293" w:type="pct"/>
            <w:shd w:val="clear" w:color="auto" w:fill="auto"/>
          </w:tcPr>
          <w:p w14:paraId="6D724828" w14:textId="78F5719B" w:rsidR="00503665" w:rsidRDefault="00503665" w:rsidP="00CB4A31">
            <w:pPr>
              <w:pStyle w:val="Header"/>
              <w:tabs>
                <w:tab w:val="left" w:pos="6300"/>
              </w:tabs>
              <w:spacing w:before="120"/>
              <w:rPr>
                <w:rFonts w:cs="Arial"/>
              </w:rPr>
            </w:pPr>
            <w:r>
              <w:rPr>
                <w:rFonts w:cs="Arial"/>
              </w:rPr>
              <w:t>9</w:t>
            </w:r>
          </w:p>
        </w:tc>
        <w:tc>
          <w:tcPr>
            <w:tcW w:w="1877" w:type="pct"/>
            <w:shd w:val="clear" w:color="auto" w:fill="auto"/>
          </w:tcPr>
          <w:p w14:paraId="544720F7" w14:textId="5E90B302" w:rsidR="00503665" w:rsidRDefault="00503665" w:rsidP="00CB4A31">
            <w:pPr>
              <w:pStyle w:val="Header"/>
              <w:tabs>
                <w:tab w:val="left" w:pos="6300"/>
              </w:tabs>
              <w:spacing w:before="120"/>
              <w:rPr>
                <w:rFonts w:cs="Arial"/>
              </w:rPr>
            </w:pPr>
            <w:r w:rsidRPr="00E9758A">
              <w:rPr>
                <w:rFonts w:cs="Arial"/>
              </w:rPr>
              <w:t>In Exhibit B1, Question 8.8, are cardholders intended to be a part of this question? Question 8.8 in Exhibit B2 does not mention cardholders. Can you clarify why cardholders would be a necessary asp</w:t>
            </w:r>
            <w:r w:rsidR="006033DA">
              <w:rPr>
                <w:rFonts w:cs="Arial"/>
              </w:rPr>
              <w:t>ect of the category 1 solution?</w:t>
            </w:r>
            <w:r w:rsidR="006033DA">
              <w:rPr>
                <w:rFonts w:cs="Arial"/>
              </w:rPr>
              <w:br/>
            </w:r>
          </w:p>
        </w:tc>
        <w:tc>
          <w:tcPr>
            <w:tcW w:w="1829" w:type="pct"/>
            <w:shd w:val="clear" w:color="auto" w:fill="auto"/>
          </w:tcPr>
          <w:p w14:paraId="47C87614" w14:textId="030FA880" w:rsidR="00EC7141" w:rsidRPr="00EC7141" w:rsidRDefault="00EC7141" w:rsidP="00CB4A31">
            <w:pPr>
              <w:pStyle w:val="Header"/>
              <w:tabs>
                <w:tab w:val="left" w:pos="6300"/>
              </w:tabs>
              <w:spacing w:before="120"/>
              <w:rPr>
                <w:rFonts w:cs="Arial"/>
              </w:rPr>
            </w:pPr>
            <w:r>
              <w:rPr>
                <w:rFonts w:cs="Arial"/>
              </w:rPr>
              <w:t>Thank you for catching our error. Account Coordinators for both categories will be required to support Cardholders.</w:t>
            </w:r>
            <w:r w:rsidR="004A21DA">
              <w:rPr>
                <w:rFonts w:cs="Arial"/>
              </w:rPr>
              <w:br/>
            </w:r>
          </w:p>
        </w:tc>
        <w:tc>
          <w:tcPr>
            <w:tcW w:w="1001" w:type="pct"/>
            <w:shd w:val="clear" w:color="auto" w:fill="auto"/>
          </w:tcPr>
          <w:p w14:paraId="7066A8A4" w14:textId="073CF9A0" w:rsidR="00503665" w:rsidRPr="007842A5" w:rsidRDefault="00EC7141" w:rsidP="007842A5">
            <w:pPr>
              <w:pStyle w:val="Header"/>
              <w:tabs>
                <w:tab w:val="left" w:pos="6300"/>
              </w:tabs>
              <w:spacing w:before="120"/>
            </w:pPr>
            <w:r w:rsidRPr="007842A5">
              <w:t xml:space="preserve">Yes </w:t>
            </w:r>
          </w:p>
        </w:tc>
      </w:tr>
      <w:tr w:rsidR="001C166B" w:rsidRPr="00B319C7" w14:paraId="7BA6B34F" w14:textId="77777777" w:rsidTr="006033DA">
        <w:trPr>
          <w:cantSplit/>
          <w:trHeight w:val="692"/>
        </w:trPr>
        <w:tc>
          <w:tcPr>
            <w:tcW w:w="293" w:type="pct"/>
            <w:shd w:val="clear" w:color="auto" w:fill="auto"/>
          </w:tcPr>
          <w:p w14:paraId="6CB86B3F" w14:textId="385F2379" w:rsidR="00503665" w:rsidRDefault="00503665" w:rsidP="00CB4A31">
            <w:pPr>
              <w:pStyle w:val="Header"/>
              <w:tabs>
                <w:tab w:val="left" w:pos="6300"/>
              </w:tabs>
              <w:spacing w:before="120"/>
              <w:rPr>
                <w:rFonts w:cs="Arial"/>
              </w:rPr>
            </w:pPr>
            <w:r>
              <w:rPr>
                <w:rFonts w:cs="Arial"/>
              </w:rPr>
              <w:lastRenderedPageBreak/>
              <w:t>10</w:t>
            </w:r>
          </w:p>
        </w:tc>
        <w:tc>
          <w:tcPr>
            <w:tcW w:w="1877" w:type="pct"/>
            <w:shd w:val="clear" w:color="auto" w:fill="auto"/>
          </w:tcPr>
          <w:p w14:paraId="79F74FDC" w14:textId="5BBF6544" w:rsidR="00503665" w:rsidRDefault="00503665" w:rsidP="00CB4A31">
            <w:pPr>
              <w:pStyle w:val="Header"/>
              <w:tabs>
                <w:tab w:val="left" w:pos="6300"/>
              </w:tabs>
              <w:spacing w:before="120"/>
              <w:rPr>
                <w:rFonts w:cs="Arial"/>
              </w:rPr>
            </w:pPr>
            <w:r w:rsidRPr="00E9758A">
              <w:rPr>
                <w:rFonts w:cs="Arial"/>
              </w:rPr>
              <w:t xml:space="preserve">In Exhibit B1, Question 8.20, can you define who you would consider to be part </w:t>
            </w:r>
            <w:r w:rsidR="006033DA">
              <w:rPr>
                <w:rFonts w:cs="Arial"/>
              </w:rPr>
              <w:t>of the “customer service team”?</w:t>
            </w:r>
            <w:r w:rsidR="006033DA">
              <w:rPr>
                <w:rFonts w:cs="Arial"/>
              </w:rPr>
              <w:br/>
            </w:r>
          </w:p>
        </w:tc>
        <w:tc>
          <w:tcPr>
            <w:tcW w:w="1829" w:type="pct"/>
            <w:shd w:val="clear" w:color="auto" w:fill="auto"/>
          </w:tcPr>
          <w:p w14:paraId="1FBFB46B" w14:textId="6BCF6029" w:rsidR="00EC7141" w:rsidRPr="00EC7141" w:rsidRDefault="00EC7141" w:rsidP="00A03602">
            <w:pPr>
              <w:pStyle w:val="Header"/>
              <w:tabs>
                <w:tab w:val="left" w:pos="6300"/>
              </w:tabs>
              <w:spacing w:before="120"/>
              <w:rPr>
                <w:rFonts w:cs="Arial"/>
              </w:rPr>
            </w:pPr>
            <w:r>
              <w:rPr>
                <w:rFonts w:cs="Arial"/>
              </w:rPr>
              <w:t xml:space="preserve">In this </w:t>
            </w:r>
            <w:r w:rsidR="00A03602">
              <w:rPr>
                <w:rFonts w:cs="Arial"/>
              </w:rPr>
              <w:t>instance</w:t>
            </w:r>
            <w:r>
              <w:rPr>
                <w:rFonts w:cs="Arial"/>
              </w:rPr>
              <w:t xml:space="preserve"> ‘customer service team’ would include the Relationship Manager, Account Coordinator, and anyone answering a customer service line supporting the awarded Master Agreement and/or Participating Addendum.</w:t>
            </w:r>
            <w:r>
              <w:rPr>
                <w:rFonts w:cs="Arial"/>
              </w:rPr>
              <w:br/>
            </w:r>
          </w:p>
        </w:tc>
        <w:tc>
          <w:tcPr>
            <w:tcW w:w="1001" w:type="pct"/>
            <w:shd w:val="clear" w:color="auto" w:fill="auto"/>
          </w:tcPr>
          <w:p w14:paraId="18792C57" w14:textId="29A3D477" w:rsidR="00503665" w:rsidRDefault="00EC7141" w:rsidP="00CB4A31">
            <w:pPr>
              <w:pStyle w:val="Header"/>
              <w:tabs>
                <w:tab w:val="left" w:pos="6300"/>
              </w:tabs>
              <w:spacing w:before="120"/>
            </w:pPr>
            <w:r>
              <w:t>No.</w:t>
            </w:r>
          </w:p>
        </w:tc>
      </w:tr>
      <w:tr w:rsidR="001C166B" w:rsidRPr="00B319C7" w14:paraId="2470E9DB" w14:textId="77777777" w:rsidTr="00694012">
        <w:trPr>
          <w:cantSplit/>
          <w:trHeight w:val="1965"/>
        </w:trPr>
        <w:tc>
          <w:tcPr>
            <w:tcW w:w="293" w:type="pct"/>
          </w:tcPr>
          <w:p w14:paraId="4539D642" w14:textId="74A4F741" w:rsidR="00503665" w:rsidRPr="00694012" w:rsidRDefault="00503665" w:rsidP="00CB4A31">
            <w:pPr>
              <w:pStyle w:val="Header"/>
              <w:tabs>
                <w:tab w:val="left" w:pos="6300"/>
              </w:tabs>
              <w:spacing w:before="120"/>
              <w:rPr>
                <w:rFonts w:cs="Arial"/>
              </w:rPr>
            </w:pPr>
            <w:r w:rsidRPr="00694012">
              <w:rPr>
                <w:rFonts w:cs="Arial"/>
              </w:rPr>
              <w:t>11</w:t>
            </w:r>
          </w:p>
        </w:tc>
        <w:tc>
          <w:tcPr>
            <w:tcW w:w="1877" w:type="pct"/>
          </w:tcPr>
          <w:p w14:paraId="56DD85DB" w14:textId="1216579C" w:rsidR="00503665" w:rsidRPr="00694012" w:rsidRDefault="00503665" w:rsidP="006033DA">
            <w:pPr>
              <w:pStyle w:val="Header"/>
              <w:tabs>
                <w:tab w:val="left" w:pos="6300"/>
              </w:tabs>
              <w:spacing w:before="120"/>
              <w:rPr>
                <w:rFonts w:cs="Arial"/>
              </w:rPr>
            </w:pPr>
            <w:r w:rsidRPr="00694012">
              <w:rPr>
                <w:rFonts w:cs="Arial"/>
              </w:rPr>
              <w:t xml:space="preserve">In Exhibit B1, Question 11.6, can you please provide more context around scenarios in which you would want cards to be delivered active? </w:t>
            </w:r>
            <w:r w:rsidR="006033DA" w:rsidRPr="00694012">
              <w:rPr>
                <w:rFonts w:cs="Arial"/>
              </w:rPr>
              <w:br/>
            </w:r>
          </w:p>
        </w:tc>
        <w:tc>
          <w:tcPr>
            <w:tcW w:w="1829" w:type="pct"/>
          </w:tcPr>
          <w:p w14:paraId="0B650146" w14:textId="5A310CB2" w:rsidR="00A047EF" w:rsidRPr="00A047EF" w:rsidRDefault="00A047EF" w:rsidP="00D90676">
            <w:pPr>
              <w:pStyle w:val="Header"/>
              <w:tabs>
                <w:tab w:val="left" w:pos="6300"/>
              </w:tabs>
              <w:spacing w:before="120"/>
              <w:rPr>
                <w:rFonts w:cs="Arial"/>
              </w:rPr>
            </w:pPr>
            <w:r>
              <w:rPr>
                <w:rFonts w:cs="Arial"/>
              </w:rPr>
              <w:t xml:space="preserve">Purchasing Entities may </w:t>
            </w:r>
            <w:r w:rsidR="00F77E04">
              <w:rPr>
                <w:rFonts w:cs="Arial"/>
              </w:rPr>
              <w:t>have an internal need</w:t>
            </w:r>
            <w:r w:rsidR="00D90676">
              <w:rPr>
                <w:rFonts w:cs="Arial"/>
              </w:rPr>
              <w:t xml:space="preserve"> – such as a natural disaster- which</w:t>
            </w:r>
            <w:r w:rsidR="00F77E04">
              <w:rPr>
                <w:rFonts w:cs="Arial"/>
              </w:rPr>
              <w:t xml:space="preserve"> requires cards to be shipped in an ‘active’ status. Specific instances are not currently known.</w:t>
            </w:r>
            <w:r w:rsidR="00F77E04">
              <w:rPr>
                <w:rFonts w:cs="Arial"/>
              </w:rPr>
              <w:br/>
            </w:r>
          </w:p>
        </w:tc>
        <w:tc>
          <w:tcPr>
            <w:tcW w:w="1001" w:type="pct"/>
          </w:tcPr>
          <w:p w14:paraId="3CEE7E52" w14:textId="47CB09FB" w:rsidR="00D90676" w:rsidRDefault="00F77E04" w:rsidP="00694012">
            <w:pPr>
              <w:pStyle w:val="Header"/>
              <w:tabs>
                <w:tab w:val="left" w:pos="6300"/>
              </w:tabs>
              <w:spacing w:before="120"/>
            </w:pPr>
            <w:r>
              <w:t>No.</w:t>
            </w:r>
          </w:p>
        </w:tc>
      </w:tr>
      <w:tr w:rsidR="001C166B" w:rsidRPr="00B319C7" w14:paraId="0B1743C7" w14:textId="77777777" w:rsidTr="00694012">
        <w:trPr>
          <w:cantSplit/>
          <w:trHeight w:val="692"/>
        </w:trPr>
        <w:tc>
          <w:tcPr>
            <w:tcW w:w="293" w:type="pct"/>
            <w:shd w:val="clear" w:color="auto" w:fill="auto"/>
          </w:tcPr>
          <w:p w14:paraId="1AC836C6" w14:textId="1C76B04E" w:rsidR="00503665" w:rsidRPr="00694012" w:rsidRDefault="00503665" w:rsidP="00CB4A31">
            <w:pPr>
              <w:pStyle w:val="Header"/>
              <w:tabs>
                <w:tab w:val="left" w:pos="6300"/>
              </w:tabs>
              <w:spacing w:before="120"/>
              <w:rPr>
                <w:rFonts w:cs="Arial"/>
              </w:rPr>
            </w:pPr>
            <w:r w:rsidRPr="00694012">
              <w:rPr>
                <w:rFonts w:cs="Arial"/>
              </w:rPr>
              <w:t>12</w:t>
            </w:r>
          </w:p>
        </w:tc>
        <w:tc>
          <w:tcPr>
            <w:tcW w:w="1877" w:type="pct"/>
            <w:shd w:val="clear" w:color="auto" w:fill="auto"/>
          </w:tcPr>
          <w:p w14:paraId="0420CBC7" w14:textId="77777777" w:rsidR="00503665" w:rsidRPr="00694012" w:rsidRDefault="00503665" w:rsidP="00CB4A31">
            <w:pPr>
              <w:pStyle w:val="Header"/>
              <w:tabs>
                <w:tab w:val="left" w:pos="6300"/>
              </w:tabs>
              <w:spacing w:before="120"/>
              <w:rPr>
                <w:rFonts w:cs="Arial"/>
              </w:rPr>
            </w:pPr>
            <w:r w:rsidRPr="00694012">
              <w:rPr>
                <w:rFonts w:cs="Arial"/>
              </w:rPr>
              <w:t>In Exhibit B1, Question 11.9, we are interpreting this question to be asking what our process is for security issues, or breaches. Is this a correct interpretation? If not, can you please provide more context to your question?</w:t>
            </w:r>
          </w:p>
          <w:p w14:paraId="0DEA16F6" w14:textId="77777777" w:rsidR="00503665" w:rsidRPr="00694012" w:rsidRDefault="00503665" w:rsidP="00CB4A31">
            <w:pPr>
              <w:pStyle w:val="Header"/>
              <w:tabs>
                <w:tab w:val="left" w:pos="6300"/>
              </w:tabs>
              <w:spacing w:before="120"/>
              <w:rPr>
                <w:rFonts w:cs="Arial"/>
              </w:rPr>
            </w:pPr>
          </w:p>
        </w:tc>
        <w:tc>
          <w:tcPr>
            <w:tcW w:w="1829" w:type="pct"/>
            <w:shd w:val="clear" w:color="auto" w:fill="auto"/>
          </w:tcPr>
          <w:p w14:paraId="668F6A9B" w14:textId="77777777" w:rsidR="00F77E04" w:rsidRPr="00694012" w:rsidRDefault="00F77E04" w:rsidP="00CB4A31">
            <w:pPr>
              <w:pStyle w:val="Header"/>
              <w:tabs>
                <w:tab w:val="left" w:pos="6300"/>
              </w:tabs>
              <w:spacing w:before="120"/>
              <w:rPr>
                <w:rFonts w:cs="Arial"/>
              </w:rPr>
            </w:pPr>
            <w:r w:rsidRPr="00694012">
              <w:rPr>
                <w:rFonts w:cs="Arial"/>
              </w:rPr>
              <w:t>This requirement is included in order to grasp how bidders avoid requiring mass re-issuances to a Participating State and/or Purchasing Entity.</w:t>
            </w:r>
          </w:p>
          <w:p w14:paraId="687F845A" w14:textId="1BE4DF52" w:rsidR="00F77E04" w:rsidRPr="00694012" w:rsidRDefault="00F77E04" w:rsidP="00CB4A31">
            <w:pPr>
              <w:pStyle w:val="Header"/>
              <w:tabs>
                <w:tab w:val="left" w:pos="6300"/>
              </w:tabs>
              <w:spacing w:before="120"/>
              <w:rPr>
                <w:rFonts w:cs="Arial"/>
              </w:rPr>
            </w:pPr>
            <w:r w:rsidRPr="00694012">
              <w:rPr>
                <w:rFonts w:cs="Arial"/>
              </w:rPr>
              <w:t>Mass re-issuances could be for any reason – security issues, breach, expiration, etc.</w:t>
            </w:r>
            <w:r w:rsidRPr="00694012">
              <w:rPr>
                <w:rFonts w:cs="Arial"/>
              </w:rPr>
              <w:br/>
            </w:r>
          </w:p>
        </w:tc>
        <w:tc>
          <w:tcPr>
            <w:tcW w:w="1001" w:type="pct"/>
            <w:shd w:val="clear" w:color="auto" w:fill="auto"/>
          </w:tcPr>
          <w:p w14:paraId="7F05583E" w14:textId="11F1CC4C" w:rsidR="00503665" w:rsidRPr="00694012" w:rsidRDefault="00F77E04" w:rsidP="00CB4A31">
            <w:pPr>
              <w:pStyle w:val="Header"/>
              <w:tabs>
                <w:tab w:val="left" w:pos="6300"/>
              </w:tabs>
              <w:spacing w:before="120"/>
            </w:pPr>
            <w:r w:rsidRPr="00694012">
              <w:t>No.</w:t>
            </w:r>
          </w:p>
        </w:tc>
      </w:tr>
      <w:tr w:rsidR="001C166B" w:rsidRPr="00B319C7" w14:paraId="4789D342" w14:textId="77777777" w:rsidTr="00694012">
        <w:trPr>
          <w:cantSplit/>
          <w:trHeight w:val="692"/>
        </w:trPr>
        <w:tc>
          <w:tcPr>
            <w:tcW w:w="293" w:type="pct"/>
            <w:shd w:val="clear" w:color="auto" w:fill="auto"/>
          </w:tcPr>
          <w:p w14:paraId="168FE982" w14:textId="1AF38142" w:rsidR="00503665" w:rsidRDefault="00503665" w:rsidP="00CB4A31">
            <w:pPr>
              <w:pStyle w:val="Header"/>
              <w:tabs>
                <w:tab w:val="left" w:pos="6300"/>
              </w:tabs>
              <w:spacing w:before="120"/>
              <w:rPr>
                <w:rFonts w:cs="Arial"/>
              </w:rPr>
            </w:pPr>
            <w:r>
              <w:rPr>
                <w:rFonts w:cs="Arial"/>
              </w:rPr>
              <w:t>13</w:t>
            </w:r>
          </w:p>
        </w:tc>
        <w:tc>
          <w:tcPr>
            <w:tcW w:w="1877" w:type="pct"/>
            <w:shd w:val="clear" w:color="auto" w:fill="auto"/>
          </w:tcPr>
          <w:p w14:paraId="29FDED41" w14:textId="74F15DF6" w:rsidR="00503665" w:rsidRDefault="00503665" w:rsidP="00CB4A31">
            <w:pPr>
              <w:pStyle w:val="Header"/>
              <w:tabs>
                <w:tab w:val="left" w:pos="6300"/>
              </w:tabs>
              <w:spacing w:before="120"/>
              <w:rPr>
                <w:rFonts w:cs="Arial"/>
              </w:rPr>
            </w:pPr>
            <w:r w:rsidRPr="00E9758A">
              <w:rPr>
                <w:rFonts w:cs="Arial"/>
              </w:rPr>
              <w:t>In Exhibit B1, Question 12.6, are you asking for how our guides are organized, or to provide a s</w:t>
            </w:r>
            <w:r w:rsidR="00694012">
              <w:rPr>
                <w:rFonts w:cs="Arial"/>
              </w:rPr>
              <w:t>ummary of what guides we offer?</w:t>
            </w:r>
          </w:p>
        </w:tc>
        <w:tc>
          <w:tcPr>
            <w:tcW w:w="1829" w:type="pct"/>
            <w:shd w:val="clear" w:color="auto" w:fill="auto"/>
          </w:tcPr>
          <w:p w14:paraId="0D83A5F7" w14:textId="2BF6A6BC" w:rsidR="00F77E04" w:rsidRPr="00F77E04" w:rsidRDefault="00F77E04" w:rsidP="00F77E04">
            <w:pPr>
              <w:pStyle w:val="Header"/>
              <w:tabs>
                <w:tab w:val="left" w:pos="6300"/>
              </w:tabs>
              <w:spacing w:before="120"/>
              <w:rPr>
                <w:rFonts w:cs="Arial"/>
              </w:rPr>
            </w:pPr>
            <w:r>
              <w:rPr>
                <w:rFonts w:cs="Arial"/>
              </w:rPr>
              <w:t>This narrative response should include a description of the User reference guides available to system users. Bidders may choose to include a description of how the guides are organized.</w:t>
            </w:r>
            <w:r>
              <w:rPr>
                <w:rFonts w:cs="Arial"/>
              </w:rPr>
              <w:br/>
            </w:r>
          </w:p>
        </w:tc>
        <w:tc>
          <w:tcPr>
            <w:tcW w:w="1001" w:type="pct"/>
            <w:shd w:val="clear" w:color="auto" w:fill="auto"/>
          </w:tcPr>
          <w:p w14:paraId="0E82B5EC" w14:textId="02BE7D37" w:rsidR="00503665" w:rsidRDefault="00F77E04" w:rsidP="00CB4A31">
            <w:pPr>
              <w:pStyle w:val="Header"/>
              <w:tabs>
                <w:tab w:val="left" w:pos="6300"/>
              </w:tabs>
              <w:spacing w:before="120"/>
            </w:pPr>
            <w:r>
              <w:t>No.</w:t>
            </w:r>
          </w:p>
        </w:tc>
      </w:tr>
      <w:tr w:rsidR="001C166B" w:rsidRPr="00B319C7" w14:paraId="3EE02A80" w14:textId="77777777" w:rsidTr="0099033B">
        <w:trPr>
          <w:cantSplit/>
          <w:trHeight w:val="692"/>
        </w:trPr>
        <w:tc>
          <w:tcPr>
            <w:tcW w:w="293" w:type="pct"/>
          </w:tcPr>
          <w:p w14:paraId="3AA0465A" w14:textId="288D2EB8" w:rsidR="00503665" w:rsidRDefault="00503665" w:rsidP="00CB4A31">
            <w:pPr>
              <w:pStyle w:val="Header"/>
              <w:tabs>
                <w:tab w:val="left" w:pos="6300"/>
              </w:tabs>
              <w:spacing w:before="120"/>
              <w:rPr>
                <w:rFonts w:cs="Arial"/>
              </w:rPr>
            </w:pPr>
            <w:bookmarkStart w:id="5" w:name="Question_14"/>
            <w:r>
              <w:rPr>
                <w:rFonts w:cs="Arial"/>
              </w:rPr>
              <w:t>14</w:t>
            </w:r>
            <w:bookmarkEnd w:id="5"/>
          </w:p>
        </w:tc>
        <w:tc>
          <w:tcPr>
            <w:tcW w:w="1877" w:type="pct"/>
          </w:tcPr>
          <w:p w14:paraId="31B7B2DA" w14:textId="2ACCA019" w:rsidR="00503665" w:rsidRDefault="00503665" w:rsidP="00CB4A31">
            <w:pPr>
              <w:pStyle w:val="Header"/>
              <w:tabs>
                <w:tab w:val="left" w:pos="6300"/>
              </w:tabs>
              <w:spacing w:before="120"/>
              <w:rPr>
                <w:rFonts w:cs="Arial"/>
              </w:rPr>
            </w:pPr>
            <w:bookmarkStart w:id="6" w:name="_Hlk11389767"/>
            <w:r w:rsidRPr="00E9758A">
              <w:rPr>
                <w:rFonts w:cs="Arial"/>
              </w:rPr>
              <w:t>In Exhibit B1, Question 13.5, we believe we would adhere to this requirement as all electronic statements are available within 24 hours of the billing cycle. Can you confirm that this statement adheres to the spirit of the request?</w:t>
            </w:r>
            <w:bookmarkEnd w:id="6"/>
            <w:r w:rsidR="000C4BE1">
              <w:rPr>
                <w:rFonts w:cs="Arial"/>
              </w:rPr>
              <w:br/>
            </w:r>
          </w:p>
        </w:tc>
        <w:tc>
          <w:tcPr>
            <w:tcW w:w="1829" w:type="pct"/>
          </w:tcPr>
          <w:p w14:paraId="6F552BF6" w14:textId="607584C3" w:rsidR="00F77E04" w:rsidRPr="00F77E04" w:rsidRDefault="00BC31FC" w:rsidP="00BC31FC">
            <w:pPr>
              <w:pStyle w:val="Header"/>
              <w:tabs>
                <w:tab w:val="left" w:pos="6300"/>
              </w:tabs>
              <w:spacing w:before="120"/>
              <w:rPr>
                <w:rFonts w:cs="Arial"/>
              </w:rPr>
            </w:pPr>
            <w:r>
              <w:rPr>
                <w:rFonts w:cs="Arial"/>
              </w:rPr>
              <w:t>For accounts that have elected to receive statements, electronically available statements are acceptable.</w:t>
            </w:r>
            <w:r w:rsidR="00F77E04">
              <w:rPr>
                <w:rFonts w:cs="Arial"/>
              </w:rPr>
              <w:br/>
            </w:r>
          </w:p>
        </w:tc>
        <w:tc>
          <w:tcPr>
            <w:tcW w:w="1001" w:type="pct"/>
          </w:tcPr>
          <w:p w14:paraId="3184633F" w14:textId="31BCCA0A" w:rsidR="00503665" w:rsidRDefault="007842A5" w:rsidP="00CB4A31">
            <w:pPr>
              <w:pStyle w:val="Header"/>
              <w:tabs>
                <w:tab w:val="left" w:pos="6300"/>
              </w:tabs>
              <w:spacing w:before="120"/>
            </w:pPr>
            <w:r>
              <w:t>Yes.</w:t>
            </w:r>
          </w:p>
        </w:tc>
      </w:tr>
      <w:tr w:rsidR="001C166B" w:rsidRPr="00B319C7" w14:paraId="7DD46133" w14:textId="77777777" w:rsidTr="0099033B">
        <w:trPr>
          <w:cantSplit/>
          <w:trHeight w:val="692"/>
        </w:trPr>
        <w:tc>
          <w:tcPr>
            <w:tcW w:w="293" w:type="pct"/>
          </w:tcPr>
          <w:p w14:paraId="38CB3655" w14:textId="0C269F74" w:rsidR="00503665" w:rsidRDefault="00503665" w:rsidP="00CB4A31">
            <w:pPr>
              <w:pStyle w:val="Header"/>
              <w:tabs>
                <w:tab w:val="left" w:pos="6300"/>
              </w:tabs>
              <w:spacing w:before="120"/>
              <w:rPr>
                <w:rFonts w:cs="Arial"/>
              </w:rPr>
            </w:pPr>
            <w:r>
              <w:rPr>
                <w:rFonts w:cs="Arial"/>
              </w:rPr>
              <w:lastRenderedPageBreak/>
              <w:t>15</w:t>
            </w:r>
          </w:p>
        </w:tc>
        <w:tc>
          <w:tcPr>
            <w:tcW w:w="1877" w:type="pct"/>
          </w:tcPr>
          <w:p w14:paraId="6DCFD4EF" w14:textId="77777777" w:rsidR="00503665" w:rsidRPr="00E9758A" w:rsidRDefault="00503665" w:rsidP="00CB4A31">
            <w:pPr>
              <w:pStyle w:val="Header"/>
              <w:tabs>
                <w:tab w:val="left" w:pos="6300"/>
              </w:tabs>
              <w:spacing w:before="120"/>
              <w:rPr>
                <w:rFonts w:cs="Arial"/>
              </w:rPr>
            </w:pPr>
            <w:r w:rsidRPr="00E9758A">
              <w:rPr>
                <w:rFonts w:cs="Arial"/>
              </w:rPr>
              <w:t>In Exhibit B1, Question 15.3, you list “merchant disputes” as an occurrence requiring fraud protection coverage. Due to the fact the Associations do not consider merchant disputes as fraud, would you consider removing this bullet from the mandatory requirement?</w:t>
            </w:r>
          </w:p>
          <w:p w14:paraId="66F03FCE" w14:textId="77777777" w:rsidR="00503665" w:rsidRDefault="00503665" w:rsidP="00CB4A31">
            <w:pPr>
              <w:pStyle w:val="Header"/>
              <w:tabs>
                <w:tab w:val="left" w:pos="6300"/>
              </w:tabs>
              <w:spacing w:before="120"/>
              <w:rPr>
                <w:rFonts w:cs="Arial"/>
              </w:rPr>
            </w:pPr>
          </w:p>
        </w:tc>
        <w:tc>
          <w:tcPr>
            <w:tcW w:w="1829" w:type="pct"/>
          </w:tcPr>
          <w:p w14:paraId="29CCB561" w14:textId="117A0496" w:rsidR="00503665" w:rsidRDefault="000C4BE1" w:rsidP="00CB4A31">
            <w:pPr>
              <w:pStyle w:val="Header"/>
              <w:tabs>
                <w:tab w:val="left" w:pos="6300"/>
              </w:tabs>
              <w:spacing w:before="120"/>
              <w:rPr>
                <w:rFonts w:cs="Arial"/>
              </w:rPr>
            </w:pPr>
            <w:r>
              <w:rPr>
                <w:rFonts w:cs="Arial"/>
              </w:rPr>
              <w:t>Merchant disputes have been removed from list of fraud types.</w:t>
            </w:r>
          </w:p>
        </w:tc>
        <w:tc>
          <w:tcPr>
            <w:tcW w:w="1001" w:type="pct"/>
          </w:tcPr>
          <w:p w14:paraId="2D57012A" w14:textId="29780C04" w:rsidR="00503665" w:rsidRDefault="000C4BE1" w:rsidP="00CB4A31">
            <w:pPr>
              <w:pStyle w:val="Header"/>
              <w:tabs>
                <w:tab w:val="left" w:pos="6300"/>
              </w:tabs>
              <w:spacing w:before="120"/>
            </w:pPr>
            <w:r>
              <w:t>Yes.</w:t>
            </w:r>
          </w:p>
        </w:tc>
      </w:tr>
      <w:tr w:rsidR="001C166B" w:rsidRPr="00B319C7" w14:paraId="0C96162B" w14:textId="77777777" w:rsidTr="00492823">
        <w:trPr>
          <w:cantSplit/>
          <w:trHeight w:val="692"/>
        </w:trPr>
        <w:tc>
          <w:tcPr>
            <w:tcW w:w="293" w:type="pct"/>
            <w:shd w:val="clear" w:color="auto" w:fill="auto"/>
          </w:tcPr>
          <w:p w14:paraId="57A1E387" w14:textId="3F131136" w:rsidR="00503665" w:rsidRDefault="00503665" w:rsidP="00CB4A31">
            <w:pPr>
              <w:pStyle w:val="Header"/>
              <w:tabs>
                <w:tab w:val="left" w:pos="6300"/>
              </w:tabs>
              <w:spacing w:before="120"/>
              <w:rPr>
                <w:rFonts w:cs="Arial"/>
              </w:rPr>
            </w:pPr>
            <w:bookmarkStart w:id="7" w:name="Question_16"/>
            <w:r>
              <w:rPr>
                <w:rFonts w:cs="Arial"/>
              </w:rPr>
              <w:t>16</w:t>
            </w:r>
            <w:bookmarkEnd w:id="7"/>
          </w:p>
        </w:tc>
        <w:tc>
          <w:tcPr>
            <w:tcW w:w="1877" w:type="pct"/>
            <w:shd w:val="clear" w:color="auto" w:fill="auto"/>
          </w:tcPr>
          <w:p w14:paraId="4923202A" w14:textId="77777777" w:rsidR="00503665" w:rsidRPr="00E9758A" w:rsidRDefault="00503665" w:rsidP="00CB4A31">
            <w:pPr>
              <w:pStyle w:val="Header"/>
              <w:tabs>
                <w:tab w:val="left" w:pos="6300"/>
              </w:tabs>
              <w:spacing w:before="120"/>
              <w:rPr>
                <w:rFonts w:cs="Arial"/>
              </w:rPr>
            </w:pPr>
            <w:r w:rsidRPr="00E9758A">
              <w:rPr>
                <w:rFonts w:cs="Arial"/>
              </w:rPr>
              <w:t>In Exhibit B1, Question 15.7, can you clarify what you mean by “reporter’s credentials”?</w:t>
            </w:r>
          </w:p>
          <w:p w14:paraId="78A29193" w14:textId="77777777" w:rsidR="00503665" w:rsidRDefault="00503665" w:rsidP="00CB4A31">
            <w:pPr>
              <w:pStyle w:val="Header"/>
              <w:tabs>
                <w:tab w:val="left" w:pos="6300"/>
              </w:tabs>
              <w:spacing w:before="120"/>
              <w:rPr>
                <w:rFonts w:cs="Arial"/>
              </w:rPr>
            </w:pPr>
          </w:p>
        </w:tc>
        <w:tc>
          <w:tcPr>
            <w:tcW w:w="1829" w:type="pct"/>
            <w:shd w:val="clear" w:color="auto" w:fill="auto"/>
          </w:tcPr>
          <w:p w14:paraId="0FB7A4F3" w14:textId="1B73F4A2" w:rsidR="00A03602" w:rsidRPr="00A03602" w:rsidRDefault="00C94C47" w:rsidP="00C94C47">
            <w:pPr>
              <w:pStyle w:val="Header"/>
              <w:tabs>
                <w:tab w:val="left" w:pos="6300"/>
              </w:tabs>
              <w:spacing w:before="120"/>
              <w:rPr>
                <w:rFonts w:cs="Arial"/>
              </w:rPr>
            </w:pPr>
            <w:r>
              <w:rPr>
                <w:rFonts w:cs="Arial"/>
              </w:rPr>
              <w:t>From this question, we are trying to determine how the bidder will</w:t>
            </w:r>
            <w:r w:rsidR="00A03602">
              <w:rPr>
                <w:rFonts w:cs="Arial"/>
              </w:rPr>
              <w:t xml:space="preserve"> ensure the person reporting the fraud has the authority/rights to report fraud for that account.</w:t>
            </w:r>
            <w:r w:rsidR="00A03602">
              <w:rPr>
                <w:rFonts w:cs="Arial"/>
              </w:rPr>
              <w:br/>
            </w:r>
          </w:p>
        </w:tc>
        <w:tc>
          <w:tcPr>
            <w:tcW w:w="1001" w:type="pct"/>
            <w:shd w:val="clear" w:color="auto" w:fill="auto"/>
          </w:tcPr>
          <w:p w14:paraId="133FAB2A" w14:textId="2E14726F" w:rsidR="00503665" w:rsidRDefault="00B116EF" w:rsidP="00CB4A31">
            <w:pPr>
              <w:pStyle w:val="Header"/>
              <w:tabs>
                <w:tab w:val="left" w:pos="6300"/>
              </w:tabs>
              <w:spacing w:before="120"/>
            </w:pPr>
            <w:r>
              <w:t>No.</w:t>
            </w:r>
          </w:p>
        </w:tc>
      </w:tr>
      <w:tr w:rsidR="001C166B" w:rsidRPr="00B319C7" w14:paraId="239B2681" w14:textId="77777777" w:rsidTr="0099033B">
        <w:trPr>
          <w:cantSplit/>
          <w:trHeight w:val="692"/>
        </w:trPr>
        <w:tc>
          <w:tcPr>
            <w:tcW w:w="293" w:type="pct"/>
          </w:tcPr>
          <w:p w14:paraId="74DD3407" w14:textId="340B676E" w:rsidR="00503665" w:rsidRDefault="00503665" w:rsidP="00CB4A31">
            <w:pPr>
              <w:pStyle w:val="Header"/>
              <w:tabs>
                <w:tab w:val="left" w:pos="6300"/>
              </w:tabs>
              <w:spacing w:before="120"/>
              <w:rPr>
                <w:rFonts w:cs="Arial"/>
              </w:rPr>
            </w:pPr>
            <w:bookmarkStart w:id="8" w:name="Question_17"/>
            <w:r>
              <w:rPr>
                <w:rFonts w:cs="Arial"/>
              </w:rPr>
              <w:t>17</w:t>
            </w:r>
            <w:bookmarkEnd w:id="8"/>
          </w:p>
        </w:tc>
        <w:tc>
          <w:tcPr>
            <w:tcW w:w="1877" w:type="pct"/>
          </w:tcPr>
          <w:p w14:paraId="43CA2448" w14:textId="77777777" w:rsidR="00503665" w:rsidRPr="00E9758A" w:rsidRDefault="00503665" w:rsidP="00CB4A31">
            <w:pPr>
              <w:pStyle w:val="Header"/>
              <w:tabs>
                <w:tab w:val="left" w:pos="6300"/>
              </w:tabs>
              <w:spacing w:before="120"/>
              <w:rPr>
                <w:rFonts w:cs="Arial"/>
              </w:rPr>
            </w:pPr>
            <w:r w:rsidRPr="00E9758A">
              <w:rPr>
                <w:rFonts w:cs="Arial"/>
              </w:rPr>
              <w:t>In Exhibit B1, Question 15.9, can you define what you would consider a mass attack? We believe you are trying to define a credit master run but can you clarify? Would it be possible to provide an example for additional clarity?</w:t>
            </w:r>
          </w:p>
          <w:p w14:paraId="6521EA86" w14:textId="77777777" w:rsidR="00503665" w:rsidRDefault="00503665" w:rsidP="00CB4A31">
            <w:pPr>
              <w:pStyle w:val="Header"/>
              <w:tabs>
                <w:tab w:val="left" w:pos="6300"/>
              </w:tabs>
              <w:spacing w:before="120"/>
              <w:rPr>
                <w:rFonts w:cs="Arial"/>
              </w:rPr>
            </w:pPr>
          </w:p>
        </w:tc>
        <w:tc>
          <w:tcPr>
            <w:tcW w:w="1829" w:type="pct"/>
          </w:tcPr>
          <w:p w14:paraId="612F0BCA" w14:textId="095D7C0E" w:rsidR="00A03602" w:rsidRPr="00A03602" w:rsidRDefault="00A03602" w:rsidP="00492823">
            <w:pPr>
              <w:pStyle w:val="Header"/>
              <w:tabs>
                <w:tab w:val="left" w:pos="6300"/>
              </w:tabs>
              <w:spacing w:before="120"/>
              <w:rPr>
                <w:rFonts w:cs="Arial"/>
              </w:rPr>
            </w:pPr>
            <w:r>
              <w:rPr>
                <w:rFonts w:cs="Arial"/>
              </w:rPr>
              <w:t>In this instance ‘mass attacks’ means a</w:t>
            </w:r>
            <w:r w:rsidR="00492823">
              <w:rPr>
                <w:rFonts w:cs="Arial"/>
              </w:rPr>
              <w:t xml:space="preserve">ny large volume </w:t>
            </w:r>
            <w:r>
              <w:rPr>
                <w:rFonts w:cs="Arial"/>
              </w:rPr>
              <w:t xml:space="preserve">attack of </w:t>
            </w:r>
            <w:r w:rsidR="00E7207D">
              <w:rPr>
                <w:rFonts w:cs="Arial"/>
              </w:rPr>
              <w:t xml:space="preserve">multiple </w:t>
            </w:r>
            <w:r>
              <w:rPr>
                <w:rFonts w:cs="Arial"/>
              </w:rPr>
              <w:t>fraudulent activities</w:t>
            </w:r>
            <w:r w:rsidR="00E7207D">
              <w:rPr>
                <w:rFonts w:cs="Arial"/>
              </w:rPr>
              <w:t xml:space="preserve"> ranging in dollar amounts and impacting multiple cards during the same time period</w:t>
            </w:r>
            <w:r>
              <w:rPr>
                <w:rFonts w:cs="Arial"/>
              </w:rPr>
              <w:t>.</w:t>
            </w:r>
          </w:p>
        </w:tc>
        <w:tc>
          <w:tcPr>
            <w:tcW w:w="1001" w:type="pct"/>
          </w:tcPr>
          <w:p w14:paraId="64E440E9" w14:textId="3D1F8AF5" w:rsidR="00503665" w:rsidRDefault="007A3546" w:rsidP="00CB4A31">
            <w:pPr>
              <w:pStyle w:val="Header"/>
              <w:tabs>
                <w:tab w:val="left" w:pos="6300"/>
              </w:tabs>
              <w:spacing w:before="120"/>
            </w:pPr>
            <w:r>
              <w:t>No.</w:t>
            </w:r>
          </w:p>
        </w:tc>
      </w:tr>
      <w:tr w:rsidR="001C166B" w:rsidRPr="00B319C7" w14:paraId="18CCD367" w14:textId="77777777" w:rsidTr="0099033B">
        <w:trPr>
          <w:cantSplit/>
          <w:trHeight w:val="692"/>
        </w:trPr>
        <w:tc>
          <w:tcPr>
            <w:tcW w:w="293" w:type="pct"/>
          </w:tcPr>
          <w:p w14:paraId="1220E002" w14:textId="69D33E26" w:rsidR="00503665" w:rsidRDefault="00503665" w:rsidP="00CB4A31">
            <w:pPr>
              <w:pStyle w:val="Header"/>
              <w:tabs>
                <w:tab w:val="left" w:pos="6300"/>
              </w:tabs>
              <w:spacing w:before="120"/>
              <w:rPr>
                <w:rFonts w:cs="Arial"/>
              </w:rPr>
            </w:pPr>
            <w:bookmarkStart w:id="9" w:name="Question_18"/>
            <w:r>
              <w:rPr>
                <w:rFonts w:cs="Arial"/>
              </w:rPr>
              <w:t>18</w:t>
            </w:r>
            <w:bookmarkEnd w:id="9"/>
          </w:p>
        </w:tc>
        <w:tc>
          <w:tcPr>
            <w:tcW w:w="1877" w:type="pct"/>
          </w:tcPr>
          <w:p w14:paraId="073D26ED" w14:textId="77777777" w:rsidR="00503665" w:rsidRPr="00E9758A" w:rsidRDefault="00503665" w:rsidP="00CB4A31">
            <w:pPr>
              <w:pStyle w:val="Header"/>
              <w:tabs>
                <w:tab w:val="left" w:pos="6300"/>
              </w:tabs>
              <w:spacing w:before="120"/>
              <w:rPr>
                <w:rFonts w:cs="Arial"/>
              </w:rPr>
            </w:pPr>
            <w:r w:rsidRPr="00E9758A">
              <w:rPr>
                <w:rFonts w:cs="Arial"/>
              </w:rPr>
              <w:t>Regarding your definition of File Turn within Exhibit H of the solicitation document, can you clarify the difference between file turn and client held days?</w:t>
            </w:r>
          </w:p>
          <w:p w14:paraId="123E6899" w14:textId="77777777" w:rsidR="00503665" w:rsidRDefault="00503665" w:rsidP="00CB4A31">
            <w:pPr>
              <w:pStyle w:val="Header"/>
              <w:tabs>
                <w:tab w:val="left" w:pos="6300"/>
              </w:tabs>
              <w:spacing w:before="120"/>
              <w:rPr>
                <w:rFonts w:cs="Arial"/>
              </w:rPr>
            </w:pPr>
          </w:p>
        </w:tc>
        <w:tc>
          <w:tcPr>
            <w:tcW w:w="1829" w:type="pct"/>
          </w:tcPr>
          <w:p w14:paraId="7F3F6E13" w14:textId="7D7731AF" w:rsidR="00E7207D" w:rsidRPr="00937423" w:rsidRDefault="00E7207D" w:rsidP="00937423">
            <w:pPr>
              <w:pStyle w:val="Header"/>
              <w:tabs>
                <w:tab w:val="left" w:pos="6300"/>
              </w:tabs>
              <w:spacing w:before="120"/>
              <w:rPr>
                <w:rFonts w:cs="Arial"/>
              </w:rPr>
            </w:pPr>
            <w:r>
              <w:rPr>
                <w:rFonts w:cs="Arial"/>
              </w:rPr>
              <w:t xml:space="preserve">File turn and Client-held days have been updated in Exhibit H – Definitions. </w:t>
            </w:r>
            <w:r>
              <w:rPr>
                <w:rFonts w:cs="Arial"/>
              </w:rPr>
              <w:br/>
            </w:r>
          </w:p>
        </w:tc>
        <w:tc>
          <w:tcPr>
            <w:tcW w:w="1001" w:type="pct"/>
          </w:tcPr>
          <w:p w14:paraId="3F6ECD75" w14:textId="392574B9" w:rsidR="00503665" w:rsidRDefault="00BC7FF6" w:rsidP="00CB4A31">
            <w:pPr>
              <w:pStyle w:val="Header"/>
              <w:tabs>
                <w:tab w:val="left" w:pos="6300"/>
              </w:tabs>
              <w:spacing w:before="120"/>
            </w:pPr>
            <w:r w:rsidRPr="00BC7FF6">
              <w:t>Yes.</w:t>
            </w:r>
          </w:p>
        </w:tc>
      </w:tr>
      <w:tr w:rsidR="001C166B" w:rsidRPr="00B319C7" w14:paraId="5A9EE1B0" w14:textId="77777777" w:rsidTr="0099033B">
        <w:trPr>
          <w:cantSplit/>
          <w:trHeight w:val="692"/>
        </w:trPr>
        <w:tc>
          <w:tcPr>
            <w:tcW w:w="293" w:type="pct"/>
          </w:tcPr>
          <w:p w14:paraId="0D7A717B" w14:textId="0DD94250" w:rsidR="00503665" w:rsidRDefault="00503665" w:rsidP="00CB4A31">
            <w:pPr>
              <w:pStyle w:val="Header"/>
              <w:tabs>
                <w:tab w:val="left" w:pos="6300"/>
              </w:tabs>
              <w:spacing w:before="120"/>
              <w:rPr>
                <w:rFonts w:cs="Arial"/>
              </w:rPr>
            </w:pPr>
            <w:r>
              <w:rPr>
                <w:rFonts w:cs="Arial"/>
              </w:rPr>
              <w:lastRenderedPageBreak/>
              <w:t>19</w:t>
            </w:r>
          </w:p>
        </w:tc>
        <w:tc>
          <w:tcPr>
            <w:tcW w:w="1877" w:type="pct"/>
          </w:tcPr>
          <w:p w14:paraId="2D6041BE" w14:textId="03EC9594" w:rsidR="00503665" w:rsidRDefault="00503665" w:rsidP="004A15CF">
            <w:pPr>
              <w:pStyle w:val="Header"/>
              <w:tabs>
                <w:tab w:val="left" w:pos="6300"/>
              </w:tabs>
              <w:spacing w:before="120"/>
              <w:rPr>
                <w:rFonts w:cs="Arial"/>
              </w:rPr>
            </w:pPr>
            <w:r w:rsidRPr="00E9758A">
              <w:rPr>
                <w:rFonts w:cs="Arial"/>
              </w:rPr>
              <w:t>In Exhibit C1, Fees, if these are the only fees allowed, it could prevent a participant from being able to perform certain functionalities. Is that an aspect you want to be included in the contract? Would you allow us to include additional fees subject to usability from participants? For example, most states don't allow cash functionality, but some universities have it as an option. Would we be able to include a fee such as this?</w:t>
            </w:r>
            <w:r w:rsidR="004A15CF">
              <w:rPr>
                <w:rFonts w:cs="Arial"/>
              </w:rPr>
              <w:br/>
            </w:r>
          </w:p>
        </w:tc>
        <w:tc>
          <w:tcPr>
            <w:tcW w:w="1829" w:type="pct"/>
          </w:tcPr>
          <w:p w14:paraId="44D5B517" w14:textId="77777777" w:rsidR="00DB3519" w:rsidRDefault="00811701" w:rsidP="00BC7FF6">
            <w:pPr>
              <w:pStyle w:val="Header"/>
              <w:tabs>
                <w:tab w:val="left" w:pos="6300"/>
              </w:tabs>
              <w:spacing w:before="120"/>
              <w:rPr>
                <w:rFonts w:cs="Arial"/>
              </w:rPr>
            </w:pPr>
            <w:r>
              <w:rPr>
                <w:rFonts w:cs="Arial"/>
              </w:rPr>
              <w:t xml:space="preserve">Bidders may choose to offer other supplemental type complimentary services and/ or for fee services. </w:t>
            </w:r>
          </w:p>
          <w:p w14:paraId="60C6E97E" w14:textId="5369710E" w:rsidR="00811701" w:rsidRDefault="00811701" w:rsidP="00811701">
            <w:pPr>
              <w:pStyle w:val="Header"/>
              <w:tabs>
                <w:tab w:val="left" w:pos="6300"/>
              </w:tabs>
              <w:spacing w:before="120"/>
              <w:rPr>
                <w:rFonts w:cs="Arial"/>
              </w:rPr>
            </w:pPr>
            <w:r>
              <w:rPr>
                <w:rFonts w:cs="Arial"/>
              </w:rPr>
              <w:t>Descriptions of these services and/or</w:t>
            </w:r>
            <w:r w:rsidR="007A3546">
              <w:rPr>
                <w:rFonts w:cs="Arial"/>
              </w:rPr>
              <w:t xml:space="preserve"> </w:t>
            </w:r>
            <w:r>
              <w:rPr>
                <w:rFonts w:cs="Arial"/>
              </w:rPr>
              <w:t>fees should be included in Exhibit</w:t>
            </w:r>
            <w:r w:rsidR="004A15CF">
              <w:rPr>
                <w:rFonts w:cs="Arial"/>
              </w:rPr>
              <w:t>s</w:t>
            </w:r>
            <w:r>
              <w:rPr>
                <w:rFonts w:cs="Arial"/>
              </w:rPr>
              <w:t xml:space="preserve"> J</w:t>
            </w:r>
            <w:r w:rsidR="004A15CF">
              <w:rPr>
                <w:rFonts w:cs="Arial"/>
              </w:rPr>
              <w:t>1 or J2</w:t>
            </w:r>
            <w:r>
              <w:rPr>
                <w:rFonts w:cs="Arial"/>
              </w:rPr>
              <w:t xml:space="preserve"> – Supplement</w:t>
            </w:r>
            <w:r w:rsidR="007A3546">
              <w:rPr>
                <w:rFonts w:cs="Arial"/>
              </w:rPr>
              <w:t>al</w:t>
            </w:r>
            <w:r>
              <w:rPr>
                <w:rFonts w:cs="Arial"/>
              </w:rPr>
              <w:t xml:space="preserve"> Services</w:t>
            </w:r>
            <w:r w:rsidR="004A15CF">
              <w:rPr>
                <w:rFonts w:cs="Arial"/>
              </w:rPr>
              <w:t>, respectively</w:t>
            </w:r>
            <w:r>
              <w:rPr>
                <w:rFonts w:cs="Arial"/>
              </w:rPr>
              <w:t>.</w:t>
            </w:r>
          </w:p>
        </w:tc>
        <w:tc>
          <w:tcPr>
            <w:tcW w:w="1001" w:type="pct"/>
          </w:tcPr>
          <w:p w14:paraId="49F86DF3" w14:textId="0534522F" w:rsidR="00503665" w:rsidRDefault="004A15CF" w:rsidP="00CB4A31">
            <w:pPr>
              <w:pStyle w:val="Header"/>
              <w:tabs>
                <w:tab w:val="left" w:pos="6300"/>
              </w:tabs>
              <w:spacing w:before="120"/>
            </w:pPr>
            <w:r>
              <w:t>Yes</w:t>
            </w:r>
          </w:p>
        </w:tc>
      </w:tr>
      <w:tr w:rsidR="001C166B" w:rsidRPr="00B319C7" w14:paraId="1592A313" w14:textId="77777777" w:rsidTr="004A15CF">
        <w:trPr>
          <w:cantSplit/>
          <w:trHeight w:val="692"/>
        </w:trPr>
        <w:tc>
          <w:tcPr>
            <w:tcW w:w="293" w:type="pct"/>
            <w:shd w:val="clear" w:color="auto" w:fill="auto"/>
          </w:tcPr>
          <w:p w14:paraId="1C44F1AF" w14:textId="60025475" w:rsidR="00503665" w:rsidRDefault="00503665" w:rsidP="00CB4A31">
            <w:pPr>
              <w:pStyle w:val="Header"/>
              <w:tabs>
                <w:tab w:val="left" w:pos="6300"/>
              </w:tabs>
              <w:spacing w:before="120"/>
              <w:rPr>
                <w:rFonts w:cs="Arial"/>
              </w:rPr>
            </w:pPr>
            <w:r>
              <w:rPr>
                <w:rFonts w:cs="Arial"/>
              </w:rPr>
              <w:t>20</w:t>
            </w:r>
          </w:p>
        </w:tc>
        <w:tc>
          <w:tcPr>
            <w:tcW w:w="1877" w:type="pct"/>
            <w:shd w:val="clear" w:color="auto" w:fill="auto"/>
          </w:tcPr>
          <w:p w14:paraId="63035FA9" w14:textId="77777777" w:rsidR="00503665" w:rsidRPr="00E9758A" w:rsidRDefault="00503665" w:rsidP="00CB4A31">
            <w:pPr>
              <w:pStyle w:val="Header"/>
              <w:tabs>
                <w:tab w:val="left" w:pos="6300"/>
              </w:tabs>
              <w:spacing w:before="120"/>
              <w:rPr>
                <w:rFonts w:cs="Arial"/>
              </w:rPr>
            </w:pPr>
            <w:r w:rsidRPr="00E9758A">
              <w:rPr>
                <w:rFonts w:cs="Arial"/>
              </w:rPr>
              <w:t>In Exhibit I, 2018 Program Details, you do not provide information for Colorado. Would you be able to provide any information for this state?</w:t>
            </w:r>
          </w:p>
          <w:p w14:paraId="1BF88AC3" w14:textId="77777777" w:rsidR="00503665" w:rsidRDefault="00503665" w:rsidP="00CB4A31">
            <w:pPr>
              <w:pStyle w:val="Header"/>
              <w:tabs>
                <w:tab w:val="left" w:pos="6300"/>
              </w:tabs>
              <w:spacing w:before="120"/>
              <w:rPr>
                <w:rFonts w:cs="Arial"/>
              </w:rPr>
            </w:pPr>
          </w:p>
        </w:tc>
        <w:tc>
          <w:tcPr>
            <w:tcW w:w="1829" w:type="pct"/>
            <w:shd w:val="clear" w:color="auto" w:fill="auto"/>
          </w:tcPr>
          <w:p w14:paraId="28F0198E" w14:textId="60561410" w:rsidR="00503665" w:rsidRDefault="00937423" w:rsidP="00CB4A31">
            <w:pPr>
              <w:pStyle w:val="Header"/>
              <w:tabs>
                <w:tab w:val="left" w:pos="6300"/>
              </w:tabs>
              <w:spacing w:before="120"/>
              <w:rPr>
                <w:rFonts w:cs="Arial"/>
              </w:rPr>
            </w:pPr>
            <w:r>
              <w:rPr>
                <w:rFonts w:cs="Arial"/>
              </w:rPr>
              <w:t>Purchase Card volume details for Colorado were added in Amendment 2, posted on 6/18/2019.</w:t>
            </w:r>
          </w:p>
        </w:tc>
        <w:tc>
          <w:tcPr>
            <w:tcW w:w="1001" w:type="pct"/>
            <w:shd w:val="clear" w:color="auto" w:fill="auto"/>
          </w:tcPr>
          <w:p w14:paraId="1E1137B3" w14:textId="72B2A0BB" w:rsidR="00503665" w:rsidRDefault="00937423" w:rsidP="00CB4A31">
            <w:pPr>
              <w:pStyle w:val="Header"/>
              <w:tabs>
                <w:tab w:val="left" w:pos="6300"/>
              </w:tabs>
              <w:spacing w:before="120"/>
            </w:pPr>
            <w:r>
              <w:t>No.</w:t>
            </w:r>
          </w:p>
        </w:tc>
      </w:tr>
      <w:tr w:rsidR="001C166B" w:rsidRPr="00B319C7" w14:paraId="495E483C" w14:textId="77777777" w:rsidTr="0099033B">
        <w:trPr>
          <w:cantSplit/>
          <w:trHeight w:val="692"/>
        </w:trPr>
        <w:tc>
          <w:tcPr>
            <w:tcW w:w="293" w:type="pct"/>
          </w:tcPr>
          <w:p w14:paraId="11B9F3D7" w14:textId="7F8EBED0" w:rsidR="00503665" w:rsidRDefault="00503665" w:rsidP="00CB4A31">
            <w:pPr>
              <w:pStyle w:val="Header"/>
              <w:tabs>
                <w:tab w:val="left" w:pos="6300"/>
              </w:tabs>
              <w:spacing w:before="120"/>
              <w:rPr>
                <w:rFonts w:cs="Arial"/>
              </w:rPr>
            </w:pPr>
            <w:r>
              <w:rPr>
                <w:rFonts w:cs="Arial"/>
              </w:rPr>
              <w:t>22</w:t>
            </w:r>
          </w:p>
        </w:tc>
        <w:tc>
          <w:tcPr>
            <w:tcW w:w="1877" w:type="pct"/>
          </w:tcPr>
          <w:p w14:paraId="25CC3B5A" w14:textId="3A6E126F" w:rsidR="00503665" w:rsidRDefault="00503665" w:rsidP="004A15CF">
            <w:pPr>
              <w:pStyle w:val="Header"/>
              <w:tabs>
                <w:tab w:val="left" w:pos="6300"/>
              </w:tabs>
              <w:spacing w:before="120"/>
              <w:rPr>
                <w:rFonts w:cs="Arial"/>
              </w:rPr>
            </w:pPr>
            <w:r w:rsidRPr="00E9758A">
              <w:rPr>
                <w:rFonts w:cs="Arial"/>
              </w:rPr>
              <w:t xml:space="preserve">In the current agreement, the incentive share is only required for corporate liability programs. Please confirm that this would be the case in the new agreement. </w:t>
            </w:r>
            <w:r w:rsidR="004A15CF">
              <w:rPr>
                <w:rFonts w:cs="Arial"/>
              </w:rPr>
              <w:br/>
            </w:r>
          </w:p>
        </w:tc>
        <w:tc>
          <w:tcPr>
            <w:tcW w:w="1829" w:type="pct"/>
          </w:tcPr>
          <w:p w14:paraId="270DA0AC" w14:textId="2A2C7F59" w:rsidR="007518BD" w:rsidRPr="007518BD" w:rsidRDefault="00811701" w:rsidP="00CB4A31">
            <w:pPr>
              <w:pStyle w:val="Header"/>
              <w:tabs>
                <w:tab w:val="left" w:pos="6300"/>
              </w:tabs>
              <w:spacing w:before="120"/>
              <w:rPr>
                <w:rFonts w:cs="Arial"/>
              </w:rPr>
            </w:pPr>
            <w:r>
              <w:rPr>
                <w:rFonts w:cs="Arial"/>
              </w:rPr>
              <w:t>All card products, no matter the liability type will be able to earn rebates.</w:t>
            </w:r>
            <w:r w:rsidR="000E25E5">
              <w:rPr>
                <w:rFonts w:cs="Arial"/>
              </w:rPr>
              <w:br/>
            </w:r>
          </w:p>
        </w:tc>
        <w:tc>
          <w:tcPr>
            <w:tcW w:w="1001" w:type="pct"/>
          </w:tcPr>
          <w:p w14:paraId="50D9AA12" w14:textId="2A060D3D" w:rsidR="00503665" w:rsidRDefault="004A15CF" w:rsidP="00CB4A31">
            <w:pPr>
              <w:pStyle w:val="Header"/>
              <w:tabs>
                <w:tab w:val="left" w:pos="6300"/>
              </w:tabs>
              <w:spacing w:before="120"/>
            </w:pPr>
            <w:r>
              <w:t>No</w:t>
            </w:r>
          </w:p>
        </w:tc>
      </w:tr>
      <w:tr w:rsidR="001C166B" w:rsidRPr="00B319C7" w14:paraId="4166527A" w14:textId="77777777" w:rsidTr="0099033B">
        <w:trPr>
          <w:cantSplit/>
          <w:trHeight w:val="692"/>
        </w:trPr>
        <w:tc>
          <w:tcPr>
            <w:tcW w:w="293" w:type="pct"/>
          </w:tcPr>
          <w:p w14:paraId="4105FB84" w14:textId="71E54473" w:rsidR="00503665" w:rsidRDefault="00503665" w:rsidP="00CB4A31">
            <w:pPr>
              <w:pStyle w:val="Header"/>
              <w:tabs>
                <w:tab w:val="left" w:pos="6300"/>
              </w:tabs>
              <w:spacing w:before="120"/>
              <w:rPr>
                <w:rFonts w:cs="Arial"/>
              </w:rPr>
            </w:pPr>
            <w:r>
              <w:rPr>
                <w:rFonts w:cs="Arial"/>
              </w:rPr>
              <w:t>23</w:t>
            </w:r>
          </w:p>
        </w:tc>
        <w:tc>
          <w:tcPr>
            <w:tcW w:w="1877" w:type="pct"/>
          </w:tcPr>
          <w:p w14:paraId="1D8EC901" w14:textId="6D49E5B8" w:rsidR="00503665" w:rsidRDefault="00EE1FA7" w:rsidP="004A15CF">
            <w:pPr>
              <w:pStyle w:val="Header"/>
              <w:tabs>
                <w:tab w:val="left" w:pos="6300"/>
              </w:tabs>
              <w:spacing w:before="120"/>
              <w:rPr>
                <w:rFonts w:cs="Arial"/>
              </w:rPr>
            </w:pPr>
            <w:r>
              <w:rPr>
                <w:rFonts w:cs="Arial"/>
              </w:rPr>
              <w:t xml:space="preserve">(Referring to rebate payment by the awarded Contractor to the Participating State/Purchasing Entity) </w:t>
            </w:r>
            <w:r w:rsidR="00503665" w:rsidRPr="00E9758A">
              <w:rPr>
                <w:rFonts w:cs="Arial"/>
              </w:rPr>
              <w:t>Are the issuers of this RFP open to the idea of payment being made within 60 days of the end of the quarter as opposed to 45 days? With so many payments being made, having time to adequately audit quarterly spend numbers becomes an issue in 45 days. This request becomes critical in cases where a check is being issued as opposed to ACH.</w:t>
            </w:r>
            <w:r w:rsidR="004A15CF">
              <w:rPr>
                <w:rFonts w:cs="Arial"/>
              </w:rPr>
              <w:br/>
            </w:r>
          </w:p>
        </w:tc>
        <w:tc>
          <w:tcPr>
            <w:tcW w:w="1829" w:type="pct"/>
          </w:tcPr>
          <w:p w14:paraId="09C1DADF" w14:textId="525DFDD6" w:rsidR="00811701" w:rsidRDefault="004A15CF" w:rsidP="00CB4A31">
            <w:pPr>
              <w:pStyle w:val="Header"/>
              <w:tabs>
                <w:tab w:val="left" w:pos="6300"/>
              </w:tabs>
              <w:spacing w:before="120"/>
              <w:rPr>
                <w:rFonts w:cs="Arial"/>
              </w:rPr>
            </w:pPr>
            <w:r>
              <w:rPr>
                <w:rFonts w:cs="Arial"/>
              </w:rPr>
              <w:t>Rebate delivery has been updated to reflect payment due no later than the 60</w:t>
            </w:r>
            <w:r w:rsidRPr="004A15CF">
              <w:rPr>
                <w:rFonts w:cs="Arial"/>
                <w:vertAlign w:val="superscript"/>
              </w:rPr>
              <w:t>th</w:t>
            </w:r>
            <w:r>
              <w:rPr>
                <w:rFonts w:cs="Arial"/>
              </w:rPr>
              <w:t xml:space="preserve"> day following the end of each quarter or calendar year, as applicable.</w:t>
            </w:r>
          </w:p>
        </w:tc>
        <w:tc>
          <w:tcPr>
            <w:tcW w:w="1001" w:type="pct"/>
          </w:tcPr>
          <w:p w14:paraId="6CF656A1" w14:textId="1A238807" w:rsidR="00503665" w:rsidRDefault="004A15CF" w:rsidP="00CB4A31">
            <w:pPr>
              <w:pStyle w:val="Header"/>
              <w:tabs>
                <w:tab w:val="left" w:pos="6300"/>
              </w:tabs>
              <w:spacing w:before="120"/>
            </w:pPr>
            <w:r>
              <w:t>Yes</w:t>
            </w:r>
          </w:p>
        </w:tc>
      </w:tr>
      <w:tr w:rsidR="001C166B" w:rsidRPr="00B319C7" w14:paraId="4ADD011E" w14:textId="77777777" w:rsidTr="004A15CF">
        <w:trPr>
          <w:cantSplit/>
          <w:trHeight w:val="692"/>
        </w:trPr>
        <w:tc>
          <w:tcPr>
            <w:tcW w:w="293" w:type="pct"/>
            <w:shd w:val="clear" w:color="auto" w:fill="auto"/>
          </w:tcPr>
          <w:p w14:paraId="0D76F30E" w14:textId="220EBF5A" w:rsidR="00503665" w:rsidRDefault="00503665" w:rsidP="00CB4A31">
            <w:pPr>
              <w:pStyle w:val="Header"/>
              <w:tabs>
                <w:tab w:val="left" w:pos="6300"/>
              </w:tabs>
              <w:spacing w:before="120"/>
              <w:rPr>
                <w:rFonts w:cs="Arial"/>
              </w:rPr>
            </w:pPr>
            <w:r>
              <w:rPr>
                <w:rFonts w:cs="Arial"/>
              </w:rPr>
              <w:lastRenderedPageBreak/>
              <w:t>24</w:t>
            </w:r>
          </w:p>
        </w:tc>
        <w:tc>
          <w:tcPr>
            <w:tcW w:w="1877" w:type="pct"/>
            <w:shd w:val="clear" w:color="auto" w:fill="auto"/>
          </w:tcPr>
          <w:p w14:paraId="0F2ADB70" w14:textId="77777777" w:rsidR="003F4B02" w:rsidRPr="00E9758A" w:rsidRDefault="003F4B02" w:rsidP="00CB4A31">
            <w:pPr>
              <w:pStyle w:val="Header"/>
              <w:tabs>
                <w:tab w:val="left" w:pos="6300"/>
              </w:tabs>
              <w:spacing w:before="120"/>
              <w:rPr>
                <w:rFonts w:cs="Arial"/>
              </w:rPr>
            </w:pPr>
            <w:r w:rsidRPr="00E9758A">
              <w:rPr>
                <w:rFonts w:cs="Arial"/>
              </w:rPr>
              <w:t>Page 9 of the Competitive Solicitation provides: “If bidder requires any additional addendums, agreements, card user agreements or the like, copies of those documents must be included in the bid.”  Page 23 provides: “Do not provide a copy of a bidder’s or a third party standard contract or proposed language in the bid.”  It is our interpretation that these two statements contradict each other. Can you please provide clarification?  Is it OK to provide a standard form of commercial account agreement, if the response provides that the terms and conditions of the CCA will be subordinate to the terms and conditions of the Master Agreement?</w:t>
            </w:r>
          </w:p>
          <w:p w14:paraId="275726AC" w14:textId="77777777" w:rsidR="00503665" w:rsidRDefault="00503665" w:rsidP="00CB4A31">
            <w:pPr>
              <w:pStyle w:val="Header"/>
              <w:tabs>
                <w:tab w:val="left" w:pos="6300"/>
              </w:tabs>
              <w:spacing w:before="120"/>
              <w:rPr>
                <w:rFonts w:cs="Arial"/>
              </w:rPr>
            </w:pPr>
          </w:p>
        </w:tc>
        <w:tc>
          <w:tcPr>
            <w:tcW w:w="1829" w:type="pct"/>
            <w:shd w:val="clear" w:color="auto" w:fill="auto"/>
          </w:tcPr>
          <w:p w14:paraId="06FE55D4" w14:textId="77777777" w:rsidR="007518BD" w:rsidRDefault="007518BD" w:rsidP="00CB4A31">
            <w:pPr>
              <w:pStyle w:val="Header"/>
              <w:tabs>
                <w:tab w:val="left" w:pos="6300"/>
              </w:tabs>
              <w:spacing w:before="120"/>
              <w:rPr>
                <w:rFonts w:cs="Arial"/>
              </w:rPr>
            </w:pPr>
            <w:r>
              <w:rPr>
                <w:rFonts w:cs="Arial"/>
              </w:rPr>
              <w:t>Standard form Card User Agreements (CUA) will be reviewed as part of the bid submittal.</w:t>
            </w:r>
          </w:p>
          <w:p w14:paraId="121434CD" w14:textId="77777777" w:rsidR="007518BD" w:rsidRDefault="007518BD" w:rsidP="007518BD">
            <w:pPr>
              <w:pStyle w:val="Header"/>
              <w:tabs>
                <w:tab w:val="left" w:pos="6300"/>
              </w:tabs>
              <w:spacing w:before="120"/>
              <w:rPr>
                <w:rFonts w:cs="Arial"/>
              </w:rPr>
            </w:pPr>
            <w:r>
              <w:rPr>
                <w:rFonts w:cs="Arial"/>
              </w:rPr>
              <w:t>Terms and conditions of the CUA will not change the terms and conditions of the Master Agreement.</w:t>
            </w:r>
          </w:p>
          <w:p w14:paraId="55734C01" w14:textId="48090498" w:rsidR="005D76C3" w:rsidRDefault="005D76C3" w:rsidP="007518BD">
            <w:pPr>
              <w:pStyle w:val="Header"/>
              <w:tabs>
                <w:tab w:val="left" w:pos="6300"/>
              </w:tabs>
              <w:spacing w:before="120"/>
              <w:rPr>
                <w:rFonts w:cs="Arial"/>
              </w:rPr>
            </w:pPr>
            <w:r>
              <w:rPr>
                <w:rFonts w:cs="Arial"/>
              </w:rPr>
              <w:t>Bidders should not submit a bidder’s or third party standard contract or proposed language in the bid as a replacement for the sample Master Agreement.</w:t>
            </w:r>
          </w:p>
        </w:tc>
        <w:tc>
          <w:tcPr>
            <w:tcW w:w="1001" w:type="pct"/>
            <w:shd w:val="clear" w:color="auto" w:fill="auto"/>
          </w:tcPr>
          <w:p w14:paraId="4337B30E" w14:textId="335FBF53" w:rsidR="00503665" w:rsidRDefault="007518BD" w:rsidP="00CB4A31">
            <w:pPr>
              <w:pStyle w:val="Header"/>
              <w:tabs>
                <w:tab w:val="left" w:pos="6300"/>
              </w:tabs>
              <w:spacing w:before="120"/>
            </w:pPr>
            <w:r>
              <w:t>No.</w:t>
            </w:r>
          </w:p>
        </w:tc>
      </w:tr>
      <w:tr w:rsidR="001C166B" w:rsidRPr="00B319C7" w14:paraId="25E8786F" w14:textId="77777777" w:rsidTr="004A15CF">
        <w:trPr>
          <w:cantSplit/>
          <w:trHeight w:val="692"/>
        </w:trPr>
        <w:tc>
          <w:tcPr>
            <w:tcW w:w="293" w:type="pct"/>
            <w:shd w:val="clear" w:color="auto" w:fill="auto"/>
          </w:tcPr>
          <w:p w14:paraId="1B80BE5B" w14:textId="5534B523" w:rsidR="00503665" w:rsidRDefault="00503665" w:rsidP="00CB4A31">
            <w:pPr>
              <w:pStyle w:val="Header"/>
              <w:tabs>
                <w:tab w:val="left" w:pos="6300"/>
              </w:tabs>
              <w:spacing w:before="120"/>
              <w:rPr>
                <w:rFonts w:cs="Arial"/>
              </w:rPr>
            </w:pPr>
            <w:r>
              <w:rPr>
                <w:rFonts w:cs="Arial"/>
              </w:rPr>
              <w:t>25</w:t>
            </w:r>
          </w:p>
        </w:tc>
        <w:tc>
          <w:tcPr>
            <w:tcW w:w="1877" w:type="pct"/>
            <w:shd w:val="clear" w:color="auto" w:fill="auto"/>
          </w:tcPr>
          <w:p w14:paraId="35137676" w14:textId="50D45160" w:rsidR="00503665" w:rsidRDefault="003F4B02" w:rsidP="004A15CF">
            <w:pPr>
              <w:pStyle w:val="Header"/>
              <w:tabs>
                <w:tab w:val="left" w:pos="6300"/>
              </w:tabs>
              <w:spacing w:before="120"/>
              <w:rPr>
                <w:rFonts w:cs="Arial"/>
              </w:rPr>
            </w:pPr>
            <w:r w:rsidRPr="00E9758A">
              <w:rPr>
                <w:rFonts w:cs="Arial"/>
              </w:rPr>
              <w:t>In Section 3.7, Bid Submittal Checklist, of the Competitive Solicitation document, you state, “Do not include marketing material in your response”. What would you define as marketing material? Would you allow for exhibits that specifically support a response to a need directly mentioned in Exhibit B2?</w:t>
            </w:r>
            <w:r w:rsidR="004A15CF">
              <w:rPr>
                <w:rFonts w:cs="Arial"/>
              </w:rPr>
              <w:br/>
            </w:r>
          </w:p>
        </w:tc>
        <w:tc>
          <w:tcPr>
            <w:tcW w:w="1829" w:type="pct"/>
            <w:shd w:val="clear" w:color="auto" w:fill="auto"/>
          </w:tcPr>
          <w:p w14:paraId="46B458B2" w14:textId="03E24659" w:rsidR="00503665" w:rsidRDefault="007518BD" w:rsidP="00372B68">
            <w:pPr>
              <w:pStyle w:val="Header"/>
              <w:tabs>
                <w:tab w:val="left" w:pos="6300"/>
              </w:tabs>
              <w:spacing w:before="120"/>
              <w:rPr>
                <w:rFonts w:cs="Arial"/>
              </w:rPr>
            </w:pPr>
            <w:r>
              <w:rPr>
                <w:rFonts w:cs="Arial"/>
              </w:rPr>
              <w:t xml:space="preserve">See response to </w:t>
            </w:r>
            <w:hyperlink w:anchor="Question_1" w:history="1">
              <w:r w:rsidRPr="000E25E5">
                <w:rPr>
                  <w:rStyle w:val="Hyperlink"/>
                  <w:rFonts w:cs="Arial"/>
                </w:rPr>
                <w:t>Question #1</w:t>
              </w:r>
            </w:hyperlink>
            <w:r>
              <w:rPr>
                <w:rFonts w:cs="Arial"/>
              </w:rPr>
              <w:t>.</w:t>
            </w:r>
          </w:p>
        </w:tc>
        <w:tc>
          <w:tcPr>
            <w:tcW w:w="1001" w:type="pct"/>
            <w:shd w:val="clear" w:color="auto" w:fill="auto"/>
          </w:tcPr>
          <w:p w14:paraId="0FBB779D" w14:textId="106DDAC2" w:rsidR="00503665" w:rsidRDefault="0042316C" w:rsidP="00CB4A31">
            <w:pPr>
              <w:pStyle w:val="Header"/>
              <w:tabs>
                <w:tab w:val="left" w:pos="6300"/>
              </w:tabs>
              <w:spacing w:before="120"/>
            </w:pPr>
            <w:r>
              <w:t>No.</w:t>
            </w:r>
          </w:p>
        </w:tc>
      </w:tr>
      <w:tr w:rsidR="001C166B" w:rsidRPr="00B319C7" w14:paraId="557B24A2" w14:textId="77777777" w:rsidTr="004A15CF">
        <w:trPr>
          <w:cantSplit/>
          <w:trHeight w:val="692"/>
        </w:trPr>
        <w:tc>
          <w:tcPr>
            <w:tcW w:w="293" w:type="pct"/>
            <w:shd w:val="clear" w:color="auto" w:fill="auto"/>
          </w:tcPr>
          <w:p w14:paraId="62610F37" w14:textId="4FAD0A20" w:rsidR="00503665" w:rsidRDefault="00503665" w:rsidP="00CB4A31">
            <w:pPr>
              <w:pStyle w:val="Header"/>
              <w:tabs>
                <w:tab w:val="left" w:pos="6300"/>
              </w:tabs>
              <w:spacing w:before="120"/>
              <w:rPr>
                <w:rFonts w:cs="Arial"/>
              </w:rPr>
            </w:pPr>
            <w:r>
              <w:rPr>
                <w:rFonts w:cs="Arial"/>
              </w:rPr>
              <w:t>26</w:t>
            </w:r>
          </w:p>
        </w:tc>
        <w:tc>
          <w:tcPr>
            <w:tcW w:w="1877" w:type="pct"/>
            <w:shd w:val="clear" w:color="auto" w:fill="auto"/>
          </w:tcPr>
          <w:p w14:paraId="4091A977" w14:textId="69ACFDC8" w:rsidR="00503665" w:rsidRDefault="003F4B02" w:rsidP="004A15CF">
            <w:pPr>
              <w:pStyle w:val="Header"/>
              <w:tabs>
                <w:tab w:val="left" w:pos="6300"/>
              </w:tabs>
              <w:spacing w:before="120"/>
              <w:rPr>
                <w:rFonts w:cs="Arial"/>
              </w:rPr>
            </w:pPr>
            <w:r w:rsidRPr="00E9758A">
              <w:rPr>
                <w:rFonts w:cs="Arial"/>
              </w:rPr>
              <w:t>For Mandatory Requirement questions throughout Exhibit B2, would you allow for narrative explanations for mandatory requirements we cannot agree to in an effort to explain our positioning and what services we can provide?</w:t>
            </w:r>
            <w:r w:rsidR="004A15CF">
              <w:rPr>
                <w:rFonts w:cs="Arial"/>
              </w:rPr>
              <w:br/>
            </w:r>
          </w:p>
        </w:tc>
        <w:tc>
          <w:tcPr>
            <w:tcW w:w="1829" w:type="pct"/>
            <w:shd w:val="clear" w:color="auto" w:fill="auto"/>
          </w:tcPr>
          <w:p w14:paraId="2F1F1711" w14:textId="60F596D0" w:rsidR="00503665" w:rsidRDefault="007518BD" w:rsidP="00372B68">
            <w:pPr>
              <w:pStyle w:val="Header"/>
              <w:tabs>
                <w:tab w:val="left" w:pos="6300"/>
              </w:tabs>
              <w:spacing w:before="120"/>
              <w:rPr>
                <w:rFonts w:cs="Arial"/>
              </w:rPr>
            </w:pPr>
            <w:r>
              <w:rPr>
                <w:rFonts w:cs="Arial"/>
              </w:rPr>
              <w:t xml:space="preserve">See response to </w:t>
            </w:r>
            <w:hyperlink w:anchor="Question_2" w:history="1">
              <w:r w:rsidRPr="0042316C">
                <w:rPr>
                  <w:rStyle w:val="Hyperlink"/>
                  <w:rFonts w:cs="Arial"/>
                </w:rPr>
                <w:t>Question #2</w:t>
              </w:r>
            </w:hyperlink>
            <w:r>
              <w:rPr>
                <w:rFonts w:cs="Arial"/>
              </w:rPr>
              <w:t>.</w:t>
            </w:r>
          </w:p>
        </w:tc>
        <w:tc>
          <w:tcPr>
            <w:tcW w:w="1001" w:type="pct"/>
            <w:shd w:val="clear" w:color="auto" w:fill="auto"/>
          </w:tcPr>
          <w:p w14:paraId="56C4C309" w14:textId="789478CE" w:rsidR="00503665" w:rsidRDefault="0042316C" w:rsidP="00CB4A31">
            <w:pPr>
              <w:pStyle w:val="Header"/>
              <w:tabs>
                <w:tab w:val="left" w:pos="6300"/>
              </w:tabs>
              <w:spacing w:before="120"/>
            </w:pPr>
            <w:r>
              <w:t>No.</w:t>
            </w:r>
          </w:p>
        </w:tc>
      </w:tr>
      <w:tr w:rsidR="001C166B" w:rsidRPr="00B319C7" w14:paraId="6267CFB2" w14:textId="77777777" w:rsidTr="004A15CF">
        <w:trPr>
          <w:cantSplit/>
          <w:trHeight w:val="692"/>
        </w:trPr>
        <w:tc>
          <w:tcPr>
            <w:tcW w:w="293" w:type="pct"/>
            <w:shd w:val="clear" w:color="auto" w:fill="auto"/>
          </w:tcPr>
          <w:p w14:paraId="7039380F" w14:textId="1A835281" w:rsidR="00503665" w:rsidRDefault="00503665" w:rsidP="00CB4A31">
            <w:pPr>
              <w:pStyle w:val="Header"/>
              <w:tabs>
                <w:tab w:val="left" w:pos="6300"/>
              </w:tabs>
              <w:spacing w:before="120"/>
              <w:rPr>
                <w:rFonts w:cs="Arial"/>
              </w:rPr>
            </w:pPr>
            <w:r>
              <w:rPr>
                <w:rFonts w:cs="Arial"/>
              </w:rPr>
              <w:lastRenderedPageBreak/>
              <w:t>27</w:t>
            </w:r>
          </w:p>
        </w:tc>
        <w:tc>
          <w:tcPr>
            <w:tcW w:w="1877" w:type="pct"/>
            <w:shd w:val="clear" w:color="auto" w:fill="auto"/>
          </w:tcPr>
          <w:p w14:paraId="764C10C8" w14:textId="77777777" w:rsidR="003F4B02" w:rsidRPr="00E9758A" w:rsidRDefault="003F4B02" w:rsidP="00CB4A31">
            <w:pPr>
              <w:pStyle w:val="Header"/>
              <w:tabs>
                <w:tab w:val="left" w:pos="6300"/>
              </w:tabs>
              <w:spacing w:before="120"/>
              <w:rPr>
                <w:rFonts w:cs="Arial"/>
              </w:rPr>
            </w:pPr>
            <w:r w:rsidRPr="00E9758A">
              <w:rPr>
                <w:rFonts w:cs="Arial"/>
              </w:rPr>
              <w:t>In Exhibit B2, Question 2.17, can you please provide your definition of “restricting fuel type”?</w:t>
            </w:r>
          </w:p>
          <w:p w14:paraId="5E289627" w14:textId="77777777" w:rsidR="00503665" w:rsidRDefault="00503665" w:rsidP="00CB4A31">
            <w:pPr>
              <w:pStyle w:val="Header"/>
              <w:tabs>
                <w:tab w:val="left" w:pos="6300"/>
              </w:tabs>
              <w:spacing w:before="120"/>
              <w:rPr>
                <w:rFonts w:cs="Arial"/>
              </w:rPr>
            </w:pPr>
          </w:p>
        </w:tc>
        <w:tc>
          <w:tcPr>
            <w:tcW w:w="1829" w:type="pct"/>
            <w:shd w:val="clear" w:color="auto" w:fill="auto"/>
          </w:tcPr>
          <w:p w14:paraId="56153600" w14:textId="50B9916B" w:rsidR="007518BD" w:rsidRPr="007518BD" w:rsidRDefault="007518BD" w:rsidP="00CB4A31">
            <w:pPr>
              <w:pStyle w:val="Header"/>
              <w:tabs>
                <w:tab w:val="left" w:pos="6300"/>
              </w:tabs>
              <w:spacing w:before="120"/>
              <w:rPr>
                <w:rFonts w:cs="Arial"/>
              </w:rPr>
            </w:pPr>
            <w:r>
              <w:rPr>
                <w:rFonts w:cs="Arial"/>
              </w:rPr>
              <w:t>System must allow for Program Administrators to restrict fuel type at the card account level (i.e. Card A – assigned to a Diesel vehicle cannot purchase standard fuel).</w:t>
            </w:r>
            <w:r>
              <w:rPr>
                <w:rFonts w:cs="Arial"/>
              </w:rPr>
              <w:br/>
            </w:r>
          </w:p>
        </w:tc>
        <w:tc>
          <w:tcPr>
            <w:tcW w:w="1001" w:type="pct"/>
            <w:shd w:val="clear" w:color="auto" w:fill="auto"/>
          </w:tcPr>
          <w:p w14:paraId="06C5840E" w14:textId="5E985D26" w:rsidR="00503665" w:rsidRDefault="006920EB" w:rsidP="00CB4A31">
            <w:pPr>
              <w:pStyle w:val="Header"/>
              <w:tabs>
                <w:tab w:val="left" w:pos="6300"/>
              </w:tabs>
              <w:spacing w:before="120"/>
            </w:pPr>
            <w:r>
              <w:t>Yes</w:t>
            </w:r>
            <w:r w:rsidR="003D0516">
              <w:t xml:space="preserve"> </w:t>
            </w:r>
            <w:r w:rsidR="007518BD">
              <w:t>.</w:t>
            </w:r>
          </w:p>
        </w:tc>
      </w:tr>
      <w:tr w:rsidR="001C166B" w:rsidRPr="00B319C7" w14:paraId="3B63C56B" w14:textId="77777777" w:rsidTr="004A15CF">
        <w:trPr>
          <w:cantSplit/>
          <w:trHeight w:val="692"/>
        </w:trPr>
        <w:tc>
          <w:tcPr>
            <w:tcW w:w="293" w:type="pct"/>
            <w:shd w:val="clear" w:color="auto" w:fill="auto"/>
          </w:tcPr>
          <w:p w14:paraId="4397CBDC" w14:textId="0E1BCFF0" w:rsidR="00503665" w:rsidRDefault="00503665" w:rsidP="00CB4A31">
            <w:pPr>
              <w:pStyle w:val="Header"/>
              <w:tabs>
                <w:tab w:val="left" w:pos="6300"/>
              </w:tabs>
              <w:spacing w:before="120"/>
              <w:rPr>
                <w:rFonts w:cs="Arial"/>
              </w:rPr>
            </w:pPr>
            <w:r>
              <w:rPr>
                <w:rFonts w:cs="Arial"/>
              </w:rPr>
              <w:t>28</w:t>
            </w:r>
          </w:p>
        </w:tc>
        <w:tc>
          <w:tcPr>
            <w:tcW w:w="1877" w:type="pct"/>
            <w:shd w:val="clear" w:color="auto" w:fill="auto"/>
          </w:tcPr>
          <w:p w14:paraId="31749BDA" w14:textId="6BE7446D" w:rsidR="00503665" w:rsidRDefault="003F4B02" w:rsidP="004A15CF">
            <w:pPr>
              <w:pStyle w:val="Header"/>
              <w:tabs>
                <w:tab w:val="left" w:pos="6300"/>
              </w:tabs>
              <w:spacing w:before="120"/>
              <w:rPr>
                <w:rFonts w:cs="Arial"/>
              </w:rPr>
            </w:pPr>
            <w:r w:rsidRPr="00E9758A">
              <w:rPr>
                <w:rFonts w:cs="Arial"/>
              </w:rPr>
              <w:t>In Exhibit B2, Question 2.18, when you use the term “quantity”, are you referring to dollar amount or fuel amount?</w:t>
            </w:r>
            <w:r w:rsidR="004A15CF">
              <w:rPr>
                <w:rFonts w:cs="Arial"/>
              </w:rPr>
              <w:br/>
            </w:r>
          </w:p>
        </w:tc>
        <w:tc>
          <w:tcPr>
            <w:tcW w:w="1829" w:type="pct"/>
            <w:shd w:val="clear" w:color="auto" w:fill="auto"/>
          </w:tcPr>
          <w:p w14:paraId="618BC75F" w14:textId="1F2F4E43" w:rsidR="000E25E5" w:rsidRPr="007518BD" w:rsidRDefault="005D76C3" w:rsidP="005D76C3">
            <w:pPr>
              <w:pStyle w:val="Header"/>
              <w:tabs>
                <w:tab w:val="left" w:pos="6300"/>
              </w:tabs>
              <w:spacing w:before="120"/>
              <w:rPr>
                <w:rFonts w:cs="Arial"/>
              </w:rPr>
            </w:pPr>
            <w:r>
              <w:rPr>
                <w:rFonts w:cs="Arial"/>
              </w:rPr>
              <w:t>Quantity is meant to be gallons. Dollar per transaction limit is reflected in Requirement 2.32.</w:t>
            </w:r>
            <w:r>
              <w:rPr>
                <w:rFonts w:cs="Arial"/>
              </w:rPr>
              <w:br/>
            </w:r>
          </w:p>
        </w:tc>
        <w:tc>
          <w:tcPr>
            <w:tcW w:w="1001" w:type="pct"/>
            <w:shd w:val="clear" w:color="auto" w:fill="auto"/>
          </w:tcPr>
          <w:p w14:paraId="4A6C64CC" w14:textId="2C5280A6" w:rsidR="00503665" w:rsidRDefault="005D76C3" w:rsidP="00CB4A31">
            <w:pPr>
              <w:pStyle w:val="Header"/>
              <w:tabs>
                <w:tab w:val="left" w:pos="6300"/>
              </w:tabs>
              <w:spacing w:before="120"/>
            </w:pPr>
            <w:r>
              <w:t>Yes.</w:t>
            </w:r>
          </w:p>
        </w:tc>
      </w:tr>
      <w:tr w:rsidR="001C166B" w:rsidRPr="00B319C7" w14:paraId="458B1C00" w14:textId="77777777" w:rsidTr="0099033B">
        <w:trPr>
          <w:cantSplit/>
          <w:trHeight w:val="692"/>
        </w:trPr>
        <w:tc>
          <w:tcPr>
            <w:tcW w:w="293" w:type="pct"/>
          </w:tcPr>
          <w:p w14:paraId="7D997581" w14:textId="5FF3196E" w:rsidR="00503665" w:rsidRDefault="00503665" w:rsidP="00CB4A31">
            <w:pPr>
              <w:pStyle w:val="Header"/>
              <w:tabs>
                <w:tab w:val="left" w:pos="6300"/>
              </w:tabs>
              <w:spacing w:before="120"/>
              <w:rPr>
                <w:rFonts w:cs="Arial"/>
              </w:rPr>
            </w:pPr>
            <w:r>
              <w:rPr>
                <w:rFonts w:cs="Arial"/>
              </w:rPr>
              <w:t>29</w:t>
            </w:r>
          </w:p>
        </w:tc>
        <w:tc>
          <w:tcPr>
            <w:tcW w:w="1877" w:type="pct"/>
          </w:tcPr>
          <w:p w14:paraId="0612F469" w14:textId="77777777" w:rsidR="003F4B02" w:rsidRPr="00E9758A" w:rsidRDefault="003F4B02" w:rsidP="00CB4A31">
            <w:pPr>
              <w:pStyle w:val="Header"/>
              <w:tabs>
                <w:tab w:val="left" w:pos="6300"/>
              </w:tabs>
              <w:spacing w:before="120"/>
              <w:rPr>
                <w:rFonts w:cs="Arial"/>
              </w:rPr>
            </w:pPr>
            <w:r w:rsidRPr="00E9758A">
              <w:rPr>
                <w:rFonts w:cs="Arial"/>
              </w:rPr>
              <w:t>In Exhibit B2, Question 2.23, we are interpreting this is an application for a new account, not a credit application. Can you clarify your definitions for “account” and “application” in the context of this question?</w:t>
            </w:r>
          </w:p>
          <w:p w14:paraId="033DDBB0" w14:textId="77777777" w:rsidR="00503665" w:rsidRDefault="00503665" w:rsidP="00CB4A31">
            <w:pPr>
              <w:pStyle w:val="Header"/>
              <w:tabs>
                <w:tab w:val="left" w:pos="6300"/>
              </w:tabs>
              <w:spacing w:before="120"/>
              <w:rPr>
                <w:rFonts w:cs="Arial"/>
              </w:rPr>
            </w:pPr>
          </w:p>
        </w:tc>
        <w:tc>
          <w:tcPr>
            <w:tcW w:w="1829" w:type="pct"/>
          </w:tcPr>
          <w:p w14:paraId="2C05EB35" w14:textId="034E8992" w:rsidR="00A946F1" w:rsidRDefault="00A946F1" w:rsidP="00CB4A31">
            <w:pPr>
              <w:pStyle w:val="Header"/>
              <w:tabs>
                <w:tab w:val="left" w:pos="6300"/>
              </w:tabs>
              <w:spacing w:before="120"/>
              <w:rPr>
                <w:rFonts w:cs="Arial"/>
              </w:rPr>
            </w:pPr>
            <w:r>
              <w:rPr>
                <w:rFonts w:cs="Arial"/>
              </w:rPr>
              <w:t>This Narrative Response should include the detailed process for establishing a new account and card in its entirety. If a multi-step process, include details for each step.</w:t>
            </w:r>
          </w:p>
          <w:p w14:paraId="6CDC29D7" w14:textId="77777777" w:rsidR="00A946F1" w:rsidRDefault="00A946F1" w:rsidP="00CB4A31">
            <w:pPr>
              <w:pStyle w:val="Header"/>
              <w:tabs>
                <w:tab w:val="left" w:pos="6300"/>
              </w:tabs>
              <w:spacing w:before="120"/>
              <w:rPr>
                <w:rFonts w:cs="Arial"/>
              </w:rPr>
            </w:pPr>
            <w:r>
              <w:rPr>
                <w:rFonts w:cs="Arial"/>
              </w:rPr>
              <w:t>In this situation a “new account” reflects a new Purchasing Entity or program with a Purchasing Entity. A “new card” reflects a new card account (Purchaser) within an already established Purchasing Entity (or program with a Purchasing Entity).</w:t>
            </w:r>
          </w:p>
          <w:p w14:paraId="7721B24C" w14:textId="6F0AC8E9" w:rsidR="00A946F1" w:rsidRPr="00A946F1" w:rsidRDefault="00A946F1" w:rsidP="00A946F1">
            <w:pPr>
              <w:pStyle w:val="Header"/>
              <w:tabs>
                <w:tab w:val="left" w:pos="6300"/>
              </w:tabs>
              <w:spacing w:before="120"/>
              <w:rPr>
                <w:rFonts w:cs="Arial"/>
              </w:rPr>
            </w:pPr>
            <w:r>
              <w:rPr>
                <w:rFonts w:cs="Arial"/>
              </w:rPr>
              <w:t>Our requirement does use the term “application”.</w:t>
            </w:r>
            <w:r w:rsidR="000E25E5">
              <w:rPr>
                <w:rFonts w:cs="Arial"/>
              </w:rPr>
              <w:br/>
            </w:r>
          </w:p>
        </w:tc>
        <w:tc>
          <w:tcPr>
            <w:tcW w:w="1001" w:type="pct"/>
          </w:tcPr>
          <w:p w14:paraId="62C1F2C3" w14:textId="4AF084BE" w:rsidR="00503665" w:rsidRDefault="006920EB" w:rsidP="00CB4A31">
            <w:pPr>
              <w:pStyle w:val="Header"/>
              <w:tabs>
                <w:tab w:val="left" w:pos="6300"/>
              </w:tabs>
              <w:spacing w:before="120"/>
            </w:pPr>
            <w:r>
              <w:t>No.</w:t>
            </w:r>
          </w:p>
        </w:tc>
      </w:tr>
      <w:tr w:rsidR="001C166B" w:rsidRPr="00B319C7" w14:paraId="129FE3BE" w14:textId="77777777" w:rsidTr="004A15CF">
        <w:trPr>
          <w:cantSplit/>
          <w:trHeight w:val="692"/>
        </w:trPr>
        <w:tc>
          <w:tcPr>
            <w:tcW w:w="293" w:type="pct"/>
            <w:shd w:val="clear" w:color="auto" w:fill="auto"/>
          </w:tcPr>
          <w:p w14:paraId="723ED7B9" w14:textId="407F6D34" w:rsidR="00503665" w:rsidRDefault="00503665" w:rsidP="00CB4A31">
            <w:pPr>
              <w:pStyle w:val="Header"/>
              <w:tabs>
                <w:tab w:val="left" w:pos="6300"/>
              </w:tabs>
              <w:spacing w:before="120"/>
              <w:rPr>
                <w:rFonts w:cs="Arial"/>
              </w:rPr>
            </w:pPr>
            <w:r>
              <w:rPr>
                <w:rFonts w:cs="Arial"/>
              </w:rPr>
              <w:t>30</w:t>
            </w:r>
          </w:p>
        </w:tc>
        <w:tc>
          <w:tcPr>
            <w:tcW w:w="1877" w:type="pct"/>
            <w:shd w:val="clear" w:color="auto" w:fill="auto"/>
          </w:tcPr>
          <w:p w14:paraId="6FE6C50C" w14:textId="59024215" w:rsidR="00503665" w:rsidRDefault="003F4B02" w:rsidP="00CB4A31">
            <w:pPr>
              <w:pStyle w:val="Header"/>
              <w:tabs>
                <w:tab w:val="left" w:pos="6300"/>
              </w:tabs>
              <w:spacing w:before="120"/>
              <w:rPr>
                <w:rFonts w:cs="Arial"/>
              </w:rPr>
            </w:pPr>
            <w:r w:rsidRPr="00E9758A">
              <w:rPr>
                <w:rFonts w:cs="Arial"/>
              </w:rPr>
              <w:t>In Exhibit B2, Question 2.35, can you describe what t</w:t>
            </w:r>
            <w:r w:rsidR="004A15CF">
              <w:rPr>
                <w:rFonts w:cs="Arial"/>
              </w:rPr>
              <w:t>he goal of this requirement is?</w:t>
            </w:r>
          </w:p>
        </w:tc>
        <w:tc>
          <w:tcPr>
            <w:tcW w:w="1829" w:type="pct"/>
            <w:shd w:val="clear" w:color="auto" w:fill="auto"/>
          </w:tcPr>
          <w:p w14:paraId="2873FECC" w14:textId="5008461B" w:rsidR="006920EB" w:rsidRDefault="00A946F1" w:rsidP="006920EB">
            <w:pPr>
              <w:pStyle w:val="Header"/>
              <w:tabs>
                <w:tab w:val="left" w:pos="6300"/>
              </w:tabs>
              <w:spacing w:before="120"/>
              <w:rPr>
                <w:rFonts w:cs="Arial"/>
              </w:rPr>
            </w:pPr>
            <w:r>
              <w:rPr>
                <w:rFonts w:cs="Arial"/>
              </w:rPr>
              <w:t xml:space="preserve">Some purchasing entities use the </w:t>
            </w:r>
            <w:r w:rsidR="006920EB">
              <w:rPr>
                <w:rFonts w:cs="Arial"/>
              </w:rPr>
              <w:t>c</w:t>
            </w:r>
            <w:r>
              <w:rPr>
                <w:rFonts w:cs="Arial"/>
              </w:rPr>
              <w:t xml:space="preserve">ard data management and reporting system to track charges through to payment. Due to that, Purchasing Entities will need to know which transactions have been approved and sent to accounting for </w:t>
            </w:r>
            <w:r w:rsidR="00B116EF">
              <w:rPr>
                <w:rFonts w:cs="Arial"/>
              </w:rPr>
              <w:t>payment</w:t>
            </w:r>
            <w:r w:rsidR="006920EB">
              <w:rPr>
                <w:rFonts w:cs="Arial"/>
              </w:rPr>
              <w:t>.</w:t>
            </w:r>
          </w:p>
          <w:p w14:paraId="03224C7B" w14:textId="50D72B15" w:rsidR="00A946F1" w:rsidRPr="00A946F1" w:rsidRDefault="006920EB" w:rsidP="006920EB">
            <w:pPr>
              <w:pStyle w:val="Header"/>
              <w:tabs>
                <w:tab w:val="left" w:pos="6300"/>
              </w:tabs>
              <w:spacing w:before="120"/>
              <w:rPr>
                <w:rFonts w:cs="Arial"/>
              </w:rPr>
            </w:pPr>
            <w:r>
              <w:rPr>
                <w:rFonts w:cs="Arial"/>
              </w:rPr>
              <w:t>This requirement is also included in Exhibit B1 – Requirement 2.28.</w:t>
            </w:r>
            <w:r w:rsidR="00A946F1">
              <w:rPr>
                <w:rFonts w:cs="Arial"/>
              </w:rPr>
              <w:br/>
            </w:r>
          </w:p>
        </w:tc>
        <w:tc>
          <w:tcPr>
            <w:tcW w:w="1001" w:type="pct"/>
            <w:shd w:val="clear" w:color="auto" w:fill="auto"/>
          </w:tcPr>
          <w:p w14:paraId="55DCCC8B" w14:textId="6F91B9C7" w:rsidR="00503665" w:rsidRDefault="00A946F1" w:rsidP="00CB4A31">
            <w:pPr>
              <w:pStyle w:val="Header"/>
              <w:tabs>
                <w:tab w:val="left" w:pos="6300"/>
              </w:tabs>
              <w:spacing w:before="120"/>
            </w:pPr>
            <w:r>
              <w:t>No.</w:t>
            </w:r>
          </w:p>
        </w:tc>
      </w:tr>
      <w:tr w:rsidR="001C166B" w:rsidRPr="00B319C7" w14:paraId="22A24E44" w14:textId="77777777" w:rsidTr="004A15CF">
        <w:trPr>
          <w:cantSplit/>
          <w:trHeight w:val="692"/>
        </w:trPr>
        <w:tc>
          <w:tcPr>
            <w:tcW w:w="293" w:type="pct"/>
            <w:shd w:val="clear" w:color="auto" w:fill="auto"/>
          </w:tcPr>
          <w:p w14:paraId="1AF0A214" w14:textId="7A263307" w:rsidR="00503665" w:rsidRDefault="00503665" w:rsidP="00CB4A31">
            <w:pPr>
              <w:pStyle w:val="Header"/>
              <w:tabs>
                <w:tab w:val="left" w:pos="6300"/>
              </w:tabs>
              <w:spacing w:before="120"/>
              <w:rPr>
                <w:rFonts w:cs="Arial"/>
              </w:rPr>
            </w:pPr>
            <w:r>
              <w:rPr>
                <w:rFonts w:cs="Arial"/>
              </w:rPr>
              <w:lastRenderedPageBreak/>
              <w:t>31</w:t>
            </w:r>
          </w:p>
        </w:tc>
        <w:tc>
          <w:tcPr>
            <w:tcW w:w="1877" w:type="pct"/>
            <w:shd w:val="clear" w:color="auto" w:fill="auto"/>
          </w:tcPr>
          <w:p w14:paraId="1C8699A2" w14:textId="1516FA94" w:rsidR="00503665" w:rsidRDefault="003F4B02" w:rsidP="00CB4A31">
            <w:pPr>
              <w:pStyle w:val="Header"/>
              <w:tabs>
                <w:tab w:val="left" w:pos="6300"/>
              </w:tabs>
              <w:spacing w:before="120"/>
              <w:rPr>
                <w:rFonts w:cs="Arial"/>
              </w:rPr>
            </w:pPr>
            <w:r w:rsidRPr="00E9758A">
              <w:rPr>
                <w:rFonts w:cs="Arial"/>
              </w:rPr>
              <w:t>In Exhibit B2, Question 3.18, can you provide more information on a TIF file and an exa</w:t>
            </w:r>
            <w:r w:rsidR="004A15CF">
              <w:rPr>
                <w:rFonts w:cs="Arial"/>
              </w:rPr>
              <w:t>mple in which you would use it?</w:t>
            </w:r>
            <w:r w:rsidR="004A15CF">
              <w:rPr>
                <w:rFonts w:cs="Arial"/>
              </w:rPr>
              <w:br/>
            </w:r>
          </w:p>
        </w:tc>
        <w:tc>
          <w:tcPr>
            <w:tcW w:w="1829" w:type="pct"/>
            <w:shd w:val="clear" w:color="auto" w:fill="auto"/>
          </w:tcPr>
          <w:p w14:paraId="72C09073" w14:textId="42D1916E" w:rsidR="00A946F1" w:rsidRPr="00B116EF" w:rsidRDefault="00B116EF" w:rsidP="00372B68">
            <w:pPr>
              <w:pStyle w:val="Header"/>
              <w:tabs>
                <w:tab w:val="left" w:pos="6300"/>
              </w:tabs>
              <w:spacing w:before="120"/>
              <w:rPr>
                <w:rFonts w:cs="Arial"/>
              </w:rPr>
            </w:pPr>
            <w:r>
              <w:rPr>
                <w:rFonts w:cs="Arial"/>
              </w:rPr>
              <w:t xml:space="preserve">See response to </w:t>
            </w:r>
            <w:hyperlink w:anchor="Question_5" w:history="1">
              <w:r w:rsidRPr="0042316C">
                <w:rPr>
                  <w:rStyle w:val="Hyperlink"/>
                  <w:rFonts w:cs="Arial"/>
                </w:rPr>
                <w:t>Question #5</w:t>
              </w:r>
            </w:hyperlink>
            <w:r>
              <w:rPr>
                <w:rFonts w:cs="Arial"/>
              </w:rPr>
              <w:t>.</w:t>
            </w:r>
          </w:p>
        </w:tc>
        <w:tc>
          <w:tcPr>
            <w:tcW w:w="1001" w:type="pct"/>
            <w:shd w:val="clear" w:color="auto" w:fill="auto"/>
          </w:tcPr>
          <w:p w14:paraId="6072793F" w14:textId="4DFCC286" w:rsidR="00503665" w:rsidRDefault="00B116EF" w:rsidP="00CB4A31">
            <w:pPr>
              <w:pStyle w:val="Header"/>
              <w:tabs>
                <w:tab w:val="left" w:pos="6300"/>
              </w:tabs>
              <w:spacing w:before="120"/>
            </w:pPr>
            <w:r>
              <w:t>No.</w:t>
            </w:r>
          </w:p>
        </w:tc>
      </w:tr>
      <w:tr w:rsidR="001C166B" w:rsidRPr="00B319C7" w14:paraId="7C48400C" w14:textId="77777777" w:rsidTr="004A15CF">
        <w:trPr>
          <w:cantSplit/>
          <w:trHeight w:val="692"/>
        </w:trPr>
        <w:tc>
          <w:tcPr>
            <w:tcW w:w="293" w:type="pct"/>
            <w:shd w:val="clear" w:color="auto" w:fill="auto"/>
          </w:tcPr>
          <w:p w14:paraId="47A13B27" w14:textId="57829CAC" w:rsidR="00503665" w:rsidRDefault="00503665" w:rsidP="00CB4A31">
            <w:pPr>
              <w:pStyle w:val="Header"/>
              <w:tabs>
                <w:tab w:val="left" w:pos="6300"/>
              </w:tabs>
              <w:spacing w:before="120"/>
              <w:rPr>
                <w:rFonts w:cs="Arial"/>
              </w:rPr>
            </w:pPr>
            <w:r>
              <w:rPr>
                <w:rFonts w:cs="Arial"/>
              </w:rPr>
              <w:t>32</w:t>
            </w:r>
          </w:p>
        </w:tc>
        <w:tc>
          <w:tcPr>
            <w:tcW w:w="1877" w:type="pct"/>
            <w:shd w:val="clear" w:color="auto" w:fill="auto"/>
          </w:tcPr>
          <w:p w14:paraId="0F6726B4" w14:textId="0D3B254E" w:rsidR="00503665" w:rsidRDefault="003F4B02" w:rsidP="004A15CF">
            <w:pPr>
              <w:pStyle w:val="Header"/>
              <w:tabs>
                <w:tab w:val="left" w:pos="6300"/>
              </w:tabs>
              <w:spacing w:before="120"/>
              <w:rPr>
                <w:rFonts w:cs="Arial"/>
              </w:rPr>
            </w:pPr>
            <w:r w:rsidRPr="00E9758A">
              <w:rPr>
                <w:rFonts w:cs="Arial"/>
              </w:rPr>
              <w:t>In Exhibit B2, Question 4.4, you state, “Participating States will not accept forced/pushed ‘top-down’ system changes unless required by federal law”. We would imagine all providers would have a system in which it’s difficult to have specific customers dictate what is ultimately available for all clients using the system. Would you consider moving this question to the NMS category and allow us to explain what we can and or are open to accommodating for this parameter?</w:t>
            </w:r>
            <w:r w:rsidR="004A15CF">
              <w:rPr>
                <w:rFonts w:cs="Arial"/>
              </w:rPr>
              <w:br/>
            </w:r>
          </w:p>
        </w:tc>
        <w:tc>
          <w:tcPr>
            <w:tcW w:w="1829" w:type="pct"/>
            <w:shd w:val="clear" w:color="auto" w:fill="auto"/>
          </w:tcPr>
          <w:p w14:paraId="03449193" w14:textId="0D2A2E5B" w:rsidR="00503665" w:rsidRDefault="00B116EF" w:rsidP="00372B68">
            <w:pPr>
              <w:pStyle w:val="Header"/>
              <w:tabs>
                <w:tab w:val="left" w:pos="6300"/>
              </w:tabs>
              <w:spacing w:before="120"/>
              <w:rPr>
                <w:rFonts w:cs="Arial"/>
              </w:rPr>
            </w:pPr>
            <w:r>
              <w:rPr>
                <w:rFonts w:cs="Arial"/>
              </w:rPr>
              <w:t xml:space="preserve">See response to </w:t>
            </w:r>
            <w:hyperlink w:anchor="Question_6" w:history="1">
              <w:r w:rsidRPr="0042316C">
                <w:rPr>
                  <w:rStyle w:val="Hyperlink"/>
                  <w:rFonts w:cs="Arial"/>
                </w:rPr>
                <w:t>Question #6</w:t>
              </w:r>
            </w:hyperlink>
            <w:r>
              <w:rPr>
                <w:rFonts w:cs="Arial"/>
              </w:rPr>
              <w:t>.</w:t>
            </w:r>
          </w:p>
        </w:tc>
        <w:tc>
          <w:tcPr>
            <w:tcW w:w="1001" w:type="pct"/>
            <w:shd w:val="clear" w:color="auto" w:fill="auto"/>
          </w:tcPr>
          <w:p w14:paraId="78916122" w14:textId="71FF6234" w:rsidR="00503665" w:rsidRDefault="00B116EF" w:rsidP="00CB4A31">
            <w:pPr>
              <w:pStyle w:val="Header"/>
              <w:tabs>
                <w:tab w:val="left" w:pos="6300"/>
              </w:tabs>
              <w:spacing w:before="120"/>
            </w:pPr>
            <w:r>
              <w:t>No.</w:t>
            </w:r>
          </w:p>
        </w:tc>
      </w:tr>
      <w:tr w:rsidR="001C166B" w:rsidRPr="00B319C7" w14:paraId="001C4737" w14:textId="77777777" w:rsidTr="0099033B">
        <w:trPr>
          <w:cantSplit/>
          <w:trHeight w:val="692"/>
        </w:trPr>
        <w:tc>
          <w:tcPr>
            <w:tcW w:w="293" w:type="pct"/>
          </w:tcPr>
          <w:p w14:paraId="7ACE1673" w14:textId="79AEF0EA" w:rsidR="00503665" w:rsidRDefault="00503665" w:rsidP="00CB4A31">
            <w:pPr>
              <w:pStyle w:val="Header"/>
              <w:tabs>
                <w:tab w:val="left" w:pos="6300"/>
              </w:tabs>
              <w:spacing w:before="120"/>
              <w:rPr>
                <w:rFonts w:cs="Arial"/>
              </w:rPr>
            </w:pPr>
            <w:bookmarkStart w:id="10" w:name="Question_33"/>
            <w:r>
              <w:rPr>
                <w:rFonts w:cs="Arial"/>
              </w:rPr>
              <w:t>33</w:t>
            </w:r>
            <w:bookmarkEnd w:id="10"/>
          </w:p>
        </w:tc>
        <w:tc>
          <w:tcPr>
            <w:tcW w:w="1877" w:type="pct"/>
          </w:tcPr>
          <w:p w14:paraId="4F4030FD" w14:textId="79C605CD" w:rsidR="00503665" w:rsidRDefault="003F4B02" w:rsidP="00AE4EC0">
            <w:pPr>
              <w:pStyle w:val="Header"/>
              <w:tabs>
                <w:tab w:val="left" w:pos="6300"/>
              </w:tabs>
              <w:spacing w:before="120"/>
              <w:rPr>
                <w:rFonts w:cs="Arial"/>
              </w:rPr>
            </w:pPr>
            <w:r w:rsidRPr="00E9758A">
              <w:rPr>
                <w:rFonts w:cs="Arial"/>
              </w:rPr>
              <w:t>In Exhibit B2, Question 5.6, you list “Last 4 digits of Credit Card number”, as a data requirement. Would you consider alternative ways for identifying each card by its number to be sufficient for this requirement?</w:t>
            </w:r>
            <w:r w:rsidR="00AE4EC0">
              <w:rPr>
                <w:rFonts w:cs="Arial"/>
              </w:rPr>
              <w:br/>
            </w:r>
          </w:p>
        </w:tc>
        <w:tc>
          <w:tcPr>
            <w:tcW w:w="1829" w:type="pct"/>
          </w:tcPr>
          <w:p w14:paraId="2A91B055" w14:textId="0071B861" w:rsidR="00AE4EC0" w:rsidRPr="00AE4EC0" w:rsidRDefault="00AE4EC0" w:rsidP="00CB4A31">
            <w:pPr>
              <w:pStyle w:val="Header"/>
              <w:tabs>
                <w:tab w:val="left" w:pos="6300"/>
              </w:tabs>
              <w:spacing w:before="120"/>
              <w:rPr>
                <w:rFonts w:cs="Arial"/>
              </w:rPr>
            </w:pPr>
            <w:r w:rsidRPr="00AE4EC0">
              <w:rPr>
                <w:rFonts w:cs="Arial"/>
              </w:rPr>
              <w:t xml:space="preserve">A card identifying number must be included in the extracted or downloaded data. </w:t>
            </w:r>
          </w:p>
          <w:p w14:paraId="25BB0847" w14:textId="2A48F72C" w:rsidR="00AE4EC0" w:rsidRPr="00AE4EC0" w:rsidRDefault="00AE4EC0" w:rsidP="00CB4A31">
            <w:pPr>
              <w:pStyle w:val="Header"/>
              <w:tabs>
                <w:tab w:val="left" w:pos="6300"/>
              </w:tabs>
              <w:spacing w:before="120"/>
              <w:rPr>
                <w:rFonts w:cs="Arial"/>
              </w:rPr>
            </w:pPr>
            <w:r w:rsidRPr="00AE4EC0">
              <w:rPr>
                <w:rFonts w:cs="Arial"/>
              </w:rPr>
              <w:t>This number must be the last 4-6 digits of the card number.</w:t>
            </w:r>
          </w:p>
          <w:p w14:paraId="6CA43372" w14:textId="2F5A43F9" w:rsidR="00DE0ACE" w:rsidRPr="00AE4EC0" w:rsidRDefault="00AE4EC0" w:rsidP="00CB4A31">
            <w:pPr>
              <w:pStyle w:val="Header"/>
              <w:tabs>
                <w:tab w:val="left" w:pos="6300"/>
              </w:tabs>
              <w:spacing w:before="120"/>
              <w:rPr>
                <w:rFonts w:cs="Arial"/>
                <w:highlight w:val="yellow"/>
              </w:rPr>
            </w:pPr>
            <w:r w:rsidRPr="00AE4EC0">
              <w:rPr>
                <w:rFonts w:cs="Arial"/>
              </w:rPr>
              <w:t>Having to manage a separate number to identify the card account, is not helpful.</w:t>
            </w:r>
            <w:r>
              <w:rPr>
                <w:rFonts w:cs="Arial"/>
                <w:highlight w:val="yellow"/>
              </w:rPr>
              <w:br/>
            </w:r>
          </w:p>
        </w:tc>
        <w:tc>
          <w:tcPr>
            <w:tcW w:w="1001" w:type="pct"/>
          </w:tcPr>
          <w:p w14:paraId="72569EF0" w14:textId="6E85D0C5" w:rsidR="00503665" w:rsidRDefault="00AE4EC0" w:rsidP="00CB4A31">
            <w:pPr>
              <w:pStyle w:val="Header"/>
              <w:tabs>
                <w:tab w:val="left" w:pos="6300"/>
              </w:tabs>
              <w:spacing w:before="120"/>
            </w:pPr>
            <w:r>
              <w:t>Yes</w:t>
            </w:r>
          </w:p>
        </w:tc>
      </w:tr>
      <w:tr w:rsidR="001C166B" w:rsidRPr="00B319C7" w14:paraId="2F61A086" w14:textId="77777777" w:rsidTr="00AE4EC0">
        <w:trPr>
          <w:cantSplit/>
          <w:trHeight w:val="692"/>
        </w:trPr>
        <w:tc>
          <w:tcPr>
            <w:tcW w:w="293" w:type="pct"/>
            <w:shd w:val="clear" w:color="auto" w:fill="auto"/>
          </w:tcPr>
          <w:p w14:paraId="57E4BD5B" w14:textId="0FAA4855" w:rsidR="00503665" w:rsidRDefault="00503665" w:rsidP="00CB4A31">
            <w:pPr>
              <w:pStyle w:val="Header"/>
              <w:tabs>
                <w:tab w:val="left" w:pos="6300"/>
              </w:tabs>
              <w:spacing w:before="120"/>
              <w:rPr>
                <w:rFonts w:cs="Arial"/>
              </w:rPr>
            </w:pPr>
            <w:r>
              <w:rPr>
                <w:rFonts w:cs="Arial"/>
              </w:rPr>
              <w:t>34</w:t>
            </w:r>
          </w:p>
        </w:tc>
        <w:tc>
          <w:tcPr>
            <w:tcW w:w="1877" w:type="pct"/>
            <w:shd w:val="clear" w:color="auto" w:fill="auto"/>
          </w:tcPr>
          <w:p w14:paraId="44C1F156" w14:textId="77777777" w:rsidR="003F4B02" w:rsidRPr="00E9758A" w:rsidRDefault="003F4B02" w:rsidP="00CB4A31">
            <w:pPr>
              <w:pStyle w:val="Header"/>
              <w:tabs>
                <w:tab w:val="left" w:pos="6300"/>
              </w:tabs>
              <w:spacing w:before="120"/>
              <w:rPr>
                <w:rFonts w:cs="Arial"/>
              </w:rPr>
            </w:pPr>
            <w:r w:rsidRPr="00E9758A">
              <w:rPr>
                <w:rFonts w:cs="Arial"/>
              </w:rPr>
              <w:t>In Exhibit B2, Question 13.5, we believe we would adhere to this requirement as all electronic statements are available within 24 hours of the billing cycle. Can you confirm that this statement adheres to the spirit of the request?</w:t>
            </w:r>
          </w:p>
          <w:p w14:paraId="7D41249F" w14:textId="77777777" w:rsidR="00503665" w:rsidRDefault="00503665" w:rsidP="00CB4A31">
            <w:pPr>
              <w:pStyle w:val="Header"/>
              <w:tabs>
                <w:tab w:val="left" w:pos="6300"/>
              </w:tabs>
              <w:spacing w:before="120"/>
              <w:rPr>
                <w:rFonts w:cs="Arial"/>
              </w:rPr>
            </w:pPr>
          </w:p>
        </w:tc>
        <w:tc>
          <w:tcPr>
            <w:tcW w:w="1829" w:type="pct"/>
            <w:shd w:val="clear" w:color="auto" w:fill="auto"/>
          </w:tcPr>
          <w:p w14:paraId="4726EAD0" w14:textId="4C15ADE7" w:rsidR="00503665" w:rsidRDefault="00B116EF" w:rsidP="00372B68">
            <w:pPr>
              <w:pStyle w:val="Header"/>
              <w:tabs>
                <w:tab w:val="left" w:pos="6300"/>
              </w:tabs>
              <w:spacing w:before="120"/>
              <w:rPr>
                <w:rFonts w:cs="Arial"/>
              </w:rPr>
            </w:pPr>
            <w:r>
              <w:rPr>
                <w:rFonts w:cs="Arial"/>
              </w:rPr>
              <w:t xml:space="preserve">See response to </w:t>
            </w:r>
            <w:hyperlink w:anchor="Question_14" w:history="1">
              <w:r w:rsidRPr="0042316C">
                <w:rPr>
                  <w:rStyle w:val="Hyperlink"/>
                  <w:rFonts w:cs="Arial"/>
                </w:rPr>
                <w:t>Question #14</w:t>
              </w:r>
            </w:hyperlink>
            <w:r>
              <w:rPr>
                <w:rFonts w:cs="Arial"/>
              </w:rPr>
              <w:t>.</w:t>
            </w:r>
          </w:p>
        </w:tc>
        <w:tc>
          <w:tcPr>
            <w:tcW w:w="1001" w:type="pct"/>
            <w:shd w:val="clear" w:color="auto" w:fill="auto"/>
          </w:tcPr>
          <w:p w14:paraId="3B0AFB90" w14:textId="524E0090" w:rsidR="00B116EF" w:rsidRDefault="00FA315B" w:rsidP="00CB4A31">
            <w:pPr>
              <w:pStyle w:val="Header"/>
              <w:tabs>
                <w:tab w:val="left" w:pos="6300"/>
              </w:tabs>
              <w:spacing w:before="120"/>
            </w:pPr>
            <w:r>
              <w:t>No.</w:t>
            </w:r>
          </w:p>
        </w:tc>
      </w:tr>
      <w:tr w:rsidR="001C166B" w:rsidRPr="00B319C7" w14:paraId="5BA1B8D8" w14:textId="77777777" w:rsidTr="00AE4EC0">
        <w:trPr>
          <w:cantSplit/>
          <w:trHeight w:val="692"/>
        </w:trPr>
        <w:tc>
          <w:tcPr>
            <w:tcW w:w="293" w:type="pct"/>
            <w:shd w:val="clear" w:color="auto" w:fill="auto"/>
          </w:tcPr>
          <w:p w14:paraId="4F580D05" w14:textId="77A3F142" w:rsidR="00503665" w:rsidRDefault="00503665" w:rsidP="00CB4A31">
            <w:pPr>
              <w:pStyle w:val="Header"/>
              <w:tabs>
                <w:tab w:val="left" w:pos="6300"/>
              </w:tabs>
              <w:spacing w:before="120"/>
              <w:rPr>
                <w:rFonts w:cs="Arial"/>
              </w:rPr>
            </w:pPr>
            <w:r>
              <w:rPr>
                <w:rFonts w:cs="Arial"/>
              </w:rPr>
              <w:lastRenderedPageBreak/>
              <w:t>35</w:t>
            </w:r>
          </w:p>
        </w:tc>
        <w:tc>
          <w:tcPr>
            <w:tcW w:w="1877" w:type="pct"/>
            <w:shd w:val="clear" w:color="auto" w:fill="auto"/>
          </w:tcPr>
          <w:p w14:paraId="45DA5362" w14:textId="0DAB1383" w:rsidR="003F4B02" w:rsidRPr="00E9758A" w:rsidRDefault="003F4B02" w:rsidP="00CB4A31">
            <w:pPr>
              <w:pStyle w:val="Header"/>
              <w:tabs>
                <w:tab w:val="left" w:pos="6300"/>
              </w:tabs>
              <w:spacing w:before="120"/>
              <w:rPr>
                <w:rFonts w:cs="Arial"/>
              </w:rPr>
            </w:pPr>
            <w:r w:rsidRPr="00E9758A">
              <w:rPr>
                <w:rFonts w:cs="Arial"/>
              </w:rPr>
              <w:t>In Exhibit B2, Question 15.7</w:t>
            </w:r>
            <w:r w:rsidR="00B116EF">
              <w:rPr>
                <w:rFonts w:cs="Arial"/>
              </w:rPr>
              <w:t>, can you clarify what you mean(t)</w:t>
            </w:r>
            <w:r w:rsidRPr="00E9758A">
              <w:rPr>
                <w:rFonts w:cs="Arial"/>
              </w:rPr>
              <w:t xml:space="preserve"> by “reporter’s credentials”?</w:t>
            </w:r>
          </w:p>
          <w:p w14:paraId="7FF85892" w14:textId="77777777" w:rsidR="00503665" w:rsidRDefault="00503665" w:rsidP="00CB4A31">
            <w:pPr>
              <w:pStyle w:val="Header"/>
              <w:tabs>
                <w:tab w:val="left" w:pos="6300"/>
              </w:tabs>
              <w:spacing w:before="120"/>
              <w:rPr>
                <w:rFonts w:cs="Arial"/>
              </w:rPr>
            </w:pPr>
          </w:p>
        </w:tc>
        <w:tc>
          <w:tcPr>
            <w:tcW w:w="1829" w:type="pct"/>
            <w:shd w:val="clear" w:color="auto" w:fill="auto"/>
          </w:tcPr>
          <w:p w14:paraId="756ADE7C" w14:textId="6A3AC16E" w:rsidR="00503665" w:rsidRDefault="00B116EF" w:rsidP="00372B68">
            <w:pPr>
              <w:pStyle w:val="Header"/>
              <w:tabs>
                <w:tab w:val="left" w:pos="6300"/>
              </w:tabs>
              <w:spacing w:before="120"/>
              <w:rPr>
                <w:rFonts w:cs="Arial"/>
              </w:rPr>
            </w:pPr>
            <w:r>
              <w:rPr>
                <w:rFonts w:cs="Arial"/>
              </w:rPr>
              <w:t xml:space="preserve">See response to </w:t>
            </w:r>
            <w:hyperlink w:anchor="Question_16" w:history="1">
              <w:r w:rsidRPr="0042316C">
                <w:rPr>
                  <w:rStyle w:val="Hyperlink"/>
                  <w:rFonts w:cs="Arial"/>
                </w:rPr>
                <w:t>Question #16</w:t>
              </w:r>
            </w:hyperlink>
            <w:r>
              <w:rPr>
                <w:rFonts w:cs="Arial"/>
              </w:rPr>
              <w:t>.</w:t>
            </w:r>
          </w:p>
        </w:tc>
        <w:tc>
          <w:tcPr>
            <w:tcW w:w="1001" w:type="pct"/>
            <w:shd w:val="clear" w:color="auto" w:fill="auto"/>
          </w:tcPr>
          <w:p w14:paraId="1FE62838" w14:textId="308ABF0C" w:rsidR="00503665" w:rsidRDefault="00FA315B" w:rsidP="00CB4A31">
            <w:pPr>
              <w:pStyle w:val="Header"/>
              <w:tabs>
                <w:tab w:val="left" w:pos="6300"/>
              </w:tabs>
              <w:spacing w:before="120"/>
            </w:pPr>
            <w:r>
              <w:t>No.</w:t>
            </w:r>
          </w:p>
        </w:tc>
      </w:tr>
      <w:tr w:rsidR="001C166B" w:rsidRPr="00B319C7" w14:paraId="4B826D2B" w14:textId="77777777" w:rsidTr="00AE4EC0">
        <w:trPr>
          <w:cantSplit/>
          <w:trHeight w:val="692"/>
        </w:trPr>
        <w:tc>
          <w:tcPr>
            <w:tcW w:w="293" w:type="pct"/>
            <w:shd w:val="clear" w:color="auto" w:fill="auto"/>
          </w:tcPr>
          <w:p w14:paraId="663D21C4" w14:textId="7B49691F" w:rsidR="00503665" w:rsidRDefault="00503665" w:rsidP="00CB4A31">
            <w:pPr>
              <w:pStyle w:val="Header"/>
              <w:tabs>
                <w:tab w:val="left" w:pos="6300"/>
              </w:tabs>
              <w:spacing w:before="120"/>
              <w:rPr>
                <w:rFonts w:cs="Arial"/>
              </w:rPr>
            </w:pPr>
            <w:r>
              <w:rPr>
                <w:rFonts w:cs="Arial"/>
              </w:rPr>
              <w:t>36</w:t>
            </w:r>
          </w:p>
        </w:tc>
        <w:tc>
          <w:tcPr>
            <w:tcW w:w="1877" w:type="pct"/>
            <w:shd w:val="clear" w:color="auto" w:fill="auto"/>
          </w:tcPr>
          <w:p w14:paraId="17C32B4E" w14:textId="77777777" w:rsidR="003F4B02" w:rsidRPr="00E9758A" w:rsidRDefault="003F4B02" w:rsidP="00CB4A31">
            <w:pPr>
              <w:pStyle w:val="Header"/>
              <w:tabs>
                <w:tab w:val="left" w:pos="6300"/>
              </w:tabs>
              <w:spacing w:before="120"/>
              <w:rPr>
                <w:rFonts w:cs="Arial"/>
              </w:rPr>
            </w:pPr>
            <w:r w:rsidRPr="00E9758A">
              <w:rPr>
                <w:rFonts w:cs="Arial"/>
              </w:rPr>
              <w:t>In Exhibit B2, Question 15.9, can you define what you'd consider a mass attack? We believe you are trying to define a credit master run but can you clarify? Would it be possible to provide an example for additional clarity?</w:t>
            </w:r>
          </w:p>
          <w:p w14:paraId="52453A3D" w14:textId="77777777" w:rsidR="00503665" w:rsidRDefault="00503665" w:rsidP="00CB4A31">
            <w:pPr>
              <w:pStyle w:val="Header"/>
              <w:tabs>
                <w:tab w:val="left" w:pos="6300"/>
              </w:tabs>
              <w:spacing w:before="120"/>
              <w:rPr>
                <w:rFonts w:cs="Arial"/>
              </w:rPr>
            </w:pPr>
          </w:p>
        </w:tc>
        <w:tc>
          <w:tcPr>
            <w:tcW w:w="1829" w:type="pct"/>
            <w:shd w:val="clear" w:color="auto" w:fill="auto"/>
          </w:tcPr>
          <w:p w14:paraId="44D80E6D" w14:textId="416E408C" w:rsidR="00503665" w:rsidRDefault="00B116EF" w:rsidP="00372B68">
            <w:pPr>
              <w:pStyle w:val="Header"/>
              <w:tabs>
                <w:tab w:val="left" w:pos="6300"/>
              </w:tabs>
              <w:spacing w:before="120"/>
              <w:rPr>
                <w:rFonts w:cs="Arial"/>
              </w:rPr>
            </w:pPr>
            <w:r>
              <w:rPr>
                <w:rFonts w:cs="Arial"/>
              </w:rPr>
              <w:t xml:space="preserve">See response to </w:t>
            </w:r>
            <w:hyperlink w:anchor="Question_17" w:history="1">
              <w:r w:rsidRPr="0042316C">
                <w:rPr>
                  <w:rStyle w:val="Hyperlink"/>
                  <w:rFonts w:cs="Arial"/>
                </w:rPr>
                <w:t>Question #17</w:t>
              </w:r>
            </w:hyperlink>
            <w:r>
              <w:rPr>
                <w:rFonts w:cs="Arial"/>
              </w:rPr>
              <w:t>.</w:t>
            </w:r>
          </w:p>
        </w:tc>
        <w:tc>
          <w:tcPr>
            <w:tcW w:w="1001" w:type="pct"/>
            <w:shd w:val="clear" w:color="auto" w:fill="auto"/>
          </w:tcPr>
          <w:p w14:paraId="2FAE4464" w14:textId="4A25675E" w:rsidR="00503665" w:rsidRDefault="00FA315B" w:rsidP="00CB4A31">
            <w:pPr>
              <w:pStyle w:val="Header"/>
              <w:tabs>
                <w:tab w:val="left" w:pos="6300"/>
              </w:tabs>
              <w:spacing w:before="120"/>
            </w:pPr>
            <w:r>
              <w:t>No.</w:t>
            </w:r>
          </w:p>
        </w:tc>
      </w:tr>
      <w:tr w:rsidR="001C166B" w:rsidRPr="00B319C7" w14:paraId="31EF7F1E" w14:textId="77777777" w:rsidTr="00AE4EC0">
        <w:trPr>
          <w:cantSplit/>
          <w:trHeight w:val="692"/>
        </w:trPr>
        <w:tc>
          <w:tcPr>
            <w:tcW w:w="293" w:type="pct"/>
            <w:shd w:val="clear" w:color="auto" w:fill="auto"/>
          </w:tcPr>
          <w:p w14:paraId="0EC787B8" w14:textId="361A689B" w:rsidR="00F90DE2" w:rsidRDefault="00DD3666" w:rsidP="00CB4A31">
            <w:pPr>
              <w:pStyle w:val="Header"/>
              <w:tabs>
                <w:tab w:val="left" w:pos="6300"/>
              </w:tabs>
              <w:spacing w:before="120"/>
              <w:rPr>
                <w:rFonts w:cs="Arial"/>
              </w:rPr>
            </w:pPr>
            <w:r>
              <w:rPr>
                <w:rFonts w:cs="Arial"/>
              </w:rPr>
              <w:t>37</w:t>
            </w:r>
          </w:p>
        </w:tc>
        <w:tc>
          <w:tcPr>
            <w:tcW w:w="1877" w:type="pct"/>
            <w:shd w:val="clear" w:color="auto" w:fill="auto"/>
          </w:tcPr>
          <w:p w14:paraId="01BE6172" w14:textId="4A09B78C" w:rsidR="00F90DE2" w:rsidRPr="00FA3FDD" w:rsidRDefault="00FA3FDD" w:rsidP="00FA3FDD">
            <w:pPr>
              <w:pStyle w:val="Header"/>
              <w:tabs>
                <w:tab w:val="left" w:pos="6300"/>
              </w:tabs>
              <w:spacing w:before="120"/>
              <w:rPr>
                <w:rFonts w:cs="Arial"/>
              </w:rPr>
            </w:pPr>
            <w:r w:rsidRPr="00FA3FDD">
              <w:rPr>
                <w:rFonts w:cs="Arial"/>
              </w:rPr>
              <w:t>How will WA manage the end of the Q&amp;A period and any impacts to the solicitation?</w:t>
            </w:r>
          </w:p>
          <w:p w14:paraId="17AE6927" w14:textId="48AF4526" w:rsidR="00F90DE2" w:rsidRPr="00E9758A" w:rsidRDefault="00FA3FDD" w:rsidP="00FA3FDD">
            <w:pPr>
              <w:pStyle w:val="Header"/>
              <w:tabs>
                <w:tab w:val="left" w:pos="6300"/>
              </w:tabs>
              <w:spacing w:before="120"/>
              <w:rPr>
                <w:rFonts w:cs="Arial"/>
              </w:rPr>
            </w:pPr>
            <w:r w:rsidRPr="00FA3FDD">
              <w:rPr>
                <w:rFonts w:cs="Arial"/>
              </w:rPr>
              <w:t>Since the Q&amp;A period ends so close to the bid due date, will there be a deadline where no additional changes to the solicitation can be made.</w:t>
            </w:r>
            <w:r>
              <w:t xml:space="preserve"> </w:t>
            </w:r>
          </w:p>
        </w:tc>
        <w:tc>
          <w:tcPr>
            <w:tcW w:w="1829" w:type="pct"/>
            <w:shd w:val="clear" w:color="auto" w:fill="auto"/>
          </w:tcPr>
          <w:p w14:paraId="191E1541" w14:textId="77777777" w:rsidR="00FA3FDD" w:rsidRDefault="00FA3FDD" w:rsidP="00FA3FDD">
            <w:pPr>
              <w:pStyle w:val="Header"/>
              <w:tabs>
                <w:tab w:val="left" w:pos="6300"/>
              </w:tabs>
              <w:spacing w:before="120"/>
              <w:rPr>
                <w:rFonts w:cs="Arial"/>
              </w:rPr>
            </w:pPr>
            <w:r>
              <w:rPr>
                <w:rFonts w:cs="Arial"/>
              </w:rPr>
              <w:t xml:space="preserve">As stated in Q&amp;A #1 posted on 6/10/2019, Enterprise Services will attempt to answer questions as efficiently as possible. </w:t>
            </w:r>
          </w:p>
          <w:p w14:paraId="32222A5E" w14:textId="77777777" w:rsidR="00FA3FDD" w:rsidRDefault="00FA3FDD" w:rsidP="00FA3FDD">
            <w:pPr>
              <w:pStyle w:val="Header"/>
              <w:tabs>
                <w:tab w:val="left" w:pos="6300"/>
              </w:tabs>
              <w:spacing w:before="120"/>
              <w:rPr>
                <w:rFonts w:cs="Arial"/>
              </w:rPr>
            </w:pPr>
            <w:r>
              <w:rPr>
                <w:rFonts w:cs="Arial"/>
              </w:rPr>
              <w:t>As questions are received throughout the solicitation timeline, Question &amp; Answer (QA) documents and potential solicitation amendments will be posted to WEBS.</w:t>
            </w:r>
          </w:p>
          <w:p w14:paraId="63C02420" w14:textId="1204F95B" w:rsidR="00FA3FDD" w:rsidRDefault="00FA3FDD" w:rsidP="00FA3FDD">
            <w:pPr>
              <w:pStyle w:val="Header"/>
              <w:tabs>
                <w:tab w:val="left" w:pos="6300"/>
              </w:tabs>
              <w:spacing w:before="120"/>
              <w:rPr>
                <w:rFonts w:cs="Arial"/>
              </w:rPr>
            </w:pPr>
            <w:r>
              <w:rPr>
                <w:rFonts w:cs="Arial"/>
              </w:rPr>
              <w:t>See solicitation document, Section 1.1 Competitive Solicitation – Amendment &amp; Modification.</w:t>
            </w:r>
          </w:p>
          <w:p w14:paraId="1904B657" w14:textId="3B900DB5" w:rsidR="00F90DE2" w:rsidRDefault="00FA3FDD" w:rsidP="00CB4A31">
            <w:pPr>
              <w:pStyle w:val="Header"/>
              <w:tabs>
                <w:tab w:val="left" w:pos="6300"/>
              </w:tabs>
              <w:spacing w:before="120"/>
              <w:rPr>
                <w:rFonts w:cs="Arial"/>
              </w:rPr>
            </w:pPr>
            <w:r>
              <w:rPr>
                <w:rFonts w:cs="Arial"/>
              </w:rPr>
              <w:t>There is not a final date/deadline for changes to the solicitation to be made. In an effort to ensure major changes to the solicitation don’t happen at the last minute, bidders are encouraged to submit</w:t>
            </w:r>
            <w:r w:rsidR="00A35E22">
              <w:rPr>
                <w:rFonts w:cs="Arial"/>
              </w:rPr>
              <w:t xml:space="preserve"> questions early in the process.</w:t>
            </w:r>
            <w:r w:rsidR="00FA315B">
              <w:rPr>
                <w:rFonts w:cs="Arial"/>
              </w:rPr>
              <w:br/>
            </w:r>
          </w:p>
        </w:tc>
        <w:tc>
          <w:tcPr>
            <w:tcW w:w="1001" w:type="pct"/>
            <w:shd w:val="clear" w:color="auto" w:fill="auto"/>
          </w:tcPr>
          <w:p w14:paraId="64D3F1C8" w14:textId="53352E79" w:rsidR="00F90DE2" w:rsidRDefault="00A35E22" w:rsidP="00CB4A31">
            <w:pPr>
              <w:pStyle w:val="Header"/>
              <w:tabs>
                <w:tab w:val="left" w:pos="6300"/>
              </w:tabs>
              <w:spacing w:before="120"/>
            </w:pPr>
            <w:r>
              <w:t>No.</w:t>
            </w:r>
          </w:p>
        </w:tc>
      </w:tr>
      <w:tr w:rsidR="001C166B" w:rsidRPr="00B319C7" w14:paraId="0FCF1B26" w14:textId="77777777" w:rsidTr="00AE4EC0">
        <w:trPr>
          <w:cantSplit/>
          <w:trHeight w:val="692"/>
        </w:trPr>
        <w:tc>
          <w:tcPr>
            <w:tcW w:w="293" w:type="pct"/>
            <w:shd w:val="clear" w:color="auto" w:fill="auto"/>
          </w:tcPr>
          <w:p w14:paraId="12EFAD1C" w14:textId="303A6118" w:rsidR="00F90DE2" w:rsidRDefault="00F90DE2" w:rsidP="00CB4A31">
            <w:pPr>
              <w:pStyle w:val="Header"/>
              <w:tabs>
                <w:tab w:val="left" w:pos="6300"/>
              </w:tabs>
              <w:spacing w:before="120"/>
              <w:rPr>
                <w:rFonts w:cs="Arial"/>
              </w:rPr>
            </w:pPr>
            <w:r>
              <w:rPr>
                <w:rFonts w:cs="Arial"/>
              </w:rPr>
              <w:t>38</w:t>
            </w:r>
          </w:p>
        </w:tc>
        <w:tc>
          <w:tcPr>
            <w:tcW w:w="1877" w:type="pct"/>
            <w:shd w:val="clear" w:color="auto" w:fill="auto"/>
          </w:tcPr>
          <w:p w14:paraId="0FD0C6E5" w14:textId="2A6B19D3" w:rsidR="00F90DE2" w:rsidRPr="00E9758A" w:rsidRDefault="00A35E22" w:rsidP="00A35E22">
            <w:pPr>
              <w:pStyle w:val="Header"/>
              <w:tabs>
                <w:tab w:val="left" w:pos="6300"/>
              </w:tabs>
              <w:spacing w:before="120"/>
              <w:rPr>
                <w:rFonts w:cs="Arial"/>
              </w:rPr>
            </w:pPr>
            <w:r w:rsidRPr="00A35E22">
              <w:rPr>
                <w:rFonts w:cs="Arial"/>
              </w:rPr>
              <w:t>Can electronic files be saved to one (1) U</w:t>
            </w:r>
            <w:r w:rsidR="00F90DE2" w:rsidRPr="00A35E22">
              <w:rPr>
                <w:rFonts w:cs="Arial"/>
              </w:rPr>
              <w:t>SB Drive?</w:t>
            </w:r>
            <w:r w:rsidR="00F90DE2">
              <w:t xml:space="preserve"> </w:t>
            </w:r>
          </w:p>
        </w:tc>
        <w:tc>
          <w:tcPr>
            <w:tcW w:w="1829" w:type="pct"/>
            <w:shd w:val="clear" w:color="auto" w:fill="auto"/>
          </w:tcPr>
          <w:p w14:paraId="6C729CF7" w14:textId="77777777" w:rsidR="00A35E22" w:rsidRPr="00A35E22" w:rsidRDefault="00A35E22" w:rsidP="00A35E22">
            <w:pPr>
              <w:pStyle w:val="Header"/>
              <w:tabs>
                <w:tab w:val="left" w:pos="6300"/>
              </w:tabs>
              <w:spacing w:before="120"/>
              <w:rPr>
                <w:rFonts w:cs="Arial"/>
              </w:rPr>
            </w:pPr>
            <w:r w:rsidRPr="00A35E22">
              <w:rPr>
                <w:rFonts w:cs="Arial"/>
              </w:rPr>
              <w:t xml:space="preserve">Yes, as long as there is a technical file folder with documents and a rebate/incentive share file folder with documents. </w:t>
            </w:r>
          </w:p>
          <w:p w14:paraId="576AE9C0" w14:textId="77777777" w:rsidR="00F90DE2" w:rsidRDefault="00F90DE2" w:rsidP="00CB4A31">
            <w:pPr>
              <w:pStyle w:val="Header"/>
              <w:tabs>
                <w:tab w:val="left" w:pos="6300"/>
              </w:tabs>
              <w:spacing w:before="120"/>
              <w:rPr>
                <w:rFonts w:cs="Arial"/>
              </w:rPr>
            </w:pPr>
          </w:p>
        </w:tc>
        <w:tc>
          <w:tcPr>
            <w:tcW w:w="1001" w:type="pct"/>
            <w:shd w:val="clear" w:color="auto" w:fill="auto"/>
          </w:tcPr>
          <w:p w14:paraId="3B964B2F" w14:textId="0CB80786" w:rsidR="00F90DE2" w:rsidRDefault="00A35E22" w:rsidP="00CB4A31">
            <w:pPr>
              <w:pStyle w:val="Header"/>
              <w:tabs>
                <w:tab w:val="left" w:pos="6300"/>
              </w:tabs>
              <w:spacing w:before="120"/>
            </w:pPr>
            <w:r w:rsidRPr="00AE4EC0">
              <w:t>Yes</w:t>
            </w:r>
          </w:p>
        </w:tc>
      </w:tr>
      <w:tr w:rsidR="001C166B" w:rsidRPr="00B319C7" w14:paraId="5ACF7895" w14:textId="77777777" w:rsidTr="00AE4EC0">
        <w:trPr>
          <w:cantSplit/>
          <w:trHeight w:val="692"/>
        </w:trPr>
        <w:tc>
          <w:tcPr>
            <w:tcW w:w="293" w:type="pct"/>
            <w:shd w:val="clear" w:color="auto" w:fill="auto"/>
          </w:tcPr>
          <w:p w14:paraId="175148D0" w14:textId="4433227E" w:rsidR="00F90DE2" w:rsidRDefault="00F90DE2" w:rsidP="00CB4A31">
            <w:pPr>
              <w:pStyle w:val="Header"/>
              <w:tabs>
                <w:tab w:val="left" w:pos="6300"/>
              </w:tabs>
              <w:spacing w:before="120"/>
              <w:rPr>
                <w:rFonts w:cs="Arial"/>
              </w:rPr>
            </w:pPr>
            <w:r>
              <w:rPr>
                <w:rFonts w:cs="Arial"/>
              </w:rPr>
              <w:lastRenderedPageBreak/>
              <w:t>39</w:t>
            </w:r>
          </w:p>
        </w:tc>
        <w:tc>
          <w:tcPr>
            <w:tcW w:w="1877" w:type="pct"/>
            <w:shd w:val="clear" w:color="auto" w:fill="auto"/>
          </w:tcPr>
          <w:p w14:paraId="678A97B3" w14:textId="20788693" w:rsidR="00F90DE2" w:rsidRPr="00A35E22" w:rsidRDefault="00A35E22" w:rsidP="00A35E22">
            <w:pPr>
              <w:pStyle w:val="Header"/>
              <w:tabs>
                <w:tab w:val="left" w:pos="6300"/>
              </w:tabs>
              <w:spacing w:before="120"/>
              <w:rPr>
                <w:rFonts w:cs="Arial"/>
              </w:rPr>
            </w:pPr>
            <w:r w:rsidRPr="00A35E22">
              <w:rPr>
                <w:rFonts w:cs="Arial"/>
              </w:rPr>
              <w:t xml:space="preserve">Will marketing materials not be accepted in the bid? </w:t>
            </w:r>
          </w:p>
          <w:p w14:paraId="24631C65" w14:textId="77777777" w:rsidR="00F90DE2" w:rsidRPr="00E9758A" w:rsidRDefault="00F90DE2" w:rsidP="00CB4A31">
            <w:pPr>
              <w:pStyle w:val="Header"/>
              <w:tabs>
                <w:tab w:val="left" w:pos="6300"/>
              </w:tabs>
              <w:spacing w:before="120"/>
              <w:rPr>
                <w:rFonts w:cs="Arial"/>
              </w:rPr>
            </w:pPr>
          </w:p>
        </w:tc>
        <w:tc>
          <w:tcPr>
            <w:tcW w:w="1829" w:type="pct"/>
            <w:shd w:val="clear" w:color="auto" w:fill="auto"/>
          </w:tcPr>
          <w:p w14:paraId="09451773" w14:textId="79DA2022" w:rsidR="00F90DE2" w:rsidRDefault="00A35E22" w:rsidP="00372B68">
            <w:pPr>
              <w:pStyle w:val="Header"/>
              <w:tabs>
                <w:tab w:val="left" w:pos="6300"/>
              </w:tabs>
              <w:spacing w:before="120"/>
              <w:rPr>
                <w:rFonts w:cs="Arial"/>
              </w:rPr>
            </w:pPr>
            <w:r>
              <w:rPr>
                <w:rFonts w:cs="Arial"/>
              </w:rPr>
              <w:t xml:space="preserve">See response to </w:t>
            </w:r>
            <w:hyperlink w:anchor="Question_1" w:history="1">
              <w:r w:rsidRPr="0042316C">
                <w:rPr>
                  <w:rStyle w:val="Hyperlink"/>
                  <w:rFonts w:cs="Arial"/>
                </w:rPr>
                <w:t>Question #1</w:t>
              </w:r>
            </w:hyperlink>
            <w:r>
              <w:rPr>
                <w:rFonts w:cs="Arial"/>
              </w:rPr>
              <w:t>.</w:t>
            </w:r>
          </w:p>
        </w:tc>
        <w:tc>
          <w:tcPr>
            <w:tcW w:w="1001" w:type="pct"/>
            <w:shd w:val="clear" w:color="auto" w:fill="auto"/>
          </w:tcPr>
          <w:p w14:paraId="3AA15891" w14:textId="0D79AC90" w:rsidR="00F90DE2" w:rsidRDefault="00A35E22" w:rsidP="00CB4A31">
            <w:pPr>
              <w:pStyle w:val="Header"/>
              <w:tabs>
                <w:tab w:val="left" w:pos="6300"/>
              </w:tabs>
              <w:spacing w:before="120"/>
            </w:pPr>
            <w:r>
              <w:t>No.</w:t>
            </w:r>
          </w:p>
        </w:tc>
      </w:tr>
      <w:tr w:rsidR="001C166B" w:rsidRPr="00B319C7" w14:paraId="40AEECC1" w14:textId="77777777" w:rsidTr="00AE4EC0">
        <w:trPr>
          <w:cantSplit/>
          <w:trHeight w:val="692"/>
        </w:trPr>
        <w:tc>
          <w:tcPr>
            <w:tcW w:w="293" w:type="pct"/>
            <w:shd w:val="clear" w:color="auto" w:fill="auto"/>
          </w:tcPr>
          <w:p w14:paraId="6059FE99" w14:textId="67B49C53" w:rsidR="00F90DE2" w:rsidRDefault="00F90DE2" w:rsidP="00CB4A31">
            <w:pPr>
              <w:pStyle w:val="Header"/>
              <w:tabs>
                <w:tab w:val="left" w:pos="6300"/>
              </w:tabs>
              <w:spacing w:before="120"/>
              <w:rPr>
                <w:rFonts w:cs="Arial"/>
              </w:rPr>
            </w:pPr>
            <w:r>
              <w:rPr>
                <w:rFonts w:cs="Arial"/>
              </w:rPr>
              <w:t>40</w:t>
            </w:r>
          </w:p>
        </w:tc>
        <w:tc>
          <w:tcPr>
            <w:tcW w:w="1877" w:type="pct"/>
            <w:shd w:val="clear" w:color="auto" w:fill="auto"/>
          </w:tcPr>
          <w:p w14:paraId="26F032D0" w14:textId="62850E99" w:rsidR="00F90DE2" w:rsidRPr="00A35E22" w:rsidRDefault="00A35E22" w:rsidP="00A35E22">
            <w:pPr>
              <w:pStyle w:val="Header"/>
              <w:tabs>
                <w:tab w:val="left" w:pos="6300"/>
              </w:tabs>
              <w:spacing w:before="120"/>
              <w:rPr>
                <w:rFonts w:cs="Arial"/>
              </w:rPr>
            </w:pPr>
            <w:r w:rsidRPr="00A35E22">
              <w:rPr>
                <w:rFonts w:cs="Arial"/>
              </w:rPr>
              <w:t xml:space="preserve">Can financial statements be provided via a link instead of paper documentation/electronic files? </w:t>
            </w:r>
          </w:p>
          <w:p w14:paraId="77890CBE" w14:textId="77777777" w:rsidR="00F90DE2" w:rsidRPr="00E9758A" w:rsidRDefault="00F90DE2" w:rsidP="00CB4A31">
            <w:pPr>
              <w:pStyle w:val="Header"/>
              <w:tabs>
                <w:tab w:val="left" w:pos="6300"/>
              </w:tabs>
              <w:spacing w:before="120"/>
              <w:rPr>
                <w:rFonts w:cs="Arial"/>
              </w:rPr>
            </w:pPr>
          </w:p>
        </w:tc>
        <w:tc>
          <w:tcPr>
            <w:tcW w:w="1829" w:type="pct"/>
            <w:shd w:val="clear" w:color="auto" w:fill="auto"/>
          </w:tcPr>
          <w:p w14:paraId="2A96E796" w14:textId="77777777" w:rsidR="00F90DE2" w:rsidRDefault="00A35E22" w:rsidP="00CB4A31">
            <w:pPr>
              <w:pStyle w:val="Header"/>
              <w:tabs>
                <w:tab w:val="left" w:pos="6300"/>
              </w:tabs>
              <w:spacing w:before="120"/>
              <w:rPr>
                <w:rFonts w:cs="Arial"/>
              </w:rPr>
            </w:pPr>
            <w:r>
              <w:rPr>
                <w:rFonts w:cs="Arial"/>
              </w:rPr>
              <w:t>Financial statements may be requested by Enterprise Services as part of the Responsibility Check (see section 4.9 of the Solicitation Document).</w:t>
            </w:r>
          </w:p>
          <w:p w14:paraId="5FBADB12" w14:textId="548A33F8" w:rsidR="00A35E22" w:rsidRPr="00A35E22" w:rsidRDefault="00A35E22" w:rsidP="00A35E22">
            <w:pPr>
              <w:pStyle w:val="Header"/>
              <w:tabs>
                <w:tab w:val="left" w:pos="6300"/>
              </w:tabs>
              <w:spacing w:before="120"/>
              <w:rPr>
                <w:rFonts w:cs="Arial"/>
                <w:u w:val="single"/>
              </w:rPr>
            </w:pPr>
            <w:r>
              <w:rPr>
                <w:rFonts w:cs="Arial"/>
              </w:rPr>
              <w:t xml:space="preserve">Bids should </w:t>
            </w:r>
            <w:r w:rsidRPr="00A35E22">
              <w:rPr>
                <w:rFonts w:cs="Arial"/>
                <w:b/>
              </w:rPr>
              <w:t>NOT</w:t>
            </w:r>
            <w:r>
              <w:rPr>
                <w:rFonts w:cs="Arial"/>
                <w:b/>
              </w:rPr>
              <w:t xml:space="preserve"> </w:t>
            </w:r>
            <w:r>
              <w:rPr>
                <w:rFonts w:cs="Arial"/>
              </w:rPr>
              <w:t>include Bidder’s financial statements in their bid.  If financial statements are needed, Enterprise Services will request those at a later date. Required format of those statements will be addressed in the request.</w:t>
            </w:r>
          </w:p>
        </w:tc>
        <w:tc>
          <w:tcPr>
            <w:tcW w:w="1001" w:type="pct"/>
            <w:shd w:val="clear" w:color="auto" w:fill="auto"/>
          </w:tcPr>
          <w:p w14:paraId="1E7319BB" w14:textId="4EEE6FD7" w:rsidR="00F90DE2" w:rsidRDefault="00A35E22" w:rsidP="00CB4A31">
            <w:pPr>
              <w:pStyle w:val="Header"/>
              <w:tabs>
                <w:tab w:val="left" w:pos="6300"/>
              </w:tabs>
              <w:spacing w:before="120"/>
            </w:pPr>
            <w:r>
              <w:t>No.</w:t>
            </w:r>
          </w:p>
        </w:tc>
      </w:tr>
      <w:tr w:rsidR="001C166B" w:rsidRPr="00B319C7" w14:paraId="1CEC0153" w14:textId="77777777" w:rsidTr="0099033B">
        <w:trPr>
          <w:cantSplit/>
          <w:trHeight w:val="692"/>
        </w:trPr>
        <w:tc>
          <w:tcPr>
            <w:tcW w:w="293" w:type="pct"/>
          </w:tcPr>
          <w:p w14:paraId="11BD8F71" w14:textId="2213FFA5" w:rsidR="00F90DE2" w:rsidRDefault="00F90DE2" w:rsidP="00CB4A31">
            <w:pPr>
              <w:pStyle w:val="Header"/>
              <w:tabs>
                <w:tab w:val="left" w:pos="6300"/>
              </w:tabs>
              <w:spacing w:before="120"/>
              <w:rPr>
                <w:rFonts w:cs="Arial"/>
              </w:rPr>
            </w:pPr>
            <w:bookmarkStart w:id="11" w:name="Question_41"/>
            <w:r>
              <w:rPr>
                <w:rFonts w:cs="Arial"/>
              </w:rPr>
              <w:t>41</w:t>
            </w:r>
            <w:bookmarkEnd w:id="11"/>
          </w:p>
        </w:tc>
        <w:tc>
          <w:tcPr>
            <w:tcW w:w="1877" w:type="pct"/>
          </w:tcPr>
          <w:p w14:paraId="3034A809" w14:textId="2BE8A9A6" w:rsidR="00F90DE2" w:rsidRPr="00E9758A" w:rsidRDefault="00F90DE2" w:rsidP="002B64A2">
            <w:pPr>
              <w:pStyle w:val="Header"/>
              <w:tabs>
                <w:tab w:val="left" w:pos="6300"/>
              </w:tabs>
              <w:spacing w:before="120"/>
              <w:rPr>
                <w:rFonts w:cs="Arial"/>
              </w:rPr>
            </w:pPr>
            <w:r w:rsidRPr="002B64A2">
              <w:rPr>
                <w:rFonts w:cs="Arial"/>
              </w:rPr>
              <w:t>Recommend clarification of non-standard. Exhibit H has definition but C1&amp;C2 request bidders provide a definition. May want to split out ‘non-standard’ types (</w:t>
            </w:r>
            <w:r w:rsidR="000705CF" w:rsidRPr="002B64A2">
              <w:rPr>
                <w:rFonts w:cs="Arial"/>
              </w:rPr>
              <w:t>i.e.</w:t>
            </w:r>
            <w:r w:rsidRPr="002B64A2">
              <w:rPr>
                <w:rFonts w:cs="Arial"/>
              </w:rPr>
              <w:t xml:space="preserve"> large ticket, merchant negotiated). Bidders may have different rates available based on the type of non-standard purchase.</w:t>
            </w:r>
            <w:r>
              <w:t xml:space="preserve"> </w:t>
            </w:r>
            <w:r>
              <w:br/>
            </w:r>
          </w:p>
        </w:tc>
        <w:tc>
          <w:tcPr>
            <w:tcW w:w="1829" w:type="pct"/>
          </w:tcPr>
          <w:p w14:paraId="57BF7CB3" w14:textId="019A5DE9" w:rsidR="00273ABD" w:rsidRPr="00273ABD" w:rsidRDefault="00273ABD" w:rsidP="000C4A17">
            <w:pPr>
              <w:pStyle w:val="Header"/>
              <w:tabs>
                <w:tab w:val="left" w:pos="6300"/>
              </w:tabs>
              <w:spacing w:before="120"/>
              <w:rPr>
                <w:rFonts w:cs="Arial"/>
              </w:rPr>
            </w:pPr>
            <w:r w:rsidRPr="00273ABD">
              <w:rPr>
                <w:rFonts w:cs="Arial"/>
              </w:rPr>
              <w:t>Exhibit C1 has been updated to allow for various rates for “non-standard” purchases.</w:t>
            </w:r>
          </w:p>
          <w:p w14:paraId="6F1F2DC5" w14:textId="35C481B7" w:rsidR="00F90DE2" w:rsidRDefault="00273ABD" w:rsidP="00920212">
            <w:pPr>
              <w:pStyle w:val="Header"/>
              <w:tabs>
                <w:tab w:val="left" w:pos="6300"/>
              </w:tabs>
              <w:spacing w:before="120"/>
              <w:rPr>
                <w:rFonts w:cs="Arial"/>
              </w:rPr>
            </w:pPr>
            <w:r w:rsidRPr="00273ABD">
              <w:rPr>
                <w:rFonts w:cs="Arial"/>
              </w:rPr>
              <w:t>Definitions of the “non-standard” types have been added to Exhibit H.</w:t>
            </w:r>
            <w:r w:rsidR="002B64A2" w:rsidRPr="00273ABD">
              <w:rPr>
                <w:rFonts w:cs="Arial"/>
              </w:rPr>
              <w:t xml:space="preserve"> </w:t>
            </w:r>
            <w:r w:rsidR="00920212">
              <w:rPr>
                <w:rFonts w:cs="Arial"/>
              </w:rPr>
              <w:br/>
            </w:r>
          </w:p>
        </w:tc>
        <w:tc>
          <w:tcPr>
            <w:tcW w:w="1001" w:type="pct"/>
          </w:tcPr>
          <w:p w14:paraId="1A2BC9DE" w14:textId="14618E6B" w:rsidR="00DE0ACE" w:rsidRDefault="00920212" w:rsidP="001C166B">
            <w:pPr>
              <w:pStyle w:val="Header"/>
              <w:tabs>
                <w:tab w:val="left" w:pos="6300"/>
              </w:tabs>
              <w:spacing w:before="120"/>
            </w:pPr>
            <w:r>
              <w:t>Yes.</w:t>
            </w:r>
          </w:p>
        </w:tc>
      </w:tr>
      <w:tr w:rsidR="001C166B" w:rsidRPr="00B319C7" w14:paraId="73D76E63" w14:textId="77777777" w:rsidTr="0099033B">
        <w:trPr>
          <w:cantSplit/>
          <w:trHeight w:val="692"/>
        </w:trPr>
        <w:tc>
          <w:tcPr>
            <w:tcW w:w="293" w:type="pct"/>
          </w:tcPr>
          <w:p w14:paraId="24FB7F0E" w14:textId="796B3A66" w:rsidR="00F90DE2" w:rsidRDefault="00F90DE2" w:rsidP="00CB4A31">
            <w:pPr>
              <w:pStyle w:val="Header"/>
              <w:tabs>
                <w:tab w:val="left" w:pos="6300"/>
              </w:tabs>
              <w:spacing w:before="120"/>
              <w:rPr>
                <w:rFonts w:cs="Arial"/>
              </w:rPr>
            </w:pPr>
            <w:r>
              <w:rPr>
                <w:rFonts w:cs="Arial"/>
              </w:rPr>
              <w:t>42</w:t>
            </w:r>
          </w:p>
        </w:tc>
        <w:tc>
          <w:tcPr>
            <w:tcW w:w="1877" w:type="pct"/>
          </w:tcPr>
          <w:p w14:paraId="5F4614E0" w14:textId="2A212465" w:rsidR="00F90DE2" w:rsidRPr="00E9758A" w:rsidRDefault="000C4A17" w:rsidP="00920212">
            <w:pPr>
              <w:pStyle w:val="Header"/>
              <w:tabs>
                <w:tab w:val="left" w:pos="6300"/>
              </w:tabs>
              <w:spacing w:before="120"/>
              <w:rPr>
                <w:rFonts w:cs="Arial"/>
              </w:rPr>
            </w:pPr>
            <w:r>
              <w:rPr>
                <w:rFonts w:cs="Arial"/>
              </w:rPr>
              <w:t>Ho</w:t>
            </w:r>
            <w:r w:rsidR="00F90DE2" w:rsidRPr="000C4A17">
              <w:rPr>
                <w:rFonts w:cs="Arial"/>
              </w:rPr>
              <w:t xml:space="preserve">w will evaluation team verify the # of accepting locations, especially with most bidders partnering </w:t>
            </w:r>
            <w:r>
              <w:rPr>
                <w:rFonts w:cs="Arial"/>
              </w:rPr>
              <w:t>with a major Provider (Visa/MC)?</w:t>
            </w:r>
            <w:r w:rsidR="00F90DE2" w:rsidRPr="000C4A17">
              <w:rPr>
                <w:rFonts w:cs="Arial"/>
              </w:rPr>
              <w:br/>
            </w:r>
          </w:p>
        </w:tc>
        <w:tc>
          <w:tcPr>
            <w:tcW w:w="1829" w:type="pct"/>
          </w:tcPr>
          <w:p w14:paraId="2D8786D8" w14:textId="77777777" w:rsidR="00920212" w:rsidRDefault="00920212" w:rsidP="00CB4A31">
            <w:pPr>
              <w:pStyle w:val="Header"/>
              <w:tabs>
                <w:tab w:val="left" w:pos="6300"/>
              </w:tabs>
              <w:spacing w:before="120"/>
              <w:rPr>
                <w:rFonts w:cs="Arial"/>
              </w:rPr>
            </w:pPr>
            <w:r>
              <w:rPr>
                <w:rFonts w:cs="Arial"/>
              </w:rPr>
              <w:t>Exhibit B1 has been updated to have bidders provide their Association partner for Purchase Card products.</w:t>
            </w:r>
          </w:p>
          <w:p w14:paraId="1E9BB895" w14:textId="1BBFF3FB" w:rsidR="000C4A17" w:rsidRPr="001C166B" w:rsidRDefault="00920212" w:rsidP="00920212">
            <w:pPr>
              <w:pStyle w:val="Header"/>
              <w:tabs>
                <w:tab w:val="left" w:pos="6300"/>
              </w:tabs>
              <w:spacing w:before="120"/>
            </w:pPr>
            <w:r>
              <w:rPr>
                <w:rFonts w:cs="Arial"/>
              </w:rPr>
              <w:t>Enterprise Services will use the Association partner’s acceptance location number to determine the points assigned to a bidder for acceptance locations. See Solicitation Document Section 3</w:t>
            </w:r>
            <w:r w:rsidR="001C166B">
              <w:br/>
            </w:r>
          </w:p>
        </w:tc>
        <w:tc>
          <w:tcPr>
            <w:tcW w:w="1001" w:type="pct"/>
          </w:tcPr>
          <w:p w14:paraId="53A1A5BE" w14:textId="43FF4266" w:rsidR="000C4A17" w:rsidRPr="000C4A17" w:rsidRDefault="00920212" w:rsidP="000C4A17">
            <w:pPr>
              <w:pStyle w:val="Header"/>
              <w:tabs>
                <w:tab w:val="left" w:pos="6300"/>
              </w:tabs>
              <w:spacing w:before="120"/>
              <w:rPr>
                <w:highlight w:val="magenta"/>
              </w:rPr>
            </w:pPr>
            <w:r w:rsidRPr="00920212">
              <w:t>Yes</w:t>
            </w:r>
            <w:r>
              <w:rPr>
                <w:highlight w:val="magenta"/>
              </w:rPr>
              <w:t>.</w:t>
            </w:r>
          </w:p>
          <w:p w14:paraId="5704F27C" w14:textId="77777777" w:rsidR="00F90DE2" w:rsidRDefault="00F90DE2" w:rsidP="000C4A17">
            <w:pPr>
              <w:pStyle w:val="Header"/>
              <w:tabs>
                <w:tab w:val="left" w:pos="6300"/>
              </w:tabs>
              <w:spacing w:before="120"/>
              <w:jc w:val="center"/>
            </w:pPr>
          </w:p>
        </w:tc>
      </w:tr>
      <w:tr w:rsidR="001C166B" w:rsidRPr="00B319C7" w14:paraId="61C8CDDF" w14:textId="77777777" w:rsidTr="00920212">
        <w:trPr>
          <w:cantSplit/>
          <w:trHeight w:val="692"/>
        </w:trPr>
        <w:tc>
          <w:tcPr>
            <w:tcW w:w="293" w:type="pct"/>
            <w:shd w:val="clear" w:color="auto" w:fill="auto"/>
          </w:tcPr>
          <w:p w14:paraId="5BB60162" w14:textId="2A83CB35" w:rsidR="004A2885" w:rsidRDefault="004A2885" w:rsidP="004A2885">
            <w:pPr>
              <w:pStyle w:val="Header"/>
              <w:tabs>
                <w:tab w:val="left" w:pos="6300"/>
              </w:tabs>
              <w:spacing w:before="120"/>
              <w:rPr>
                <w:rFonts w:cs="Arial"/>
              </w:rPr>
            </w:pPr>
            <w:r>
              <w:rPr>
                <w:rFonts w:cs="Arial"/>
              </w:rPr>
              <w:lastRenderedPageBreak/>
              <w:t>43</w:t>
            </w:r>
          </w:p>
        </w:tc>
        <w:tc>
          <w:tcPr>
            <w:tcW w:w="1877" w:type="pct"/>
            <w:shd w:val="clear" w:color="auto" w:fill="auto"/>
          </w:tcPr>
          <w:p w14:paraId="705FFBF1" w14:textId="3CB0318E" w:rsidR="004A2885" w:rsidRPr="00E9758A" w:rsidRDefault="004A2885" w:rsidP="004A2885">
            <w:pPr>
              <w:pStyle w:val="Header"/>
              <w:tabs>
                <w:tab w:val="left" w:pos="6300"/>
              </w:tabs>
              <w:spacing w:before="120"/>
              <w:rPr>
                <w:rFonts w:cs="Arial"/>
              </w:rPr>
            </w:pPr>
            <w:r w:rsidRPr="00E12B2B">
              <w:rPr>
                <w:rFonts w:cs="Arial"/>
              </w:rPr>
              <w:t>If all bidders “fail” a single M</w:t>
            </w:r>
            <w:r>
              <w:rPr>
                <w:rFonts w:cs="Arial"/>
              </w:rPr>
              <w:t>andatory or Mandatory Scored requirement, can that requirement be removed?</w:t>
            </w:r>
            <w:r w:rsidRPr="00E12B2B">
              <w:rPr>
                <w:rFonts w:cs="Arial"/>
              </w:rPr>
              <w:t xml:space="preserve"> </w:t>
            </w:r>
            <w:r>
              <w:rPr>
                <w:rFonts w:cs="Arial"/>
              </w:rPr>
              <w:br/>
            </w:r>
          </w:p>
        </w:tc>
        <w:tc>
          <w:tcPr>
            <w:tcW w:w="1829" w:type="pct"/>
            <w:shd w:val="clear" w:color="auto" w:fill="auto"/>
          </w:tcPr>
          <w:p w14:paraId="2D51499C" w14:textId="3DDD643D" w:rsidR="004A2885" w:rsidRDefault="004A2885" w:rsidP="004A2885">
            <w:pPr>
              <w:pStyle w:val="Header"/>
              <w:tabs>
                <w:tab w:val="left" w:pos="6300"/>
              </w:tabs>
              <w:spacing w:before="120"/>
              <w:rPr>
                <w:rFonts w:cs="Arial"/>
              </w:rPr>
            </w:pPr>
            <w:r>
              <w:rPr>
                <w:rFonts w:cs="Arial"/>
              </w:rPr>
              <w:t xml:space="preserve">See response to </w:t>
            </w:r>
            <w:hyperlink w:anchor="Question_2" w:history="1">
              <w:r w:rsidRPr="0042316C">
                <w:rPr>
                  <w:rStyle w:val="Hyperlink"/>
                  <w:rFonts w:cs="Arial"/>
                </w:rPr>
                <w:t>Question #2</w:t>
              </w:r>
            </w:hyperlink>
            <w:r>
              <w:rPr>
                <w:rFonts w:cs="Arial"/>
              </w:rPr>
              <w:t>.</w:t>
            </w:r>
          </w:p>
        </w:tc>
        <w:tc>
          <w:tcPr>
            <w:tcW w:w="1001" w:type="pct"/>
            <w:shd w:val="clear" w:color="auto" w:fill="auto"/>
          </w:tcPr>
          <w:p w14:paraId="22819F4B" w14:textId="4F2F1150" w:rsidR="004A2885" w:rsidRDefault="004A2885" w:rsidP="004A2885">
            <w:pPr>
              <w:pStyle w:val="Header"/>
              <w:tabs>
                <w:tab w:val="left" w:pos="6300"/>
              </w:tabs>
              <w:spacing w:before="120"/>
            </w:pPr>
            <w:r>
              <w:t>No.</w:t>
            </w:r>
          </w:p>
        </w:tc>
      </w:tr>
      <w:tr w:rsidR="001C166B" w:rsidRPr="00B319C7" w14:paraId="78DA3D66" w14:textId="77777777" w:rsidTr="00920212">
        <w:trPr>
          <w:cantSplit/>
          <w:trHeight w:val="692"/>
        </w:trPr>
        <w:tc>
          <w:tcPr>
            <w:tcW w:w="293" w:type="pct"/>
            <w:shd w:val="clear" w:color="auto" w:fill="auto"/>
          </w:tcPr>
          <w:p w14:paraId="6F8EC4BE" w14:textId="1F4C291D" w:rsidR="004A2885" w:rsidRDefault="004A2885" w:rsidP="004A2885">
            <w:pPr>
              <w:pStyle w:val="Header"/>
              <w:tabs>
                <w:tab w:val="left" w:pos="6300"/>
              </w:tabs>
              <w:spacing w:before="120"/>
              <w:rPr>
                <w:rFonts w:cs="Arial"/>
              </w:rPr>
            </w:pPr>
            <w:r>
              <w:rPr>
                <w:rFonts w:cs="Arial"/>
              </w:rPr>
              <w:t>44</w:t>
            </w:r>
          </w:p>
        </w:tc>
        <w:tc>
          <w:tcPr>
            <w:tcW w:w="1877" w:type="pct"/>
            <w:shd w:val="clear" w:color="auto" w:fill="auto"/>
          </w:tcPr>
          <w:p w14:paraId="531E99F8" w14:textId="45D188CB" w:rsidR="004A2885" w:rsidRPr="004A2885" w:rsidRDefault="004A2885" w:rsidP="00920212">
            <w:pPr>
              <w:pStyle w:val="Header"/>
              <w:tabs>
                <w:tab w:val="left" w:pos="6300"/>
              </w:tabs>
              <w:spacing w:before="120"/>
              <w:rPr>
                <w:rFonts w:cs="Arial"/>
              </w:rPr>
            </w:pPr>
            <w:r w:rsidRPr="00372B68">
              <w:rPr>
                <w:rFonts w:cs="Arial"/>
              </w:rPr>
              <w:t>Is there an acceptable number of missed M/MS requirements</w:t>
            </w:r>
            <w:r>
              <w:rPr>
                <w:rFonts w:cs="Arial"/>
              </w:rPr>
              <w:t>?</w:t>
            </w:r>
            <w:r w:rsidR="00920212">
              <w:rPr>
                <w:rFonts w:cs="Arial"/>
              </w:rPr>
              <w:br/>
            </w:r>
          </w:p>
        </w:tc>
        <w:tc>
          <w:tcPr>
            <w:tcW w:w="1829" w:type="pct"/>
            <w:shd w:val="clear" w:color="auto" w:fill="auto"/>
          </w:tcPr>
          <w:p w14:paraId="58059D21" w14:textId="7B8AC567" w:rsidR="004A2885" w:rsidRDefault="004A2885" w:rsidP="004A2885">
            <w:pPr>
              <w:pStyle w:val="Header"/>
              <w:tabs>
                <w:tab w:val="left" w:pos="6300"/>
              </w:tabs>
              <w:spacing w:before="120"/>
              <w:rPr>
                <w:rFonts w:cs="Arial"/>
              </w:rPr>
            </w:pPr>
            <w:r>
              <w:rPr>
                <w:rFonts w:cs="Arial"/>
              </w:rPr>
              <w:t xml:space="preserve">See response to </w:t>
            </w:r>
            <w:hyperlink w:anchor="Question_2" w:history="1">
              <w:r w:rsidRPr="0042316C">
                <w:rPr>
                  <w:rStyle w:val="Hyperlink"/>
                  <w:rFonts w:cs="Arial"/>
                </w:rPr>
                <w:t>Question #2</w:t>
              </w:r>
            </w:hyperlink>
            <w:r>
              <w:rPr>
                <w:rFonts w:cs="Arial"/>
              </w:rPr>
              <w:t>.</w:t>
            </w:r>
          </w:p>
        </w:tc>
        <w:tc>
          <w:tcPr>
            <w:tcW w:w="1001" w:type="pct"/>
            <w:shd w:val="clear" w:color="auto" w:fill="auto"/>
          </w:tcPr>
          <w:p w14:paraId="6A69D340" w14:textId="23A5F2BA" w:rsidR="004A2885" w:rsidRDefault="004A2885" w:rsidP="004A2885">
            <w:pPr>
              <w:pStyle w:val="Header"/>
              <w:tabs>
                <w:tab w:val="left" w:pos="6300"/>
              </w:tabs>
              <w:spacing w:before="120"/>
            </w:pPr>
            <w:r>
              <w:t>No.</w:t>
            </w:r>
          </w:p>
        </w:tc>
      </w:tr>
      <w:tr w:rsidR="001C166B" w:rsidRPr="00B319C7" w14:paraId="76854DC7" w14:textId="77777777" w:rsidTr="00920212">
        <w:trPr>
          <w:cantSplit/>
          <w:trHeight w:val="692"/>
        </w:trPr>
        <w:tc>
          <w:tcPr>
            <w:tcW w:w="293" w:type="pct"/>
            <w:shd w:val="clear" w:color="auto" w:fill="auto"/>
          </w:tcPr>
          <w:p w14:paraId="67727B9F" w14:textId="33D83A3A" w:rsidR="004A2885" w:rsidRDefault="004A2885" w:rsidP="004A2885">
            <w:pPr>
              <w:pStyle w:val="Header"/>
              <w:tabs>
                <w:tab w:val="left" w:pos="6300"/>
              </w:tabs>
              <w:spacing w:before="120"/>
              <w:rPr>
                <w:rFonts w:cs="Arial"/>
              </w:rPr>
            </w:pPr>
            <w:r>
              <w:rPr>
                <w:rFonts w:cs="Arial"/>
              </w:rPr>
              <w:t>45</w:t>
            </w:r>
          </w:p>
        </w:tc>
        <w:tc>
          <w:tcPr>
            <w:tcW w:w="1877" w:type="pct"/>
            <w:shd w:val="clear" w:color="auto" w:fill="auto"/>
          </w:tcPr>
          <w:p w14:paraId="70389F02" w14:textId="77777777" w:rsidR="004A2885" w:rsidRPr="00372B68" w:rsidRDefault="004A2885" w:rsidP="004A2885">
            <w:pPr>
              <w:pStyle w:val="Header"/>
              <w:tabs>
                <w:tab w:val="left" w:pos="6300"/>
              </w:tabs>
              <w:spacing w:before="120"/>
              <w:rPr>
                <w:rFonts w:cs="Arial"/>
              </w:rPr>
            </w:pPr>
            <w:r w:rsidRPr="00372B68">
              <w:rPr>
                <w:rFonts w:cs="Arial"/>
              </w:rPr>
              <w:t>If states have participation to non-governmental agencies, do those non-governmental agencies have to meet a minimum credit check or are vendors forced to accept any applicant within the state</w:t>
            </w:r>
            <w:r>
              <w:rPr>
                <w:rFonts w:cs="Arial"/>
              </w:rPr>
              <w:t>?</w:t>
            </w:r>
          </w:p>
          <w:p w14:paraId="2DFD6F7C" w14:textId="77777777" w:rsidR="004A2885" w:rsidRPr="004A2885" w:rsidRDefault="004A2885" w:rsidP="004A2885">
            <w:pPr>
              <w:spacing w:after="160" w:line="259" w:lineRule="auto"/>
              <w:rPr>
                <w:rFonts w:cs="Arial"/>
              </w:rPr>
            </w:pPr>
          </w:p>
        </w:tc>
        <w:tc>
          <w:tcPr>
            <w:tcW w:w="1829" w:type="pct"/>
            <w:shd w:val="clear" w:color="auto" w:fill="auto"/>
          </w:tcPr>
          <w:p w14:paraId="35696FC9" w14:textId="51011996" w:rsidR="009A1632" w:rsidRDefault="009A1632" w:rsidP="004A2885">
            <w:pPr>
              <w:pStyle w:val="Header"/>
              <w:tabs>
                <w:tab w:val="left" w:pos="6300"/>
              </w:tabs>
              <w:spacing w:before="120"/>
              <w:rPr>
                <w:rFonts w:cs="Arial"/>
              </w:rPr>
            </w:pPr>
            <w:r>
              <w:rPr>
                <w:rFonts w:cs="Arial"/>
              </w:rPr>
              <w:t xml:space="preserve">Exhibit B1 – Requirement 2.17 and Exhibit B2 – Requirement 2.23 require bidders to explain, in detail, the process (paper and/or electronic) for generating a new account and </w:t>
            </w:r>
            <w:r w:rsidR="00243413">
              <w:rPr>
                <w:rFonts w:cs="Arial"/>
              </w:rPr>
              <w:t>adding cards to an existing account</w:t>
            </w:r>
            <w:r>
              <w:rPr>
                <w:rFonts w:cs="Arial"/>
              </w:rPr>
              <w:t>.</w:t>
            </w:r>
          </w:p>
          <w:p w14:paraId="6EAAB106" w14:textId="13D4CC02" w:rsidR="004A2885" w:rsidRDefault="009A1632" w:rsidP="004A2885">
            <w:pPr>
              <w:pStyle w:val="Header"/>
              <w:tabs>
                <w:tab w:val="left" w:pos="6300"/>
              </w:tabs>
              <w:spacing w:before="120"/>
              <w:rPr>
                <w:rFonts w:cs="Arial"/>
              </w:rPr>
            </w:pPr>
            <w:r>
              <w:rPr>
                <w:rFonts w:cs="Arial"/>
              </w:rPr>
              <w:t xml:space="preserve">If the process for establishing a new account varies by customer type (i.e. </w:t>
            </w:r>
            <w:r w:rsidR="00243413">
              <w:rPr>
                <w:rFonts w:cs="Arial"/>
              </w:rPr>
              <w:t>credit check</w:t>
            </w:r>
            <w:r>
              <w:rPr>
                <w:rFonts w:cs="Arial"/>
              </w:rPr>
              <w:t>), bidders should</w:t>
            </w:r>
            <w:r w:rsidR="00243413">
              <w:rPr>
                <w:rFonts w:cs="Arial"/>
              </w:rPr>
              <w:t xml:space="preserve"> provide those differences in their description.</w:t>
            </w:r>
            <w:r w:rsidR="004A2885">
              <w:rPr>
                <w:rFonts w:cs="Arial"/>
              </w:rPr>
              <w:br/>
            </w:r>
          </w:p>
        </w:tc>
        <w:tc>
          <w:tcPr>
            <w:tcW w:w="1001" w:type="pct"/>
            <w:shd w:val="clear" w:color="auto" w:fill="auto"/>
          </w:tcPr>
          <w:p w14:paraId="2556303D" w14:textId="590E8EF0" w:rsidR="004A2885" w:rsidRDefault="009A1632" w:rsidP="004A2885">
            <w:pPr>
              <w:pStyle w:val="Header"/>
              <w:tabs>
                <w:tab w:val="left" w:pos="6300"/>
              </w:tabs>
              <w:spacing w:before="120"/>
            </w:pPr>
            <w:r>
              <w:t xml:space="preserve">Yes </w:t>
            </w:r>
          </w:p>
        </w:tc>
      </w:tr>
      <w:tr w:rsidR="001C166B" w:rsidRPr="00B319C7" w14:paraId="2A2CD321" w14:textId="77777777" w:rsidTr="00920212">
        <w:trPr>
          <w:cantSplit/>
          <w:trHeight w:val="692"/>
        </w:trPr>
        <w:tc>
          <w:tcPr>
            <w:tcW w:w="293" w:type="pct"/>
            <w:shd w:val="clear" w:color="auto" w:fill="auto"/>
          </w:tcPr>
          <w:p w14:paraId="7305BF47" w14:textId="4FF2EFF4" w:rsidR="004A2885" w:rsidRDefault="004A2885" w:rsidP="004A2885">
            <w:pPr>
              <w:pStyle w:val="Header"/>
              <w:tabs>
                <w:tab w:val="left" w:pos="6300"/>
              </w:tabs>
              <w:spacing w:before="120"/>
              <w:rPr>
                <w:rFonts w:cs="Arial"/>
              </w:rPr>
            </w:pPr>
            <w:r>
              <w:rPr>
                <w:rFonts w:cs="Arial"/>
              </w:rPr>
              <w:t>46</w:t>
            </w:r>
          </w:p>
        </w:tc>
        <w:tc>
          <w:tcPr>
            <w:tcW w:w="1877" w:type="pct"/>
            <w:shd w:val="clear" w:color="auto" w:fill="auto"/>
          </w:tcPr>
          <w:p w14:paraId="7DC6D811" w14:textId="77777777" w:rsidR="004A2885" w:rsidRDefault="004A2885" w:rsidP="004A2885">
            <w:pPr>
              <w:pStyle w:val="Header"/>
              <w:tabs>
                <w:tab w:val="left" w:pos="6300"/>
              </w:tabs>
              <w:spacing w:before="120"/>
              <w:rPr>
                <w:rFonts w:cs="Arial"/>
              </w:rPr>
            </w:pPr>
            <w:r w:rsidRPr="00134397">
              <w:rPr>
                <w:rFonts w:cs="Arial"/>
              </w:rPr>
              <w:t>The introduction of the Solicitation Document states that the “Participating Addendum shall not change the material terms and conditions set forth in the Master Agreements(s)”.</w:t>
            </w:r>
          </w:p>
          <w:p w14:paraId="3E880DE4" w14:textId="3C1597AE" w:rsidR="004A2885" w:rsidRPr="00E9758A" w:rsidRDefault="004A2885" w:rsidP="004A2885">
            <w:pPr>
              <w:pStyle w:val="Header"/>
              <w:tabs>
                <w:tab w:val="left" w:pos="6300"/>
              </w:tabs>
              <w:spacing w:before="120"/>
              <w:rPr>
                <w:rFonts w:cs="Arial"/>
              </w:rPr>
            </w:pPr>
            <w:r>
              <w:t>What happens if there is a difference of opinion between the Participating State &amp; Awarded Contractor Vendor on a term or condition being “material”?</w:t>
            </w:r>
          </w:p>
        </w:tc>
        <w:tc>
          <w:tcPr>
            <w:tcW w:w="1829" w:type="pct"/>
            <w:shd w:val="clear" w:color="auto" w:fill="auto"/>
          </w:tcPr>
          <w:p w14:paraId="0489AA7D" w14:textId="785549C4" w:rsidR="004A2885" w:rsidRDefault="004A2885" w:rsidP="004A2885">
            <w:pPr>
              <w:pStyle w:val="Header"/>
              <w:tabs>
                <w:tab w:val="left" w:pos="6300"/>
              </w:tabs>
              <w:spacing w:before="120"/>
              <w:rPr>
                <w:rFonts w:cs="Arial"/>
              </w:rPr>
            </w:pPr>
            <w:r w:rsidRPr="00134397">
              <w:rPr>
                <w:rFonts w:cs="Arial"/>
              </w:rPr>
              <w:t>The Participating Addendum (PA) is an agreement between the Participating State and Awarded Contractor.</w:t>
            </w:r>
            <w:r>
              <w:rPr>
                <w:rFonts w:cs="Arial"/>
              </w:rPr>
              <w:t xml:space="preserve">  The terms and conditions of the </w:t>
            </w:r>
            <w:r w:rsidRPr="00134397">
              <w:rPr>
                <w:rFonts w:cs="Arial"/>
              </w:rPr>
              <w:t>PA</w:t>
            </w:r>
            <w:r>
              <w:rPr>
                <w:rFonts w:cs="Arial"/>
              </w:rPr>
              <w:t xml:space="preserve"> must be agreed upon between the Participating State and the Awarded Contractor. If negotiations between the Participating State and Awarded Contractor fail, the PA would not be executed.</w:t>
            </w:r>
            <w:r w:rsidR="00920212">
              <w:rPr>
                <w:rFonts w:cs="Arial"/>
              </w:rPr>
              <w:br/>
            </w:r>
          </w:p>
        </w:tc>
        <w:tc>
          <w:tcPr>
            <w:tcW w:w="1001" w:type="pct"/>
            <w:shd w:val="clear" w:color="auto" w:fill="auto"/>
          </w:tcPr>
          <w:p w14:paraId="305E3BE7" w14:textId="10D25FA2" w:rsidR="004A2885" w:rsidRDefault="004A2885" w:rsidP="004A2885">
            <w:pPr>
              <w:pStyle w:val="Header"/>
              <w:tabs>
                <w:tab w:val="left" w:pos="6300"/>
              </w:tabs>
              <w:spacing w:before="120"/>
            </w:pPr>
            <w:r>
              <w:t>No.</w:t>
            </w:r>
          </w:p>
        </w:tc>
      </w:tr>
      <w:tr w:rsidR="001C166B" w:rsidRPr="00B319C7" w14:paraId="6397951E" w14:textId="77777777" w:rsidTr="00FB620C">
        <w:trPr>
          <w:cantSplit/>
          <w:trHeight w:val="692"/>
        </w:trPr>
        <w:tc>
          <w:tcPr>
            <w:tcW w:w="293" w:type="pct"/>
            <w:shd w:val="clear" w:color="auto" w:fill="auto"/>
          </w:tcPr>
          <w:p w14:paraId="14AC5409" w14:textId="0121C190" w:rsidR="004A2885" w:rsidRDefault="004A2885" w:rsidP="004A2885">
            <w:pPr>
              <w:pStyle w:val="Header"/>
              <w:tabs>
                <w:tab w:val="left" w:pos="6300"/>
              </w:tabs>
              <w:spacing w:before="120"/>
              <w:rPr>
                <w:rFonts w:cs="Arial"/>
              </w:rPr>
            </w:pPr>
            <w:r>
              <w:rPr>
                <w:rFonts w:cs="Arial"/>
              </w:rPr>
              <w:lastRenderedPageBreak/>
              <w:t>47</w:t>
            </w:r>
          </w:p>
        </w:tc>
        <w:tc>
          <w:tcPr>
            <w:tcW w:w="1877" w:type="pct"/>
            <w:shd w:val="clear" w:color="auto" w:fill="auto"/>
          </w:tcPr>
          <w:p w14:paraId="322095D7" w14:textId="387EE553" w:rsidR="004A2885" w:rsidRPr="00E9758A" w:rsidRDefault="004A2885" w:rsidP="00920212">
            <w:pPr>
              <w:pStyle w:val="Header"/>
              <w:tabs>
                <w:tab w:val="left" w:pos="6300"/>
              </w:tabs>
              <w:spacing w:before="120"/>
              <w:rPr>
                <w:rFonts w:cs="Arial"/>
              </w:rPr>
            </w:pPr>
            <w:r w:rsidRPr="00134397">
              <w:rPr>
                <w:rFonts w:cs="Arial"/>
              </w:rPr>
              <w:t xml:space="preserve">Currently there is no requirement for an </w:t>
            </w:r>
            <w:r>
              <w:rPr>
                <w:rFonts w:cs="Arial"/>
              </w:rPr>
              <w:t>E</w:t>
            </w:r>
            <w:r w:rsidRPr="00134397">
              <w:rPr>
                <w:rFonts w:cs="Arial"/>
              </w:rPr>
              <w:t>xecutive Summary or Cover Letter type document.</w:t>
            </w:r>
            <w:r>
              <w:rPr>
                <w:rFonts w:cs="Arial"/>
              </w:rPr>
              <w:t xml:space="preserve"> Will Executive Summary/Cover Letters be allowed as part of the bid?</w:t>
            </w:r>
            <w:r w:rsidRPr="00134397">
              <w:rPr>
                <w:rFonts w:cs="Arial"/>
              </w:rPr>
              <w:t xml:space="preserve"> </w:t>
            </w:r>
          </w:p>
        </w:tc>
        <w:tc>
          <w:tcPr>
            <w:tcW w:w="1829" w:type="pct"/>
            <w:shd w:val="clear" w:color="auto" w:fill="auto"/>
          </w:tcPr>
          <w:p w14:paraId="1337F3A3" w14:textId="77777777" w:rsidR="004A2885" w:rsidRDefault="004A2885" w:rsidP="004A2885">
            <w:pPr>
              <w:pStyle w:val="Header"/>
              <w:tabs>
                <w:tab w:val="left" w:pos="6300"/>
              </w:tabs>
              <w:spacing w:before="120"/>
              <w:rPr>
                <w:rFonts w:cs="Arial"/>
              </w:rPr>
            </w:pPr>
            <w:r>
              <w:rPr>
                <w:rFonts w:cs="Arial"/>
              </w:rPr>
              <w:t xml:space="preserve">Bidders may choose to include an Executive Summary or Cover Letter type document. </w:t>
            </w:r>
          </w:p>
          <w:p w14:paraId="27213844" w14:textId="648A6FDB" w:rsidR="004A2885" w:rsidRDefault="004A2885" w:rsidP="004A2885">
            <w:pPr>
              <w:pStyle w:val="Header"/>
              <w:tabs>
                <w:tab w:val="left" w:pos="6300"/>
              </w:tabs>
              <w:spacing w:before="120"/>
              <w:rPr>
                <w:rFonts w:cs="Arial"/>
              </w:rPr>
            </w:pPr>
            <w:r>
              <w:rPr>
                <w:rFonts w:cs="Arial"/>
              </w:rPr>
              <w:t>This document will not be evaluated. If there are conflicts between the Executive Summary/Cover Letter type document and other documents in the bid, the other documents will prevail.</w:t>
            </w:r>
            <w:r>
              <w:rPr>
                <w:rFonts w:cs="Arial"/>
              </w:rPr>
              <w:br/>
            </w:r>
          </w:p>
        </w:tc>
        <w:tc>
          <w:tcPr>
            <w:tcW w:w="1001" w:type="pct"/>
            <w:shd w:val="clear" w:color="auto" w:fill="auto"/>
          </w:tcPr>
          <w:p w14:paraId="40785667" w14:textId="2DF214E1" w:rsidR="004A2885" w:rsidRDefault="004A2885" w:rsidP="004A2885">
            <w:pPr>
              <w:pStyle w:val="Header"/>
              <w:tabs>
                <w:tab w:val="left" w:pos="6300"/>
              </w:tabs>
              <w:spacing w:before="120"/>
            </w:pPr>
            <w:r>
              <w:t>No.</w:t>
            </w:r>
          </w:p>
        </w:tc>
      </w:tr>
      <w:tr w:rsidR="001C166B" w:rsidRPr="00B319C7" w14:paraId="5ABAFECC" w14:textId="77777777" w:rsidTr="00FB620C">
        <w:trPr>
          <w:cantSplit/>
          <w:trHeight w:val="692"/>
        </w:trPr>
        <w:tc>
          <w:tcPr>
            <w:tcW w:w="293" w:type="pct"/>
            <w:shd w:val="clear" w:color="auto" w:fill="auto"/>
          </w:tcPr>
          <w:p w14:paraId="494088B9" w14:textId="67366F9A" w:rsidR="004A2885" w:rsidRDefault="004A2885" w:rsidP="004A2885">
            <w:pPr>
              <w:pStyle w:val="Header"/>
              <w:tabs>
                <w:tab w:val="left" w:pos="6300"/>
              </w:tabs>
              <w:spacing w:before="120"/>
              <w:rPr>
                <w:rFonts w:cs="Arial"/>
              </w:rPr>
            </w:pPr>
            <w:r>
              <w:rPr>
                <w:rFonts w:cs="Arial"/>
              </w:rPr>
              <w:t>48</w:t>
            </w:r>
          </w:p>
        </w:tc>
        <w:tc>
          <w:tcPr>
            <w:tcW w:w="1877" w:type="pct"/>
            <w:shd w:val="clear" w:color="auto" w:fill="auto"/>
          </w:tcPr>
          <w:p w14:paraId="4BC9FF77" w14:textId="50A29949" w:rsidR="004A2885" w:rsidRPr="00E9758A" w:rsidRDefault="004A2885" w:rsidP="004A2885">
            <w:pPr>
              <w:pStyle w:val="Header"/>
              <w:tabs>
                <w:tab w:val="left" w:pos="6300"/>
              </w:tabs>
              <w:spacing w:before="120"/>
              <w:rPr>
                <w:rFonts w:cs="Arial"/>
              </w:rPr>
            </w:pPr>
            <w:r w:rsidRPr="00730450">
              <w:rPr>
                <w:rFonts w:cs="Arial"/>
              </w:rPr>
              <w:t>Is NASPO continuing to do I</w:t>
            </w:r>
            <w:r>
              <w:rPr>
                <w:rFonts w:cs="Arial"/>
              </w:rPr>
              <w:t>ntent to Participate (I</w:t>
            </w:r>
            <w:r w:rsidRPr="00730450">
              <w:rPr>
                <w:rFonts w:cs="Arial"/>
              </w:rPr>
              <w:t>TP</w:t>
            </w:r>
            <w:r>
              <w:rPr>
                <w:rFonts w:cs="Arial"/>
              </w:rPr>
              <w:t>)</w:t>
            </w:r>
            <w:r w:rsidR="00FB620C">
              <w:rPr>
                <w:rFonts w:cs="Arial"/>
              </w:rPr>
              <w:t xml:space="preserve"> outreach?</w:t>
            </w:r>
          </w:p>
        </w:tc>
        <w:tc>
          <w:tcPr>
            <w:tcW w:w="1829" w:type="pct"/>
            <w:shd w:val="clear" w:color="auto" w:fill="auto"/>
          </w:tcPr>
          <w:p w14:paraId="1F5A6567" w14:textId="651D45D5" w:rsidR="004A2885" w:rsidRDefault="004A2885" w:rsidP="004A2885">
            <w:pPr>
              <w:pStyle w:val="Header"/>
              <w:tabs>
                <w:tab w:val="left" w:pos="6300"/>
              </w:tabs>
              <w:spacing w:before="120"/>
              <w:rPr>
                <w:rFonts w:cs="Arial"/>
              </w:rPr>
            </w:pPr>
            <w:r>
              <w:rPr>
                <w:rFonts w:cs="Arial"/>
              </w:rPr>
              <w:t>No. If additional ITPs are received; t</w:t>
            </w:r>
            <w:r w:rsidR="00243413">
              <w:rPr>
                <w:rFonts w:cs="Arial"/>
              </w:rPr>
              <w:t>he data will be posted to WEBS.</w:t>
            </w:r>
            <w:r w:rsidR="00243413">
              <w:rPr>
                <w:rFonts w:cs="Arial"/>
              </w:rPr>
              <w:br/>
            </w:r>
          </w:p>
        </w:tc>
        <w:tc>
          <w:tcPr>
            <w:tcW w:w="1001" w:type="pct"/>
            <w:shd w:val="clear" w:color="auto" w:fill="auto"/>
          </w:tcPr>
          <w:p w14:paraId="69F0ECD8" w14:textId="3CBE2B6F" w:rsidR="004A2885" w:rsidRDefault="004A2885" w:rsidP="004A2885">
            <w:pPr>
              <w:pStyle w:val="Header"/>
              <w:tabs>
                <w:tab w:val="left" w:pos="6300"/>
              </w:tabs>
              <w:spacing w:before="120"/>
            </w:pPr>
            <w:r>
              <w:t>No.</w:t>
            </w:r>
          </w:p>
        </w:tc>
      </w:tr>
      <w:tr w:rsidR="001C166B" w:rsidRPr="00B319C7" w14:paraId="2DF79FE7" w14:textId="77777777" w:rsidTr="00FB620C">
        <w:trPr>
          <w:cantSplit/>
          <w:trHeight w:val="692"/>
        </w:trPr>
        <w:tc>
          <w:tcPr>
            <w:tcW w:w="293" w:type="pct"/>
            <w:shd w:val="clear" w:color="auto" w:fill="auto"/>
          </w:tcPr>
          <w:p w14:paraId="4D33D117" w14:textId="0BA13B11" w:rsidR="004A2885" w:rsidRDefault="004A2885" w:rsidP="004A2885">
            <w:pPr>
              <w:pStyle w:val="Header"/>
              <w:tabs>
                <w:tab w:val="left" w:pos="6300"/>
              </w:tabs>
              <w:spacing w:before="120"/>
              <w:rPr>
                <w:rFonts w:cs="Arial"/>
              </w:rPr>
            </w:pPr>
            <w:r>
              <w:rPr>
                <w:rFonts w:cs="Arial"/>
              </w:rPr>
              <w:t>49</w:t>
            </w:r>
          </w:p>
        </w:tc>
        <w:tc>
          <w:tcPr>
            <w:tcW w:w="1877" w:type="pct"/>
            <w:shd w:val="clear" w:color="auto" w:fill="auto"/>
          </w:tcPr>
          <w:p w14:paraId="7FB9972A" w14:textId="77777777" w:rsidR="004A2885" w:rsidRPr="00730450" w:rsidRDefault="004A2885" w:rsidP="004A2885">
            <w:pPr>
              <w:pStyle w:val="Header"/>
              <w:tabs>
                <w:tab w:val="left" w:pos="6300"/>
              </w:tabs>
              <w:spacing w:before="120"/>
              <w:rPr>
                <w:rFonts w:cs="Arial"/>
              </w:rPr>
            </w:pPr>
            <w:r w:rsidRPr="00730450">
              <w:rPr>
                <w:rFonts w:cs="Arial"/>
              </w:rPr>
              <w:t>Does ITP indicate which categories?</w:t>
            </w:r>
          </w:p>
          <w:p w14:paraId="57E9475B" w14:textId="77777777" w:rsidR="004A2885" w:rsidRPr="00E9758A" w:rsidRDefault="004A2885" w:rsidP="004A2885">
            <w:pPr>
              <w:spacing w:after="160" w:line="259" w:lineRule="auto"/>
              <w:rPr>
                <w:rFonts w:cs="Arial"/>
              </w:rPr>
            </w:pPr>
          </w:p>
        </w:tc>
        <w:tc>
          <w:tcPr>
            <w:tcW w:w="1829" w:type="pct"/>
            <w:shd w:val="clear" w:color="auto" w:fill="auto"/>
          </w:tcPr>
          <w:p w14:paraId="0DE923FE" w14:textId="77777777" w:rsidR="004A2885" w:rsidRDefault="004A2885" w:rsidP="004A2885">
            <w:pPr>
              <w:pStyle w:val="Header"/>
              <w:tabs>
                <w:tab w:val="left" w:pos="6300"/>
              </w:tabs>
              <w:spacing w:before="120"/>
              <w:rPr>
                <w:rFonts w:cs="Arial"/>
              </w:rPr>
            </w:pPr>
            <w:r>
              <w:rPr>
                <w:rFonts w:cs="Arial"/>
              </w:rPr>
              <w:t>ITPs do not currently indicate category participation.</w:t>
            </w:r>
          </w:p>
          <w:p w14:paraId="6208F840" w14:textId="4EB31487" w:rsidR="00620A6A" w:rsidRDefault="004A2885" w:rsidP="00620A6A">
            <w:pPr>
              <w:pStyle w:val="Header"/>
              <w:tabs>
                <w:tab w:val="left" w:pos="6300"/>
              </w:tabs>
              <w:spacing w:before="120"/>
              <w:rPr>
                <w:rFonts w:cs="Arial"/>
              </w:rPr>
            </w:pPr>
            <w:r>
              <w:rPr>
                <w:rFonts w:cs="Arial"/>
              </w:rPr>
              <w:t xml:space="preserve">Enterprise Services </w:t>
            </w:r>
            <w:r w:rsidR="00620A6A">
              <w:rPr>
                <w:rFonts w:cs="Arial"/>
              </w:rPr>
              <w:t>has reached</w:t>
            </w:r>
            <w:r>
              <w:rPr>
                <w:rFonts w:cs="Arial"/>
              </w:rPr>
              <w:t xml:space="preserve"> out to the states that have completed the ITP process to obtain th</w:t>
            </w:r>
            <w:r w:rsidR="00532688">
              <w:rPr>
                <w:rFonts w:cs="Arial"/>
              </w:rPr>
              <w:t xml:space="preserve">at detail. </w:t>
            </w:r>
            <w:r w:rsidR="00620A6A">
              <w:rPr>
                <w:rFonts w:cs="Arial"/>
              </w:rPr>
              <w:t>As of the release of this amendment the following states have provided this additional detail.</w:t>
            </w:r>
          </w:p>
          <w:p w14:paraId="394F2331" w14:textId="0715D669" w:rsidR="00620A6A" w:rsidRDefault="00620A6A" w:rsidP="00620A6A">
            <w:pPr>
              <w:pStyle w:val="Header"/>
              <w:tabs>
                <w:tab w:val="left" w:pos="6300"/>
              </w:tabs>
              <w:spacing w:before="120"/>
              <w:rPr>
                <w:rFonts w:cs="Arial"/>
              </w:rPr>
            </w:pPr>
            <w:r>
              <w:rPr>
                <w:rFonts w:cs="Arial"/>
              </w:rPr>
              <w:t>Alaska – Cat 1 only</w:t>
            </w:r>
            <w:r w:rsidR="00FB620C">
              <w:rPr>
                <w:rFonts w:cs="Arial"/>
              </w:rPr>
              <w:br/>
            </w:r>
            <w:r w:rsidR="00671BDC">
              <w:rPr>
                <w:rFonts w:cs="Arial"/>
              </w:rPr>
              <w:t>C</w:t>
            </w:r>
            <w:r w:rsidR="00FB620C">
              <w:rPr>
                <w:rFonts w:cs="Arial"/>
              </w:rPr>
              <w:t>alifornia</w:t>
            </w:r>
            <w:r w:rsidR="00671BDC">
              <w:rPr>
                <w:rFonts w:cs="Arial"/>
              </w:rPr>
              <w:t xml:space="preserve"> – </w:t>
            </w:r>
            <w:r w:rsidR="00FB620C">
              <w:rPr>
                <w:rFonts w:cs="Arial"/>
              </w:rPr>
              <w:t>C</w:t>
            </w:r>
            <w:r w:rsidR="00671BDC">
              <w:rPr>
                <w:rFonts w:cs="Arial"/>
              </w:rPr>
              <w:t>at 1</w:t>
            </w:r>
            <w:r w:rsidR="00FB620C">
              <w:rPr>
                <w:rFonts w:cs="Arial"/>
              </w:rPr>
              <w:t xml:space="preserve"> only</w:t>
            </w:r>
            <w:r w:rsidR="00671BDC">
              <w:rPr>
                <w:rFonts w:cs="Arial"/>
              </w:rPr>
              <w:br/>
            </w:r>
            <w:r w:rsidR="00FF556B">
              <w:rPr>
                <w:rFonts w:cs="Arial"/>
              </w:rPr>
              <w:t>Colorado – Both Categories</w:t>
            </w:r>
            <w:r w:rsidR="00FF556B">
              <w:rPr>
                <w:rFonts w:cs="Arial"/>
              </w:rPr>
              <w:br/>
            </w:r>
            <w:r>
              <w:rPr>
                <w:rFonts w:cs="Arial"/>
              </w:rPr>
              <w:t>Connecticut – Cat 2 only</w:t>
            </w:r>
            <w:r>
              <w:rPr>
                <w:rFonts w:cs="Arial"/>
              </w:rPr>
              <w:br/>
              <w:t>Minnesota – Both Categories</w:t>
            </w:r>
            <w:r>
              <w:rPr>
                <w:rFonts w:cs="Arial"/>
              </w:rPr>
              <w:br/>
              <w:t>Montana – Cat 1 only</w:t>
            </w:r>
            <w:r>
              <w:rPr>
                <w:rFonts w:cs="Arial"/>
              </w:rPr>
              <w:br/>
              <w:t>Oregon – Both Categories</w:t>
            </w:r>
            <w:r>
              <w:rPr>
                <w:rFonts w:cs="Arial"/>
              </w:rPr>
              <w:br/>
              <w:t>South Dakota – Cat 1 only</w:t>
            </w:r>
            <w:r>
              <w:rPr>
                <w:rFonts w:cs="Arial"/>
              </w:rPr>
              <w:br/>
              <w:t>Utah – Both Categories</w:t>
            </w:r>
            <w:r>
              <w:rPr>
                <w:rFonts w:cs="Arial"/>
              </w:rPr>
              <w:br/>
              <w:t>Wisconsin – Both Categories</w:t>
            </w:r>
          </w:p>
          <w:p w14:paraId="32F7153E" w14:textId="77777777" w:rsidR="00671BDC" w:rsidRDefault="00532688" w:rsidP="00620A6A">
            <w:pPr>
              <w:pStyle w:val="Header"/>
              <w:tabs>
                <w:tab w:val="left" w:pos="6300"/>
              </w:tabs>
              <w:spacing w:before="120"/>
              <w:rPr>
                <w:rFonts w:cs="Arial"/>
              </w:rPr>
            </w:pPr>
            <w:r>
              <w:rPr>
                <w:rFonts w:cs="Arial"/>
              </w:rPr>
              <w:t xml:space="preserve">If </w:t>
            </w:r>
            <w:r w:rsidR="00620A6A">
              <w:rPr>
                <w:rFonts w:cs="Arial"/>
              </w:rPr>
              <w:t xml:space="preserve">additional data is </w:t>
            </w:r>
            <w:r>
              <w:rPr>
                <w:rFonts w:cs="Arial"/>
              </w:rPr>
              <w:t>received, the data</w:t>
            </w:r>
            <w:r w:rsidR="004A2885">
              <w:rPr>
                <w:rFonts w:cs="Arial"/>
              </w:rPr>
              <w:t xml:space="preserve"> will be posted to WEBS.</w:t>
            </w:r>
          </w:p>
          <w:p w14:paraId="2B634C65" w14:textId="2733D842" w:rsidR="004A2885" w:rsidRDefault="00671BDC" w:rsidP="00671BDC">
            <w:pPr>
              <w:pStyle w:val="Header"/>
              <w:tabs>
                <w:tab w:val="left" w:pos="6300"/>
              </w:tabs>
              <w:spacing w:before="120"/>
              <w:rPr>
                <w:rFonts w:cs="Arial"/>
              </w:rPr>
            </w:pPr>
            <w:r>
              <w:rPr>
                <w:rFonts w:cs="Arial"/>
              </w:rPr>
              <w:t>ITPs are not required for states to participate. States may choose to participate in categories at any point during the solicitation or term of the Master Agreement.</w:t>
            </w:r>
            <w:r w:rsidR="004A2885">
              <w:rPr>
                <w:rFonts w:cs="Arial"/>
              </w:rPr>
              <w:br/>
            </w:r>
          </w:p>
        </w:tc>
        <w:tc>
          <w:tcPr>
            <w:tcW w:w="1001" w:type="pct"/>
            <w:shd w:val="clear" w:color="auto" w:fill="auto"/>
          </w:tcPr>
          <w:p w14:paraId="1B768C78" w14:textId="2C44F6E0" w:rsidR="004A2885" w:rsidRDefault="004A2885" w:rsidP="004A2885">
            <w:pPr>
              <w:pStyle w:val="Header"/>
              <w:tabs>
                <w:tab w:val="left" w:pos="6300"/>
              </w:tabs>
              <w:spacing w:before="120"/>
            </w:pPr>
            <w:r>
              <w:t>No.</w:t>
            </w:r>
          </w:p>
        </w:tc>
      </w:tr>
      <w:tr w:rsidR="001C166B" w:rsidRPr="00B319C7" w14:paraId="6CF194A8" w14:textId="77777777" w:rsidTr="00FB620C">
        <w:trPr>
          <w:cantSplit/>
          <w:trHeight w:val="692"/>
        </w:trPr>
        <w:tc>
          <w:tcPr>
            <w:tcW w:w="293" w:type="pct"/>
            <w:shd w:val="clear" w:color="auto" w:fill="auto"/>
          </w:tcPr>
          <w:p w14:paraId="0FBE1F43" w14:textId="74FD447B" w:rsidR="004A2885" w:rsidRDefault="004A2885" w:rsidP="004A2885">
            <w:pPr>
              <w:pStyle w:val="Header"/>
              <w:tabs>
                <w:tab w:val="left" w:pos="6300"/>
              </w:tabs>
              <w:spacing w:before="120"/>
              <w:rPr>
                <w:rFonts w:cs="Arial"/>
              </w:rPr>
            </w:pPr>
            <w:r>
              <w:rPr>
                <w:rFonts w:cs="Arial"/>
              </w:rPr>
              <w:lastRenderedPageBreak/>
              <w:t>50</w:t>
            </w:r>
          </w:p>
        </w:tc>
        <w:tc>
          <w:tcPr>
            <w:tcW w:w="1877" w:type="pct"/>
            <w:shd w:val="clear" w:color="auto" w:fill="auto"/>
          </w:tcPr>
          <w:p w14:paraId="0BC2059D" w14:textId="2658E7EF" w:rsidR="004A2885" w:rsidRPr="00E9758A" w:rsidRDefault="004A2885" w:rsidP="004A2885">
            <w:pPr>
              <w:pStyle w:val="Header"/>
              <w:tabs>
                <w:tab w:val="left" w:pos="6300"/>
              </w:tabs>
              <w:spacing w:before="120"/>
              <w:rPr>
                <w:rFonts w:cs="Arial"/>
              </w:rPr>
            </w:pPr>
            <w:r w:rsidRPr="00D557D8">
              <w:rPr>
                <w:rFonts w:cs="Arial"/>
              </w:rPr>
              <w:t>2018 volume is included in solicitation. Is 2019 trending the same way?</w:t>
            </w:r>
            <w:r>
              <w:t xml:space="preserve"> </w:t>
            </w:r>
          </w:p>
        </w:tc>
        <w:tc>
          <w:tcPr>
            <w:tcW w:w="1829" w:type="pct"/>
            <w:shd w:val="clear" w:color="auto" w:fill="auto"/>
          </w:tcPr>
          <w:p w14:paraId="475AE6A0" w14:textId="77777777" w:rsidR="004A2885" w:rsidRDefault="004A2885" w:rsidP="004A2885">
            <w:pPr>
              <w:pStyle w:val="Header"/>
              <w:tabs>
                <w:tab w:val="left" w:pos="6300"/>
              </w:tabs>
              <w:spacing w:before="120"/>
              <w:rPr>
                <w:rFonts w:cs="Arial"/>
              </w:rPr>
            </w:pPr>
            <w:r w:rsidRPr="00D557D8">
              <w:rPr>
                <w:rFonts w:cs="Arial"/>
              </w:rPr>
              <w:t>Knowing that quarterly sales volumes fluctuate, the 2019 Q1 sales reported to NASPO are</w:t>
            </w:r>
            <w:r>
              <w:rPr>
                <w:rFonts w:cs="Arial"/>
              </w:rPr>
              <w:t>:</w:t>
            </w:r>
          </w:p>
          <w:p w14:paraId="054E6E8E" w14:textId="77777777" w:rsidR="004A2885" w:rsidRDefault="004A2885" w:rsidP="004A2885">
            <w:pPr>
              <w:pStyle w:val="Header"/>
              <w:tabs>
                <w:tab w:val="left" w:pos="6300"/>
              </w:tabs>
              <w:spacing w:before="120"/>
              <w:rPr>
                <w:rFonts w:cs="Arial"/>
              </w:rPr>
            </w:pPr>
            <w:r>
              <w:rPr>
                <w:rFonts w:cs="Arial"/>
              </w:rPr>
              <w:t>Cat 1 - PCard: $759,550,265.89</w:t>
            </w:r>
            <w:r>
              <w:rPr>
                <w:rFonts w:cs="Arial"/>
              </w:rPr>
              <w:br/>
              <w:t>Cat 2 – Fleet: $47,132,083.00</w:t>
            </w:r>
          </w:p>
          <w:p w14:paraId="2CF3FCAD" w14:textId="77777777" w:rsidR="004A2885" w:rsidRPr="00D557D8" w:rsidRDefault="004A2885" w:rsidP="004A2885">
            <w:pPr>
              <w:pStyle w:val="Header"/>
              <w:tabs>
                <w:tab w:val="left" w:pos="6300"/>
              </w:tabs>
              <w:spacing w:before="120"/>
              <w:rPr>
                <w:rFonts w:cs="Arial"/>
              </w:rPr>
            </w:pPr>
            <w:r>
              <w:rPr>
                <w:rFonts w:cs="Arial"/>
              </w:rPr>
              <w:t>State specific spend, as reported by the current vendor, are</w:t>
            </w:r>
            <w:r w:rsidRPr="00D557D8">
              <w:rPr>
                <w:rFonts w:cs="Arial"/>
              </w:rPr>
              <w:t xml:space="preserve"> included in the document below.</w:t>
            </w:r>
            <w:r>
              <w:rPr>
                <w:rFonts w:cs="Arial"/>
              </w:rPr>
              <w:br/>
            </w:r>
            <w:r>
              <w:rPr>
                <w:rFonts w:cs="Arial"/>
              </w:rPr>
              <w:object w:dxaOrig="1535" w:dyaOrig="1000" w14:anchorId="3BC673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1" o:title=""/>
                </v:shape>
                <o:OLEObject Type="Embed" ProgID="Excel.Sheet.12" ShapeID="_x0000_i1025" DrawAspect="Icon" ObjectID="_1622986036" r:id="rId12"/>
              </w:object>
            </w:r>
          </w:p>
          <w:p w14:paraId="2D5E1B52" w14:textId="69ADBCBE" w:rsidR="004A2885" w:rsidRDefault="004A2885" w:rsidP="004A2885">
            <w:pPr>
              <w:pStyle w:val="Header"/>
              <w:tabs>
                <w:tab w:val="left" w:pos="6300"/>
              </w:tabs>
              <w:spacing w:before="120"/>
              <w:rPr>
                <w:rFonts w:cs="Arial"/>
              </w:rPr>
            </w:pPr>
          </w:p>
        </w:tc>
        <w:tc>
          <w:tcPr>
            <w:tcW w:w="1001" w:type="pct"/>
            <w:shd w:val="clear" w:color="auto" w:fill="auto"/>
          </w:tcPr>
          <w:p w14:paraId="0E4AF6FA" w14:textId="27315071" w:rsidR="004A2885" w:rsidRDefault="004A2885" w:rsidP="004A2885">
            <w:pPr>
              <w:pStyle w:val="Header"/>
              <w:tabs>
                <w:tab w:val="left" w:pos="6300"/>
              </w:tabs>
              <w:spacing w:before="120"/>
            </w:pPr>
            <w:r>
              <w:t>No.</w:t>
            </w:r>
          </w:p>
        </w:tc>
      </w:tr>
      <w:tr w:rsidR="001C166B" w:rsidRPr="00B319C7" w14:paraId="35F222DF" w14:textId="77777777" w:rsidTr="00FB620C">
        <w:trPr>
          <w:cantSplit/>
          <w:trHeight w:val="692"/>
        </w:trPr>
        <w:tc>
          <w:tcPr>
            <w:tcW w:w="293" w:type="pct"/>
            <w:shd w:val="clear" w:color="auto" w:fill="auto"/>
          </w:tcPr>
          <w:p w14:paraId="0AE0E7F2" w14:textId="62DEE451" w:rsidR="004A2885" w:rsidRDefault="004A2885" w:rsidP="004A2885">
            <w:pPr>
              <w:pStyle w:val="Header"/>
              <w:tabs>
                <w:tab w:val="left" w:pos="6300"/>
              </w:tabs>
              <w:spacing w:before="120"/>
              <w:rPr>
                <w:rFonts w:cs="Arial"/>
              </w:rPr>
            </w:pPr>
            <w:r>
              <w:rPr>
                <w:rFonts w:cs="Arial"/>
              </w:rPr>
              <w:t>51</w:t>
            </w:r>
          </w:p>
        </w:tc>
        <w:tc>
          <w:tcPr>
            <w:tcW w:w="1877" w:type="pct"/>
            <w:shd w:val="clear" w:color="auto" w:fill="auto"/>
          </w:tcPr>
          <w:p w14:paraId="712EEC94" w14:textId="487EC818" w:rsidR="004A2885" w:rsidRPr="00E9758A" w:rsidRDefault="004A2885" w:rsidP="004A2885">
            <w:pPr>
              <w:pStyle w:val="Header"/>
              <w:tabs>
                <w:tab w:val="left" w:pos="6300"/>
              </w:tabs>
              <w:spacing w:before="120"/>
              <w:rPr>
                <w:rFonts w:cs="Arial"/>
              </w:rPr>
            </w:pPr>
            <w:r>
              <w:t>If incumbent is awarded in either category, will the accounts for currently participating states be required to be reset or is that an option?</w:t>
            </w:r>
            <w:r>
              <w:br/>
            </w:r>
          </w:p>
        </w:tc>
        <w:tc>
          <w:tcPr>
            <w:tcW w:w="1829" w:type="pct"/>
            <w:shd w:val="clear" w:color="auto" w:fill="auto"/>
          </w:tcPr>
          <w:p w14:paraId="3036D66A" w14:textId="42CF13E4" w:rsidR="004A2885" w:rsidRDefault="004A2885" w:rsidP="004A2885">
            <w:pPr>
              <w:pStyle w:val="Header"/>
              <w:tabs>
                <w:tab w:val="left" w:pos="6300"/>
              </w:tabs>
              <w:spacing w:before="120"/>
              <w:rPr>
                <w:rFonts w:cs="Arial"/>
              </w:rPr>
            </w:pPr>
            <w:r w:rsidRPr="00670D5A">
              <w:t>If the new agreement is awarded to the currently awarded Contractor, current Participating States may choose to ‘reset’ (i.e. re-organize under one statewide hierarchy/short name) their State’s program requiring new account set ups/transition for all current Purchasing Entities.</w:t>
            </w:r>
            <w:r>
              <w:br/>
            </w:r>
            <w:r>
              <w:br/>
              <w:t>See Exhibits B1 &amp; B2, Section 9.</w:t>
            </w:r>
            <w:r>
              <w:br/>
            </w:r>
          </w:p>
        </w:tc>
        <w:tc>
          <w:tcPr>
            <w:tcW w:w="1001" w:type="pct"/>
            <w:shd w:val="clear" w:color="auto" w:fill="auto"/>
          </w:tcPr>
          <w:p w14:paraId="42CC62AB" w14:textId="1D3ADD22" w:rsidR="004A2885" w:rsidRDefault="004A2885" w:rsidP="004A2885">
            <w:pPr>
              <w:pStyle w:val="Header"/>
              <w:tabs>
                <w:tab w:val="left" w:pos="6300"/>
              </w:tabs>
              <w:spacing w:before="120"/>
            </w:pPr>
            <w:r>
              <w:t>No.</w:t>
            </w:r>
          </w:p>
        </w:tc>
      </w:tr>
      <w:tr w:rsidR="001C166B" w:rsidRPr="00B319C7" w14:paraId="63D31A20" w14:textId="77777777" w:rsidTr="00FB620C">
        <w:trPr>
          <w:cantSplit/>
          <w:trHeight w:val="692"/>
        </w:trPr>
        <w:tc>
          <w:tcPr>
            <w:tcW w:w="293" w:type="pct"/>
            <w:shd w:val="clear" w:color="auto" w:fill="auto"/>
          </w:tcPr>
          <w:p w14:paraId="25309C4E" w14:textId="269C5F38" w:rsidR="004A2885" w:rsidRDefault="004A2885" w:rsidP="004A2885">
            <w:pPr>
              <w:pStyle w:val="Header"/>
              <w:tabs>
                <w:tab w:val="left" w:pos="6300"/>
              </w:tabs>
              <w:spacing w:before="120"/>
              <w:rPr>
                <w:rFonts w:cs="Arial"/>
              </w:rPr>
            </w:pPr>
            <w:r>
              <w:rPr>
                <w:rFonts w:cs="Arial"/>
              </w:rPr>
              <w:t>52</w:t>
            </w:r>
          </w:p>
        </w:tc>
        <w:tc>
          <w:tcPr>
            <w:tcW w:w="1877" w:type="pct"/>
            <w:shd w:val="clear" w:color="auto" w:fill="auto"/>
          </w:tcPr>
          <w:p w14:paraId="51CC4C05" w14:textId="77777777" w:rsidR="004A2885" w:rsidRDefault="004A2885" w:rsidP="004A2885">
            <w:pPr>
              <w:pStyle w:val="Header"/>
              <w:tabs>
                <w:tab w:val="left" w:pos="6300"/>
              </w:tabs>
              <w:spacing w:before="120"/>
            </w:pPr>
            <w:r>
              <w:t>If entity joins in year 6, do they only get 1y on the contract?</w:t>
            </w:r>
          </w:p>
          <w:p w14:paraId="54E92743" w14:textId="77777777" w:rsidR="004A2885" w:rsidRPr="00E9758A" w:rsidRDefault="004A2885" w:rsidP="004A2885">
            <w:pPr>
              <w:pStyle w:val="Header"/>
              <w:tabs>
                <w:tab w:val="left" w:pos="6300"/>
              </w:tabs>
              <w:spacing w:before="120"/>
              <w:rPr>
                <w:rFonts w:cs="Arial"/>
              </w:rPr>
            </w:pPr>
          </w:p>
        </w:tc>
        <w:tc>
          <w:tcPr>
            <w:tcW w:w="1829" w:type="pct"/>
            <w:shd w:val="clear" w:color="auto" w:fill="auto"/>
          </w:tcPr>
          <w:p w14:paraId="0F9427C2" w14:textId="72E3DED8" w:rsidR="004A2885" w:rsidRDefault="004A2885" w:rsidP="00532688">
            <w:pPr>
              <w:pStyle w:val="Header"/>
              <w:tabs>
                <w:tab w:val="left" w:pos="6300"/>
              </w:tabs>
              <w:spacing w:before="120"/>
              <w:rPr>
                <w:rFonts w:cs="Arial"/>
              </w:rPr>
            </w:pPr>
            <w:r>
              <w:rPr>
                <w:rFonts w:cs="Arial"/>
              </w:rPr>
              <w:t xml:space="preserve">Card Services cannot extend beyond the termination of </w:t>
            </w:r>
            <w:r w:rsidR="00532688">
              <w:rPr>
                <w:rFonts w:cs="Arial"/>
              </w:rPr>
              <w:t xml:space="preserve">the </w:t>
            </w:r>
            <w:r>
              <w:rPr>
                <w:rFonts w:cs="Arial"/>
              </w:rPr>
              <w:t>applicable Participating Addendum or Master Agreement, whichever is earlier.</w:t>
            </w:r>
            <w:r>
              <w:rPr>
                <w:rFonts w:cs="Arial"/>
              </w:rPr>
              <w:br/>
            </w:r>
          </w:p>
        </w:tc>
        <w:tc>
          <w:tcPr>
            <w:tcW w:w="1001" w:type="pct"/>
            <w:shd w:val="clear" w:color="auto" w:fill="auto"/>
          </w:tcPr>
          <w:p w14:paraId="41C5FEF7" w14:textId="3658B3CE" w:rsidR="004A2885" w:rsidRDefault="004A2885" w:rsidP="004A2885">
            <w:pPr>
              <w:pStyle w:val="Header"/>
              <w:tabs>
                <w:tab w:val="left" w:pos="6300"/>
              </w:tabs>
              <w:spacing w:before="120"/>
            </w:pPr>
            <w:r>
              <w:t>No.</w:t>
            </w:r>
          </w:p>
        </w:tc>
      </w:tr>
      <w:tr w:rsidR="001C166B" w:rsidRPr="00B319C7" w14:paraId="72DA2CF4" w14:textId="77777777" w:rsidTr="00FB620C">
        <w:trPr>
          <w:cantSplit/>
          <w:trHeight w:val="692"/>
        </w:trPr>
        <w:tc>
          <w:tcPr>
            <w:tcW w:w="293" w:type="pct"/>
            <w:shd w:val="clear" w:color="auto" w:fill="auto"/>
          </w:tcPr>
          <w:p w14:paraId="349E3A02" w14:textId="67ADE17C" w:rsidR="004A2885" w:rsidRDefault="004A2885" w:rsidP="004A2885">
            <w:pPr>
              <w:pStyle w:val="Header"/>
              <w:tabs>
                <w:tab w:val="left" w:pos="6300"/>
              </w:tabs>
              <w:spacing w:before="120"/>
              <w:rPr>
                <w:rFonts w:cs="Arial"/>
              </w:rPr>
            </w:pPr>
            <w:r>
              <w:rPr>
                <w:rFonts w:cs="Arial"/>
              </w:rPr>
              <w:t>53</w:t>
            </w:r>
          </w:p>
        </w:tc>
        <w:tc>
          <w:tcPr>
            <w:tcW w:w="1877" w:type="pct"/>
            <w:shd w:val="clear" w:color="auto" w:fill="auto"/>
          </w:tcPr>
          <w:p w14:paraId="556D4592" w14:textId="77777777" w:rsidR="004A2885" w:rsidRDefault="004A2885" w:rsidP="004A2885">
            <w:pPr>
              <w:pStyle w:val="Header"/>
              <w:tabs>
                <w:tab w:val="left" w:pos="6300"/>
              </w:tabs>
              <w:spacing w:before="120"/>
            </w:pPr>
            <w:r>
              <w:t xml:space="preserve">How many vendors will move forward to Evaluation Step 6 – Live Demonstrations? </w:t>
            </w:r>
          </w:p>
          <w:p w14:paraId="35242649" w14:textId="727EB097" w:rsidR="004A2885" w:rsidRPr="00E9758A" w:rsidRDefault="004A2885" w:rsidP="004A2885">
            <w:pPr>
              <w:pStyle w:val="Header"/>
              <w:tabs>
                <w:tab w:val="left" w:pos="6300"/>
              </w:tabs>
              <w:spacing w:before="120"/>
              <w:rPr>
                <w:rFonts w:cs="Arial"/>
              </w:rPr>
            </w:pPr>
          </w:p>
        </w:tc>
        <w:tc>
          <w:tcPr>
            <w:tcW w:w="1829" w:type="pct"/>
            <w:shd w:val="clear" w:color="auto" w:fill="auto"/>
          </w:tcPr>
          <w:p w14:paraId="46DD83E7" w14:textId="7A7D4599" w:rsidR="004A2885" w:rsidRDefault="004A2885" w:rsidP="004A2885">
            <w:pPr>
              <w:pStyle w:val="Header"/>
              <w:tabs>
                <w:tab w:val="left" w:pos="6300"/>
              </w:tabs>
              <w:spacing w:before="120"/>
              <w:rPr>
                <w:rFonts w:cs="Arial"/>
              </w:rPr>
            </w:pPr>
            <w:r w:rsidRPr="0031485E">
              <w:t>The “competitive range” referenced in sections 4.1, 4.6, and 4.7 is not a set figure. The “competitive range” will be determined based on the scores established during Evaluations Steps 1-5.</w:t>
            </w:r>
            <w:r w:rsidR="0042316C">
              <w:br/>
            </w:r>
          </w:p>
        </w:tc>
        <w:tc>
          <w:tcPr>
            <w:tcW w:w="1001" w:type="pct"/>
            <w:shd w:val="clear" w:color="auto" w:fill="auto"/>
          </w:tcPr>
          <w:p w14:paraId="3B1A1666" w14:textId="1250FB28" w:rsidR="004A2885" w:rsidRDefault="004A2885" w:rsidP="004A2885">
            <w:pPr>
              <w:pStyle w:val="Header"/>
              <w:tabs>
                <w:tab w:val="left" w:pos="6300"/>
              </w:tabs>
              <w:spacing w:before="120"/>
            </w:pPr>
            <w:r>
              <w:t>No.</w:t>
            </w:r>
          </w:p>
        </w:tc>
      </w:tr>
      <w:tr w:rsidR="001C166B" w:rsidRPr="00B319C7" w14:paraId="6DBCB8E3" w14:textId="77777777" w:rsidTr="00FB620C">
        <w:trPr>
          <w:cantSplit/>
          <w:trHeight w:val="692"/>
        </w:trPr>
        <w:tc>
          <w:tcPr>
            <w:tcW w:w="293" w:type="pct"/>
            <w:shd w:val="clear" w:color="auto" w:fill="auto"/>
          </w:tcPr>
          <w:p w14:paraId="36FB8E0B" w14:textId="36CED55A" w:rsidR="004A2885" w:rsidRDefault="004A2885" w:rsidP="004A2885">
            <w:pPr>
              <w:pStyle w:val="Header"/>
              <w:tabs>
                <w:tab w:val="left" w:pos="6300"/>
              </w:tabs>
              <w:spacing w:before="120"/>
              <w:rPr>
                <w:rFonts w:cs="Arial"/>
              </w:rPr>
            </w:pPr>
            <w:r>
              <w:rPr>
                <w:rFonts w:cs="Arial"/>
              </w:rPr>
              <w:lastRenderedPageBreak/>
              <w:t>54</w:t>
            </w:r>
          </w:p>
        </w:tc>
        <w:tc>
          <w:tcPr>
            <w:tcW w:w="1877" w:type="pct"/>
            <w:shd w:val="clear" w:color="auto" w:fill="auto"/>
          </w:tcPr>
          <w:p w14:paraId="6B850A25" w14:textId="3947D020" w:rsidR="004A2885" w:rsidRPr="00E9758A" w:rsidRDefault="004A2885" w:rsidP="00532688">
            <w:pPr>
              <w:pStyle w:val="Header"/>
              <w:tabs>
                <w:tab w:val="left" w:pos="6300"/>
              </w:tabs>
              <w:spacing w:before="120"/>
              <w:rPr>
                <w:rFonts w:cs="Arial"/>
              </w:rPr>
            </w:pPr>
            <w:r w:rsidRPr="007A27C7">
              <w:t>Exhibit B1-Purchase Card Service Requirements: Section 5-Reporting, Item 5.6-It has been stated that these items are non-negotiable. In this item, the State is expecting only the last 4 digits of the account number. With a program of this size, only the last 4 digits will result in the appearance of duplicate account numbers. Is the State willing to accept the last 6 digits of account number?</w:t>
            </w:r>
            <w:r w:rsidR="00532688">
              <w:br/>
            </w:r>
          </w:p>
        </w:tc>
        <w:tc>
          <w:tcPr>
            <w:tcW w:w="1829" w:type="pct"/>
            <w:shd w:val="clear" w:color="auto" w:fill="auto"/>
          </w:tcPr>
          <w:p w14:paraId="69E31896" w14:textId="6CC496D6" w:rsidR="004A2885" w:rsidRDefault="004A2885" w:rsidP="004A2885">
            <w:pPr>
              <w:pStyle w:val="Header"/>
              <w:tabs>
                <w:tab w:val="left" w:pos="6300"/>
              </w:tabs>
              <w:spacing w:before="120"/>
              <w:rPr>
                <w:rFonts w:cs="Arial"/>
              </w:rPr>
            </w:pPr>
            <w:r>
              <w:rPr>
                <w:rFonts w:cs="Arial"/>
              </w:rPr>
              <w:t xml:space="preserve">See response to </w:t>
            </w:r>
            <w:hyperlink w:anchor="Question_33" w:history="1">
              <w:r w:rsidRPr="0042316C">
                <w:rPr>
                  <w:rStyle w:val="Hyperlink"/>
                  <w:rFonts w:cs="Arial"/>
                </w:rPr>
                <w:t>Question #33</w:t>
              </w:r>
            </w:hyperlink>
          </w:p>
        </w:tc>
        <w:tc>
          <w:tcPr>
            <w:tcW w:w="1001" w:type="pct"/>
            <w:shd w:val="clear" w:color="auto" w:fill="auto"/>
          </w:tcPr>
          <w:p w14:paraId="4833291A" w14:textId="3898EB07" w:rsidR="004A2885" w:rsidRDefault="004A2885" w:rsidP="004A2885">
            <w:pPr>
              <w:pStyle w:val="Header"/>
              <w:tabs>
                <w:tab w:val="left" w:pos="6300"/>
              </w:tabs>
              <w:spacing w:before="120"/>
            </w:pPr>
            <w:r>
              <w:t>No.</w:t>
            </w:r>
          </w:p>
        </w:tc>
      </w:tr>
      <w:tr w:rsidR="001C166B" w:rsidRPr="00B319C7" w14:paraId="67B041F3" w14:textId="77777777" w:rsidTr="0099033B">
        <w:trPr>
          <w:cantSplit/>
          <w:trHeight w:val="692"/>
        </w:trPr>
        <w:tc>
          <w:tcPr>
            <w:tcW w:w="293" w:type="pct"/>
          </w:tcPr>
          <w:p w14:paraId="7C0DD2A0" w14:textId="4D48E1DD" w:rsidR="004A2885" w:rsidRDefault="004A2885" w:rsidP="004A2885">
            <w:pPr>
              <w:pStyle w:val="Header"/>
              <w:tabs>
                <w:tab w:val="left" w:pos="6300"/>
              </w:tabs>
              <w:spacing w:before="120"/>
              <w:rPr>
                <w:rFonts w:cs="Arial"/>
              </w:rPr>
            </w:pPr>
            <w:r>
              <w:rPr>
                <w:rFonts w:cs="Arial"/>
              </w:rPr>
              <w:t>55</w:t>
            </w:r>
          </w:p>
        </w:tc>
        <w:tc>
          <w:tcPr>
            <w:tcW w:w="1877" w:type="pct"/>
          </w:tcPr>
          <w:p w14:paraId="39562F33" w14:textId="284D4212" w:rsidR="004A2885" w:rsidRPr="00E9758A" w:rsidRDefault="004A2885" w:rsidP="004A2885">
            <w:pPr>
              <w:pStyle w:val="Header"/>
              <w:tabs>
                <w:tab w:val="left" w:pos="6300"/>
              </w:tabs>
              <w:spacing w:before="120"/>
              <w:rPr>
                <w:rFonts w:cs="Arial"/>
              </w:rPr>
            </w:pPr>
            <w:r>
              <w:rPr>
                <w:color w:val="000000"/>
              </w:rPr>
              <w:t>Exhibit B1-Purchase Card Service Requirements: Section 5-Reporting, Item 5.8-This requirement implies that quarterly reporting must be provided before the Average File Turn Days payment performance can be calculated. Please define how the quarterly volume is determined for each quarterly period that will allow for File Turn calculations to be included in the reporting?</w:t>
            </w:r>
            <w:r w:rsidR="00736818">
              <w:rPr>
                <w:color w:val="000000"/>
              </w:rPr>
              <w:br/>
            </w:r>
          </w:p>
        </w:tc>
        <w:tc>
          <w:tcPr>
            <w:tcW w:w="1829" w:type="pct"/>
          </w:tcPr>
          <w:p w14:paraId="3A5D80BC" w14:textId="216EDF59" w:rsidR="00736818" w:rsidRPr="00736818" w:rsidRDefault="00FB620C" w:rsidP="00FB620C">
            <w:pPr>
              <w:pStyle w:val="Header"/>
              <w:tabs>
                <w:tab w:val="left" w:pos="6300"/>
              </w:tabs>
              <w:spacing w:before="120"/>
              <w:rPr>
                <w:rFonts w:cs="Arial"/>
              </w:rPr>
            </w:pPr>
            <w:r>
              <w:rPr>
                <w:rFonts w:cs="Arial"/>
              </w:rPr>
              <w:t>Due date for reports requested by Requirement 5.8 &amp; 5.9 have been updated to sixty (60) days after the end of the quarter.</w:t>
            </w:r>
            <w:r w:rsidR="00EE1FA7">
              <w:rPr>
                <w:rFonts w:cs="Arial"/>
              </w:rPr>
              <w:t xml:space="preserve"> </w:t>
            </w:r>
          </w:p>
        </w:tc>
        <w:tc>
          <w:tcPr>
            <w:tcW w:w="1001" w:type="pct"/>
          </w:tcPr>
          <w:p w14:paraId="30207188" w14:textId="7545BF48" w:rsidR="004A2885" w:rsidRDefault="00FB620C" w:rsidP="004A2885">
            <w:pPr>
              <w:pStyle w:val="Header"/>
              <w:tabs>
                <w:tab w:val="left" w:pos="6300"/>
              </w:tabs>
              <w:spacing w:before="120"/>
            </w:pPr>
            <w:r>
              <w:t>Yes</w:t>
            </w:r>
          </w:p>
        </w:tc>
      </w:tr>
      <w:tr w:rsidR="001C166B" w:rsidRPr="00B319C7" w14:paraId="17279115" w14:textId="77777777" w:rsidTr="0099033B">
        <w:trPr>
          <w:cantSplit/>
          <w:trHeight w:val="692"/>
        </w:trPr>
        <w:tc>
          <w:tcPr>
            <w:tcW w:w="293" w:type="pct"/>
          </w:tcPr>
          <w:p w14:paraId="6FDEF56B" w14:textId="75C26284" w:rsidR="004A2885" w:rsidRDefault="004A2885" w:rsidP="004A2885">
            <w:pPr>
              <w:pStyle w:val="Header"/>
              <w:tabs>
                <w:tab w:val="left" w:pos="6300"/>
              </w:tabs>
              <w:spacing w:before="120"/>
              <w:rPr>
                <w:rFonts w:cs="Arial"/>
              </w:rPr>
            </w:pPr>
            <w:r>
              <w:rPr>
                <w:rFonts w:cs="Arial"/>
              </w:rPr>
              <w:t>56</w:t>
            </w:r>
          </w:p>
        </w:tc>
        <w:tc>
          <w:tcPr>
            <w:tcW w:w="1877" w:type="pct"/>
          </w:tcPr>
          <w:p w14:paraId="577A0A86" w14:textId="375798DB" w:rsidR="004A2885" w:rsidRPr="00EE1FA7" w:rsidRDefault="004A2885" w:rsidP="004A2885">
            <w:pPr>
              <w:pStyle w:val="Header"/>
              <w:tabs>
                <w:tab w:val="left" w:pos="6300"/>
              </w:tabs>
              <w:spacing w:before="120"/>
              <w:rPr>
                <w:rFonts w:asciiTheme="majorHAnsi" w:hAnsiTheme="majorHAnsi" w:cstheme="majorHAnsi"/>
              </w:rPr>
            </w:pPr>
            <w:r w:rsidRPr="00EE1FA7">
              <w:rPr>
                <w:rFonts w:asciiTheme="majorHAnsi" w:hAnsiTheme="majorHAnsi" w:cstheme="majorHAnsi"/>
                <w:color w:val="000000"/>
              </w:rPr>
              <w:t>Exhibit B1-Purchase Card Service Requirements; Section 5-Reporting, Item 5.10-Could the State please place some parameters for this item? This implies there is no limit to what type of reporting could be requested.</w:t>
            </w:r>
            <w:r w:rsidR="00EE1FA7" w:rsidRPr="00EE1FA7">
              <w:rPr>
                <w:rFonts w:asciiTheme="majorHAnsi" w:hAnsiTheme="majorHAnsi" w:cstheme="majorHAnsi"/>
                <w:color w:val="000000"/>
              </w:rPr>
              <w:br/>
            </w:r>
          </w:p>
        </w:tc>
        <w:tc>
          <w:tcPr>
            <w:tcW w:w="1829" w:type="pct"/>
          </w:tcPr>
          <w:p w14:paraId="6F6AE4E8" w14:textId="5FF8FF9E" w:rsidR="004A2885" w:rsidRDefault="00EE1FA7" w:rsidP="004A2885">
            <w:pPr>
              <w:pStyle w:val="Header"/>
              <w:tabs>
                <w:tab w:val="left" w:pos="6300"/>
              </w:tabs>
              <w:spacing w:before="120"/>
              <w:rPr>
                <w:rFonts w:asciiTheme="majorHAnsi" w:hAnsiTheme="majorHAnsi" w:cstheme="majorHAnsi"/>
              </w:rPr>
            </w:pPr>
            <w:r>
              <w:rPr>
                <w:rFonts w:asciiTheme="majorHAnsi" w:hAnsiTheme="majorHAnsi" w:cstheme="majorHAnsi"/>
              </w:rPr>
              <w:t>States will have varying requirements around transaction and rebate reporting – from data required to delivery schedule. These needs are unknown at this time.</w:t>
            </w:r>
          </w:p>
          <w:p w14:paraId="6F88210D" w14:textId="77777777" w:rsidR="00EE1FA7" w:rsidRDefault="00EE1FA7" w:rsidP="004A2885">
            <w:pPr>
              <w:pStyle w:val="Header"/>
              <w:tabs>
                <w:tab w:val="left" w:pos="6300"/>
              </w:tabs>
              <w:spacing w:before="120"/>
              <w:rPr>
                <w:rFonts w:asciiTheme="majorHAnsi" w:hAnsiTheme="majorHAnsi" w:cstheme="majorHAnsi"/>
              </w:rPr>
            </w:pPr>
            <w:r>
              <w:rPr>
                <w:rFonts w:asciiTheme="majorHAnsi" w:hAnsiTheme="majorHAnsi" w:cstheme="majorHAnsi"/>
              </w:rPr>
              <w:t>Enterprise Services has added the detail that the reporting must be transaction or rebate based.</w:t>
            </w:r>
          </w:p>
          <w:p w14:paraId="7FF28BDF" w14:textId="1FF5B97C" w:rsidR="00EE1FA7" w:rsidRPr="00EE1FA7" w:rsidRDefault="00EE1FA7" w:rsidP="003D0516">
            <w:pPr>
              <w:pStyle w:val="Header"/>
              <w:tabs>
                <w:tab w:val="left" w:pos="6300"/>
              </w:tabs>
              <w:spacing w:before="120"/>
              <w:rPr>
                <w:rFonts w:asciiTheme="majorHAnsi" w:hAnsiTheme="majorHAnsi" w:cstheme="majorHAnsi"/>
              </w:rPr>
            </w:pPr>
            <w:r>
              <w:rPr>
                <w:rFonts w:asciiTheme="majorHAnsi" w:hAnsiTheme="majorHAnsi" w:cstheme="majorHAnsi"/>
              </w:rPr>
              <w:t xml:space="preserve">This requirement is also included in Exhibit B2 </w:t>
            </w:r>
            <w:r w:rsidR="003D0516">
              <w:rPr>
                <w:rFonts w:asciiTheme="majorHAnsi" w:hAnsiTheme="majorHAnsi" w:cstheme="majorHAnsi"/>
              </w:rPr>
              <w:t>-</w:t>
            </w:r>
            <w:r>
              <w:rPr>
                <w:rFonts w:asciiTheme="majorHAnsi" w:hAnsiTheme="majorHAnsi" w:cstheme="majorHAnsi"/>
              </w:rPr>
              <w:t xml:space="preserve"> Requirement 5.10</w:t>
            </w:r>
            <w:r>
              <w:rPr>
                <w:rFonts w:asciiTheme="majorHAnsi" w:hAnsiTheme="majorHAnsi" w:cstheme="majorHAnsi"/>
              </w:rPr>
              <w:br/>
            </w:r>
          </w:p>
        </w:tc>
        <w:tc>
          <w:tcPr>
            <w:tcW w:w="1001" w:type="pct"/>
          </w:tcPr>
          <w:p w14:paraId="16ECD802" w14:textId="06E2E511" w:rsidR="004A2885" w:rsidRDefault="00EE1FA7" w:rsidP="004A2885">
            <w:pPr>
              <w:pStyle w:val="Header"/>
              <w:tabs>
                <w:tab w:val="left" w:pos="6300"/>
              </w:tabs>
              <w:spacing w:before="120"/>
            </w:pPr>
            <w:r>
              <w:t>Yes</w:t>
            </w:r>
          </w:p>
        </w:tc>
      </w:tr>
      <w:tr w:rsidR="001C166B" w:rsidRPr="00B319C7" w14:paraId="15233216" w14:textId="77777777" w:rsidTr="0099033B">
        <w:trPr>
          <w:cantSplit/>
          <w:trHeight w:val="692"/>
        </w:trPr>
        <w:tc>
          <w:tcPr>
            <w:tcW w:w="293" w:type="pct"/>
          </w:tcPr>
          <w:p w14:paraId="63F589A0" w14:textId="4F69BB7A" w:rsidR="004A2885" w:rsidRDefault="004A2885" w:rsidP="004A2885">
            <w:pPr>
              <w:pStyle w:val="Header"/>
              <w:tabs>
                <w:tab w:val="left" w:pos="6300"/>
              </w:tabs>
              <w:spacing w:before="120"/>
              <w:rPr>
                <w:rFonts w:cs="Arial"/>
              </w:rPr>
            </w:pPr>
            <w:r>
              <w:rPr>
                <w:rFonts w:cs="Arial"/>
              </w:rPr>
              <w:lastRenderedPageBreak/>
              <w:t>57</w:t>
            </w:r>
          </w:p>
        </w:tc>
        <w:tc>
          <w:tcPr>
            <w:tcW w:w="1877" w:type="pct"/>
          </w:tcPr>
          <w:p w14:paraId="5DADA567" w14:textId="46A786AD" w:rsidR="004A2885" w:rsidRPr="0031485E" w:rsidRDefault="004A2885" w:rsidP="00FA315B">
            <w:pPr>
              <w:pStyle w:val="Header"/>
              <w:tabs>
                <w:tab w:val="left" w:pos="6300"/>
              </w:tabs>
              <w:spacing w:before="120"/>
              <w:rPr>
                <w:rFonts w:cs="Arial"/>
              </w:rPr>
            </w:pPr>
            <w:r w:rsidRPr="00FA315B">
              <w:t>Exhibit B1-Purchase Card Service Requirements: Section 15-Fraud Protection, item 15.2-What data attributes are required for a fraud report? A declined transaction report includes standard data attributes, however, fraud reports may verge on proprietary information.</w:t>
            </w:r>
            <w:r w:rsidR="00FA315B">
              <w:br/>
            </w:r>
          </w:p>
        </w:tc>
        <w:tc>
          <w:tcPr>
            <w:tcW w:w="1829" w:type="pct"/>
          </w:tcPr>
          <w:p w14:paraId="69AF37EF" w14:textId="146BE6B7" w:rsidR="00671BDC" w:rsidRPr="00FA315B" w:rsidRDefault="00671BDC" w:rsidP="004A2885">
            <w:pPr>
              <w:pStyle w:val="Header"/>
              <w:tabs>
                <w:tab w:val="left" w:pos="6300"/>
              </w:tabs>
              <w:spacing w:before="120"/>
              <w:rPr>
                <w:rFonts w:cs="Arial"/>
              </w:rPr>
            </w:pPr>
            <w:r>
              <w:rPr>
                <w:rFonts w:cs="Arial"/>
              </w:rPr>
              <w:t>Fraud report should not include any proprietary information but should indicate if a transaction is fraudulent, if a card is exposed to fraudulent activities and must be re-issued or similar card specific data.</w:t>
            </w:r>
            <w:r>
              <w:rPr>
                <w:rFonts w:cs="Arial"/>
              </w:rPr>
              <w:br/>
            </w:r>
          </w:p>
        </w:tc>
        <w:tc>
          <w:tcPr>
            <w:tcW w:w="1001" w:type="pct"/>
          </w:tcPr>
          <w:p w14:paraId="0201ABA9" w14:textId="6A8B1502" w:rsidR="004A2885" w:rsidRDefault="00FB620C" w:rsidP="004A2885">
            <w:pPr>
              <w:pStyle w:val="Header"/>
              <w:tabs>
                <w:tab w:val="left" w:pos="6300"/>
              </w:tabs>
              <w:spacing w:before="120"/>
            </w:pPr>
            <w:r>
              <w:t>No.</w:t>
            </w:r>
          </w:p>
        </w:tc>
      </w:tr>
      <w:tr w:rsidR="001C166B" w:rsidRPr="00B319C7" w14:paraId="2C5B08C0" w14:textId="77777777" w:rsidTr="00FB620C">
        <w:trPr>
          <w:cantSplit/>
          <w:trHeight w:val="692"/>
        </w:trPr>
        <w:tc>
          <w:tcPr>
            <w:tcW w:w="293" w:type="pct"/>
            <w:shd w:val="clear" w:color="auto" w:fill="auto"/>
          </w:tcPr>
          <w:p w14:paraId="0245389C" w14:textId="79DE1D7E" w:rsidR="004A2885" w:rsidRDefault="004A2885" w:rsidP="004A2885">
            <w:pPr>
              <w:pStyle w:val="Header"/>
              <w:tabs>
                <w:tab w:val="left" w:pos="6300"/>
              </w:tabs>
              <w:spacing w:before="120"/>
              <w:rPr>
                <w:rFonts w:cs="Arial"/>
              </w:rPr>
            </w:pPr>
            <w:r>
              <w:rPr>
                <w:rFonts w:cs="Arial"/>
              </w:rPr>
              <w:t>58</w:t>
            </w:r>
          </w:p>
        </w:tc>
        <w:tc>
          <w:tcPr>
            <w:tcW w:w="1877" w:type="pct"/>
            <w:shd w:val="clear" w:color="auto" w:fill="auto"/>
          </w:tcPr>
          <w:p w14:paraId="34996F25" w14:textId="2BB89E99" w:rsidR="004A2885" w:rsidRPr="00E9758A" w:rsidRDefault="004A2885" w:rsidP="00FB620C">
            <w:pPr>
              <w:pStyle w:val="Header"/>
              <w:tabs>
                <w:tab w:val="left" w:pos="6300"/>
              </w:tabs>
              <w:spacing w:before="120"/>
              <w:rPr>
                <w:rFonts w:cs="Arial"/>
              </w:rPr>
            </w:pPr>
            <w:r w:rsidRPr="004A2885">
              <w:t>Exhibit C1, #2 Non-Standard Volume Incentive: The commercial cards market continues to evolve related to the transaction interchange rates. Currently there is Large Ticket Interchange and Merchant Negotiated Interchange. Will the State consider adding Merchant Negotiated Interchange as an additional option in the Non-Standard Volume Incentive Section?</w:t>
            </w:r>
            <w:r w:rsidR="00FB620C">
              <w:br/>
            </w:r>
          </w:p>
        </w:tc>
        <w:tc>
          <w:tcPr>
            <w:tcW w:w="1829" w:type="pct"/>
            <w:shd w:val="clear" w:color="auto" w:fill="auto"/>
          </w:tcPr>
          <w:p w14:paraId="7D49BA4D" w14:textId="25D2A2A9" w:rsidR="004A2885" w:rsidRDefault="00FA315B" w:rsidP="004A2885">
            <w:pPr>
              <w:pStyle w:val="Header"/>
              <w:tabs>
                <w:tab w:val="left" w:pos="6300"/>
              </w:tabs>
              <w:spacing w:before="120"/>
              <w:rPr>
                <w:rFonts w:cs="Arial"/>
              </w:rPr>
            </w:pPr>
            <w:r>
              <w:rPr>
                <w:rFonts w:cs="Arial"/>
              </w:rPr>
              <w:t xml:space="preserve">See response to </w:t>
            </w:r>
            <w:hyperlink w:anchor="Question_41" w:history="1">
              <w:r w:rsidRPr="00FA315B">
                <w:rPr>
                  <w:rStyle w:val="Hyperlink"/>
                  <w:rFonts w:cs="Arial"/>
                </w:rPr>
                <w:t>Question #41</w:t>
              </w:r>
            </w:hyperlink>
            <w:r>
              <w:rPr>
                <w:rFonts w:cs="Arial"/>
              </w:rPr>
              <w:t>.</w:t>
            </w:r>
          </w:p>
        </w:tc>
        <w:tc>
          <w:tcPr>
            <w:tcW w:w="1001" w:type="pct"/>
            <w:shd w:val="clear" w:color="auto" w:fill="auto"/>
          </w:tcPr>
          <w:p w14:paraId="107D2758" w14:textId="084F1692" w:rsidR="004A2885" w:rsidRDefault="00FA315B" w:rsidP="004A2885">
            <w:pPr>
              <w:pStyle w:val="Header"/>
              <w:tabs>
                <w:tab w:val="left" w:pos="6300"/>
              </w:tabs>
              <w:spacing w:before="120"/>
            </w:pPr>
            <w:r>
              <w:t>No.</w:t>
            </w:r>
          </w:p>
        </w:tc>
      </w:tr>
      <w:tr w:rsidR="001C166B" w:rsidRPr="00B319C7" w14:paraId="6F4E6ED6" w14:textId="77777777" w:rsidTr="00FB620C">
        <w:trPr>
          <w:cantSplit/>
          <w:trHeight w:val="692"/>
        </w:trPr>
        <w:tc>
          <w:tcPr>
            <w:tcW w:w="293" w:type="pct"/>
            <w:shd w:val="clear" w:color="auto" w:fill="auto"/>
          </w:tcPr>
          <w:p w14:paraId="4D2297DE" w14:textId="3598288F" w:rsidR="004A2885" w:rsidRDefault="004A2885" w:rsidP="004A2885">
            <w:pPr>
              <w:pStyle w:val="Header"/>
              <w:tabs>
                <w:tab w:val="left" w:pos="6300"/>
              </w:tabs>
              <w:spacing w:before="120"/>
              <w:rPr>
                <w:rFonts w:cs="Arial"/>
              </w:rPr>
            </w:pPr>
            <w:r>
              <w:rPr>
                <w:rFonts w:cs="Arial"/>
              </w:rPr>
              <w:t>59</w:t>
            </w:r>
          </w:p>
        </w:tc>
        <w:tc>
          <w:tcPr>
            <w:tcW w:w="1877" w:type="pct"/>
            <w:shd w:val="clear" w:color="auto" w:fill="auto"/>
          </w:tcPr>
          <w:p w14:paraId="432909AC" w14:textId="5BE0A09C" w:rsidR="004A2885" w:rsidRPr="00E9758A" w:rsidRDefault="004A2885" w:rsidP="00FB620C">
            <w:pPr>
              <w:pStyle w:val="Header"/>
              <w:tabs>
                <w:tab w:val="left" w:pos="6300"/>
              </w:tabs>
              <w:spacing w:before="120"/>
              <w:rPr>
                <w:rFonts w:cs="Arial"/>
              </w:rPr>
            </w:pPr>
            <w:r w:rsidRPr="002B64A2">
              <w:t xml:space="preserve">Exhibit C1, #3 – Prompt Payment Incentive: Please provide a description of how the State/NASPO calculates average file turn days. If you could include the </w:t>
            </w:r>
            <w:r w:rsidR="00FB620C">
              <w:t>attributes definitions as well.</w:t>
            </w:r>
            <w:r w:rsidR="00FB620C">
              <w:br/>
            </w:r>
          </w:p>
        </w:tc>
        <w:tc>
          <w:tcPr>
            <w:tcW w:w="1829" w:type="pct"/>
            <w:shd w:val="clear" w:color="auto" w:fill="auto"/>
          </w:tcPr>
          <w:p w14:paraId="1864E626" w14:textId="3779DA9F" w:rsidR="004A2885" w:rsidRDefault="004A2885" w:rsidP="004A2885">
            <w:pPr>
              <w:pStyle w:val="Header"/>
              <w:tabs>
                <w:tab w:val="left" w:pos="6300"/>
              </w:tabs>
              <w:spacing w:before="120"/>
              <w:rPr>
                <w:rFonts w:cs="Arial"/>
              </w:rPr>
            </w:pPr>
            <w:r>
              <w:rPr>
                <w:rFonts w:cs="Arial"/>
              </w:rPr>
              <w:t xml:space="preserve">See response to </w:t>
            </w:r>
            <w:hyperlink w:anchor="Question_18" w:history="1">
              <w:r w:rsidRPr="0042316C">
                <w:rPr>
                  <w:rStyle w:val="Hyperlink"/>
                  <w:rFonts w:cs="Arial"/>
                </w:rPr>
                <w:t>Question #18</w:t>
              </w:r>
            </w:hyperlink>
            <w:r>
              <w:rPr>
                <w:rFonts w:cs="Arial"/>
              </w:rPr>
              <w:t>.</w:t>
            </w:r>
          </w:p>
        </w:tc>
        <w:tc>
          <w:tcPr>
            <w:tcW w:w="1001" w:type="pct"/>
            <w:shd w:val="clear" w:color="auto" w:fill="auto"/>
          </w:tcPr>
          <w:p w14:paraId="71DE1166" w14:textId="479729C3" w:rsidR="004A2885" w:rsidRDefault="00FB620C" w:rsidP="004A2885">
            <w:pPr>
              <w:pStyle w:val="Header"/>
              <w:tabs>
                <w:tab w:val="left" w:pos="6300"/>
              </w:tabs>
              <w:spacing w:before="120"/>
            </w:pPr>
            <w:r>
              <w:t>No</w:t>
            </w:r>
          </w:p>
        </w:tc>
      </w:tr>
      <w:tr w:rsidR="001C166B" w:rsidRPr="00B319C7" w14:paraId="2E745893" w14:textId="77777777" w:rsidTr="005A055A">
        <w:trPr>
          <w:cantSplit/>
          <w:trHeight w:val="692"/>
        </w:trPr>
        <w:tc>
          <w:tcPr>
            <w:tcW w:w="293" w:type="pct"/>
            <w:shd w:val="clear" w:color="auto" w:fill="auto"/>
          </w:tcPr>
          <w:p w14:paraId="2EFF0074" w14:textId="0076B241" w:rsidR="004A2885" w:rsidRDefault="004A2885" w:rsidP="004A2885">
            <w:pPr>
              <w:pStyle w:val="Header"/>
              <w:tabs>
                <w:tab w:val="left" w:pos="6300"/>
              </w:tabs>
              <w:spacing w:before="120"/>
              <w:rPr>
                <w:rFonts w:cs="Arial"/>
              </w:rPr>
            </w:pPr>
            <w:r>
              <w:rPr>
                <w:rFonts w:cs="Arial"/>
              </w:rPr>
              <w:t>60</w:t>
            </w:r>
          </w:p>
        </w:tc>
        <w:tc>
          <w:tcPr>
            <w:tcW w:w="1877" w:type="pct"/>
            <w:shd w:val="clear" w:color="auto" w:fill="auto"/>
          </w:tcPr>
          <w:p w14:paraId="11AA5A91" w14:textId="40F38F3B" w:rsidR="004A2885" w:rsidRPr="00F30BA5" w:rsidRDefault="004A2885" w:rsidP="004A2885">
            <w:pPr>
              <w:pStyle w:val="Header"/>
              <w:tabs>
                <w:tab w:val="left" w:pos="6300"/>
              </w:tabs>
              <w:spacing w:before="120"/>
            </w:pPr>
            <w:r w:rsidRPr="00F30BA5">
              <w:t>Exhibit C1, #3 – Prompt Payment Incentive: The table ranges from 1 to 60 days, however the Master Agreement calls for payment terms of 45 days. If a participant exceeds 45 average file turn days to pay, does that associated spend volume become disqualified from rebate calculation?  If the answer is no, then same question applies if the participant exceeds 60 average file turn days to pay?</w:t>
            </w:r>
          </w:p>
          <w:p w14:paraId="07C12D99" w14:textId="77777777" w:rsidR="004A2885" w:rsidRPr="00E9758A" w:rsidRDefault="004A2885" w:rsidP="004A2885">
            <w:pPr>
              <w:pStyle w:val="ListParagraph"/>
              <w:ind w:hanging="360"/>
              <w:rPr>
                <w:rFonts w:cs="Arial"/>
              </w:rPr>
            </w:pPr>
          </w:p>
        </w:tc>
        <w:tc>
          <w:tcPr>
            <w:tcW w:w="1829" w:type="pct"/>
            <w:shd w:val="clear" w:color="auto" w:fill="auto"/>
          </w:tcPr>
          <w:p w14:paraId="2BAD9C46" w14:textId="2EFAA4EC" w:rsidR="004A2885" w:rsidRDefault="004A2885" w:rsidP="004A2885">
            <w:pPr>
              <w:pStyle w:val="Header"/>
              <w:tabs>
                <w:tab w:val="left" w:pos="6300"/>
              </w:tabs>
              <w:spacing w:before="120"/>
              <w:rPr>
                <w:rFonts w:cs="Arial"/>
              </w:rPr>
            </w:pPr>
            <w:r>
              <w:rPr>
                <w:rFonts w:cs="Arial"/>
              </w:rPr>
              <w:t xml:space="preserve">Master Agreement Section 6.2 requires payment within forty-five (45) days. </w:t>
            </w:r>
          </w:p>
          <w:p w14:paraId="1B88E051" w14:textId="0D169A7A" w:rsidR="004A2885" w:rsidRDefault="004A2885" w:rsidP="004A2885">
            <w:pPr>
              <w:pStyle w:val="Header"/>
              <w:tabs>
                <w:tab w:val="left" w:pos="6300"/>
              </w:tabs>
              <w:spacing w:before="120"/>
              <w:rPr>
                <w:rFonts w:cs="Arial"/>
              </w:rPr>
            </w:pPr>
            <w:r>
              <w:rPr>
                <w:rFonts w:cs="Arial"/>
              </w:rPr>
              <w:t>The Prompt payment incentive is based on a 45 day schedule.</w:t>
            </w:r>
          </w:p>
          <w:p w14:paraId="18FEF6B0" w14:textId="4A3EEBEC" w:rsidR="004A2885" w:rsidRDefault="004A2885" w:rsidP="004A2885">
            <w:pPr>
              <w:pStyle w:val="Header"/>
              <w:tabs>
                <w:tab w:val="left" w:pos="6300"/>
              </w:tabs>
              <w:spacing w:before="120"/>
              <w:rPr>
                <w:rFonts w:cs="Arial"/>
              </w:rPr>
            </w:pPr>
          </w:p>
        </w:tc>
        <w:tc>
          <w:tcPr>
            <w:tcW w:w="1001" w:type="pct"/>
            <w:shd w:val="clear" w:color="auto" w:fill="auto"/>
          </w:tcPr>
          <w:p w14:paraId="084A88F2" w14:textId="18BF4591" w:rsidR="004A2885" w:rsidRDefault="005A055A" w:rsidP="0042316C">
            <w:pPr>
              <w:pStyle w:val="Header"/>
              <w:tabs>
                <w:tab w:val="left" w:pos="6300"/>
              </w:tabs>
              <w:spacing w:before="120"/>
            </w:pPr>
            <w:r>
              <w:t>Yes.</w:t>
            </w:r>
          </w:p>
        </w:tc>
      </w:tr>
      <w:tr w:rsidR="001C166B" w:rsidRPr="00B319C7" w14:paraId="52C3EC19" w14:textId="77777777" w:rsidTr="0099033B">
        <w:trPr>
          <w:cantSplit/>
          <w:trHeight w:val="692"/>
        </w:trPr>
        <w:tc>
          <w:tcPr>
            <w:tcW w:w="293" w:type="pct"/>
          </w:tcPr>
          <w:p w14:paraId="4076BCC5" w14:textId="5B210E1C" w:rsidR="004A2885" w:rsidRDefault="004A2885" w:rsidP="004A2885">
            <w:pPr>
              <w:pStyle w:val="Header"/>
              <w:tabs>
                <w:tab w:val="left" w:pos="6300"/>
              </w:tabs>
              <w:spacing w:before="120"/>
              <w:rPr>
                <w:rFonts w:cs="Arial"/>
              </w:rPr>
            </w:pPr>
            <w:r>
              <w:rPr>
                <w:rFonts w:cs="Arial"/>
              </w:rPr>
              <w:lastRenderedPageBreak/>
              <w:t>61</w:t>
            </w:r>
          </w:p>
        </w:tc>
        <w:tc>
          <w:tcPr>
            <w:tcW w:w="1877" w:type="pct"/>
          </w:tcPr>
          <w:p w14:paraId="4FC2C8FF" w14:textId="1B6301AC" w:rsidR="004A2885" w:rsidRPr="00983601" w:rsidRDefault="004A2885" w:rsidP="004A2885">
            <w:pPr>
              <w:pStyle w:val="Header"/>
              <w:tabs>
                <w:tab w:val="left" w:pos="6300"/>
              </w:tabs>
              <w:spacing w:before="120"/>
            </w:pPr>
            <w:r w:rsidRPr="00983601">
              <w:t>Exhibit I-2018 Program Details: Please provide the 2018 annual volume of spend that qualified as Large Ticket Interchange transactions? Also please provide the 2018 annual volume of spend that qualified as Merchant Negotiated Interchange transactions. If Annual combined volume will be helpful if not broken out by State and Political Subdivisions.</w:t>
            </w:r>
          </w:p>
          <w:p w14:paraId="2634A257" w14:textId="77777777" w:rsidR="004A2885" w:rsidRPr="00983601" w:rsidRDefault="004A2885" w:rsidP="004A2885">
            <w:pPr>
              <w:pStyle w:val="Header"/>
              <w:tabs>
                <w:tab w:val="left" w:pos="6300"/>
              </w:tabs>
              <w:spacing w:before="120"/>
            </w:pPr>
          </w:p>
        </w:tc>
        <w:tc>
          <w:tcPr>
            <w:tcW w:w="1829" w:type="pct"/>
          </w:tcPr>
          <w:p w14:paraId="4C44B61A" w14:textId="3E53AE29" w:rsidR="004A2885" w:rsidRDefault="005A055A" w:rsidP="004A2885">
            <w:pPr>
              <w:pStyle w:val="Header"/>
              <w:tabs>
                <w:tab w:val="left" w:pos="6300"/>
              </w:tabs>
              <w:spacing w:before="120"/>
              <w:rPr>
                <w:rFonts w:cs="Arial"/>
              </w:rPr>
            </w:pPr>
            <w:r w:rsidRPr="005A055A">
              <w:rPr>
                <w:rFonts w:cs="Arial"/>
              </w:rPr>
              <w:t>Working with current vendor</w:t>
            </w:r>
            <w:r>
              <w:rPr>
                <w:rFonts w:cs="Arial"/>
              </w:rPr>
              <w:t xml:space="preserve"> to get this additional detail. </w:t>
            </w:r>
            <w:r w:rsidRPr="005A055A">
              <w:rPr>
                <w:rFonts w:cs="Arial"/>
              </w:rPr>
              <w:t>Once supplied, data will be posted to WEBS</w:t>
            </w:r>
            <w:r w:rsidR="004A2885" w:rsidRPr="005A055A">
              <w:rPr>
                <w:rFonts w:cs="Arial"/>
              </w:rPr>
              <w:t>.</w:t>
            </w:r>
          </w:p>
        </w:tc>
        <w:tc>
          <w:tcPr>
            <w:tcW w:w="1001" w:type="pct"/>
          </w:tcPr>
          <w:p w14:paraId="030ADCC4" w14:textId="5D78F2F9" w:rsidR="004A2885" w:rsidRDefault="004A2885" w:rsidP="004A2885">
            <w:pPr>
              <w:pStyle w:val="Header"/>
              <w:tabs>
                <w:tab w:val="left" w:pos="6300"/>
              </w:tabs>
              <w:spacing w:before="120"/>
            </w:pPr>
            <w:r>
              <w:t>No.</w:t>
            </w:r>
          </w:p>
        </w:tc>
      </w:tr>
      <w:tr w:rsidR="001C166B" w:rsidRPr="00B319C7" w14:paraId="058DE1B2" w14:textId="77777777" w:rsidTr="0099033B">
        <w:trPr>
          <w:cantSplit/>
          <w:trHeight w:val="692"/>
        </w:trPr>
        <w:tc>
          <w:tcPr>
            <w:tcW w:w="293" w:type="pct"/>
          </w:tcPr>
          <w:p w14:paraId="41454AF5" w14:textId="532C41AD" w:rsidR="004A2885" w:rsidRDefault="004A2885" w:rsidP="004A2885">
            <w:pPr>
              <w:pStyle w:val="Header"/>
              <w:tabs>
                <w:tab w:val="left" w:pos="6300"/>
              </w:tabs>
              <w:spacing w:before="120"/>
              <w:rPr>
                <w:rFonts w:cs="Arial"/>
              </w:rPr>
            </w:pPr>
            <w:r>
              <w:rPr>
                <w:rFonts w:cs="Arial"/>
              </w:rPr>
              <w:t>62</w:t>
            </w:r>
          </w:p>
        </w:tc>
        <w:tc>
          <w:tcPr>
            <w:tcW w:w="1877" w:type="pct"/>
          </w:tcPr>
          <w:p w14:paraId="5BB0C61D" w14:textId="113F5E37" w:rsidR="004A2885" w:rsidRPr="007A27C7" w:rsidRDefault="004A2885" w:rsidP="004A2885">
            <w:pPr>
              <w:pStyle w:val="Header"/>
              <w:tabs>
                <w:tab w:val="left" w:pos="6300"/>
              </w:tabs>
              <w:spacing w:before="120"/>
            </w:pPr>
            <w:r w:rsidRPr="007A27C7">
              <w:t>Exhibit I-2018 Program Details: Please clarify the definition of # of Cards. Are these totals the number of active cards at each participant level? Example: Wisconsin Purchase Card indicates 205,100 cards, however the number of State employees is close to 75,000. At first glance, this appears to be an overstatement of active card accounts.</w:t>
            </w:r>
          </w:p>
          <w:p w14:paraId="1A597B9D" w14:textId="77777777" w:rsidR="004A2885" w:rsidRPr="007A27C7" w:rsidRDefault="004A2885" w:rsidP="004A2885">
            <w:pPr>
              <w:pStyle w:val="Header"/>
              <w:tabs>
                <w:tab w:val="left" w:pos="6300"/>
              </w:tabs>
              <w:spacing w:before="120"/>
            </w:pPr>
          </w:p>
        </w:tc>
        <w:tc>
          <w:tcPr>
            <w:tcW w:w="1829" w:type="pct"/>
          </w:tcPr>
          <w:p w14:paraId="75E7EB02" w14:textId="177FB070" w:rsidR="004A2885" w:rsidRDefault="005A055A" w:rsidP="004A2885">
            <w:pPr>
              <w:pStyle w:val="Header"/>
              <w:tabs>
                <w:tab w:val="left" w:pos="6300"/>
              </w:tabs>
              <w:spacing w:before="120"/>
              <w:rPr>
                <w:rFonts w:cs="Arial"/>
              </w:rPr>
            </w:pPr>
            <w:r w:rsidRPr="005A055A">
              <w:rPr>
                <w:rFonts w:cs="Arial"/>
              </w:rPr>
              <w:t>Working with current vendor</w:t>
            </w:r>
            <w:r>
              <w:rPr>
                <w:rFonts w:cs="Arial"/>
              </w:rPr>
              <w:t xml:space="preserve"> to get this additional detail. </w:t>
            </w:r>
            <w:r w:rsidRPr="005A055A">
              <w:rPr>
                <w:rFonts w:cs="Arial"/>
              </w:rPr>
              <w:t>Once supplied, data will be posted to WEBS.</w:t>
            </w:r>
          </w:p>
        </w:tc>
        <w:tc>
          <w:tcPr>
            <w:tcW w:w="1001" w:type="pct"/>
          </w:tcPr>
          <w:p w14:paraId="5D2F95AC" w14:textId="58B477B7" w:rsidR="004A2885" w:rsidRDefault="004A2885" w:rsidP="004A2885">
            <w:pPr>
              <w:pStyle w:val="Header"/>
              <w:tabs>
                <w:tab w:val="left" w:pos="6300"/>
              </w:tabs>
              <w:spacing w:before="120"/>
            </w:pPr>
            <w:r>
              <w:t>No.</w:t>
            </w:r>
          </w:p>
        </w:tc>
      </w:tr>
      <w:tr w:rsidR="001C166B" w:rsidRPr="00B319C7" w14:paraId="418BCA81" w14:textId="77777777" w:rsidTr="005A055A">
        <w:trPr>
          <w:cantSplit/>
          <w:trHeight w:val="692"/>
        </w:trPr>
        <w:tc>
          <w:tcPr>
            <w:tcW w:w="293" w:type="pct"/>
            <w:shd w:val="clear" w:color="auto" w:fill="auto"/>
          </w:tcPr>
          <w:p w14:paraId="2F1826F5" w14:textId="6D642D79" w:rsidR="004A2885" w:rsidRDefault="004A2885" w:rsidP="004A2885">
            <w:pPr>
              <w:pStyle w:val="Header"/>
              <w:tabs>
                <w:tab w:val="left" w:pos="6300"/>
              </w:tabs>
              <w:spacing w:before="120"/>
              <w:rPr>
                <w:rFonts w:cs="Arial"/>
              </w:rPr>
            </w:pPr>
            <w:r>
              <w:rPr>
                <w:rFonts w:cs="Arial"/>
              </w:rPr>
              <w:t>63</w:t>
            </w:r>
          </w:p>
        </w:tc>
        <w:tc>
          <w:tcPr>
            <w:tcW w:w="1877" w:type="pct"/>
            <w:shd w:val="clear" w:color="auto" w:fill="auto"/>
          </w:tcPr>
          <w:p w14:paraId="4C9B4ECF" w14:textId="66357DBC" w:rsidR="004A2885" w:rsidRPr="00E9758A" w:rsidRDefault="004A2885" w:rsidP="004A2885">
            <w:pPr>
              <w:pStyle w:val="Header"/>
              <w:tabs>
                <w:tab w:val="left" w:pos="6300"/>
              </w:tabs>
              <w:spacing w:before="120"/>
              <w:rPr>
                <w:rFonts w:cs="Arial"/>
              </w:rPr>
            </w:pPr>
            <w:r>
              <w:t>We noticed a State Payee Desk referenced in the RFP document and we believe we are registered, but can’t find internal confirmation.</w:t>
            </w:r>
          </w:p>
        </w:tc>
        <w:tc>
          <w:tcPr>
            <w:tcW w:w="1829" w:type="pct"/>
            <w:shd w:val="clear" w:color="auto" w:fill="auto"/>
          </w:tcPr>
          <w:p w14:paraId="3CFD0E3C" w14:textId="77777777" w:rsidR="004A2885" w:rsidRDefault="004A2885" w:rsidP="004A2885">
            <w:pPr>
              <w:pStyle w:val="Header"/>
              <w:tabs>
                <w:tab w:val="left" w:pos="6300"/>
              </w:tabs>
              <w:spacing w:before="120"/>
              <w:rPr>
                <w:rFonts w:cs="Arial"/>
              </w:rPr>
            </w:pPr>
            <w:r>
              <w:rPr>
                <w:rFonts w:cs="Arial"/>
              </w:rPr>
              <w:t>Only the awarded contractor will be required to register with the Statewide Payee Desk (MA Section 4.12).</w:t>
            </w:r>
          </w:p>
          <w:p w14:paraId="24A760AD" w14:textId="45D1C034" w:rsidR="004A2885" w:rsidRDefault="004A2885" w:rsidP="004A2885">
            <w:pPr>
              <w:pStyle w:val="Header"/>
              <w:tabs>
                <w:tab w:val="left" w:pos="6300"/>
              </w:tabs>
              <w:spacing w:before="120"/>
              <w:rPr>
                <w:rFonts w:cs="Arial"/>
              </w:rPr>
            </w:pPr>
            <w:r>
              <w:rPr>
                <w:rFonts w:cs="Arial"/>
              </w:rPr>
              <w:t xml:space="preserve">Click </w:t>
            </w:r>
            <w:hyperlink r:id="rId13" w:history="1">
              <w:r w:rsidRPr="007A27C7">
                <w:rPr>
                  <w:rStyle w:val="Hyperlink"/>
                  <w:rFonts w:cs="Arial"/>
                </w:rPr>
                <w:t>here</w:t>
              </w:r>
            </w:hyperlink>
            <w:r>
              <w:rPr>
                <w:rFonts w:cs="Arial"/>
              </w:rPr>
              <w:t xml:space="preserve"> to register.</w:t>
            </w:r>
          </w:p>
          <w:p w14:paraId="2559D0E4" w14:textId="5E580137" w:rsidR="004A2885" w:rsidRDefault="004A2885" w:rsidP="004A2885">
            <w:pPr>
              <w:pStyle w:val="Header"/>
              <w:tabs>
                <w:tab w:val="left" w:pos="6300"/>
              </w:tabs>
              <w:spacing w:before="120"/>
              <w:rPr>
                <w:rFonts w:cs="Arial"/>
              </w:rPr>
            </w:pPr>
            <w:r>
              <w:rPr>
                <w:rFonts w:cs="Arial"/>
              </w:rPr>
              <w:t xml:space="preserve">Click </w:t>
            </w:r>
            <w:hyperlink r:id="rId14" w:history="1">
              <w:r w:rsidRPr="007A27C7">
                <w:rPr>
                  <w:rStyle w:val="Hyperlink"/>
                  <w:rFonts w:cs="Arial"/>
                </w:rPr>
                <w:t>here</w:t>
              </w:r>
            </w:hyperlink>
            <w:r>
              <w:rPr>
                <w:rFonts w:cs="Arial"/>
              </w:rPr>
              <w:t xml:space="preserve"> to see if you are registered.</w:t>
            </w:r>
          </w:p>
          <w:p w14:paraId="7D2B31D0" w14:textId="5BA382B7" w:rsidR="004A2885" w:rsidRDefault="004A2885" w:rsidP="004A2885">
            <w:pPr>
              <w:pStyle w:val="Header"/>
              <w:tabs>
                <w:tab w:val="left" w:pos="6300"/>
              </w:tabs>
              <w:spacing w:before="120"/>
              <w:rPr>
                <w:rFonts w:cs="Arial"/>
              </w:rPr>
            </w:pPr>
            <w:r>
              <w:rPr>
                <w:rFonts w:cs="Arial"/>
              </w:rPr>
              <w:t>If you are currently receiving payment from WA State Agencies, you are registered with the Statewide Payee Desk.</w:t>
            </w:r>
          </w:p>
        </w:tc>
        <w:tc>
          <w:tcPr>
            <w:tcW w:w="1001" w:type="pct"/>
            <w:shd w:val="clear" w:color="auto" w:fill="auto"/>
          </w:tcPr>
          <w:p w14:paraId="7D22F7DD" w14:textId="3150103B" w:rsidR="004A2885" w:rsidRDefault="004A2885" w:rsidP="004A2885">
            <w:pPr>
              <w:pStyle w:val="Header"/>
              <w:tabs>
                <w:tab w:val="left" w:pos="6300"/>
              </w:tabs>
              <w:spacing w:before="120"/>
            </w:pPr>
            <w:r>
              <w:t>No.</w:t>
            </w:r>
          </w:p>
        </w:tc>
      </w:tr>
      <w:tr w:rsidR="00AF7FCC" w:rsidRPr="00B319C7" w14:paraId="234B96A4" w14:textId="77777777" w:rsidTr="005A055A">
        <w:trPr>
          <w:cantSplit/>
          <w:trHeight w:val="692"/>
        </w:trPr>
        <w:tc>
          <w:tcPr>
            <w:tcW w:w="293" w:type="pct"/>
            <w:shd w:val="clear" w:color="auto" w:fill="auto"/>
          </w:tcPr>
          <w:p w14:paraId="7E59C2D7" w14:textId="325E3C6C" w:rsidR="00AF7FCC" w:rsidRDefault="00AF7FCC" w:rsidP="004A2885">
            <w:pPr>
              <w:pStyle w:val="Header"/>
              <w:tabs>
                <w:tab w:val="left" w:pos="6300"/>
              </w:tabs>
              <w:spacing w:before="120"/>
              <w:rPr>
                <w:rFonts w:cs="Arial"/>
              </w:rPr>
            </w:pPr>
            <w:r>
              <w:rPr>
                <w:rFonts w:cs="Arial"/>
              </w:rPr>
              <w:lastRenderedPageBreak/>
              <w:t>64</w:t>
            </w:r>
          </w:p>
        </w:tc>
        <w:tc>
          <w:tcPr>
            <w:tcW w:w="1877" w:type="pct"/>
            <w:shd w:val="clear" w:color="auto" w:fill="auto"/>
          </w:tcPr>
          <w:p w14:paraId="5494BD3F" w14:textId="50B136A2" w:rsidR="00AF7FCC" w:rsidRDefault="00AF7FCC" w:rsidP="004A2885">
            <w:pPr>
              <w:pStyle w:val="Header"/>
              <w:tabs>
                <w:tab w:val="left" w:pos="6300"/>
              </w:tabs>
              <w:spacing w:before="120"/>
            </w:pPr>
            <w:r>
              <w:t>Given that the in the RFP contractors are asked to describe what transactions are considered and classified as non-standard (Exhibit C1), how will points be awarded for both standard and non-standard incentives with different definitions?</w:t>
            </w:r>
            <w:r>
              <w:br/>
            </w:r>
          </w:p>
        </w:tc>
        <w:tc>
          <w:tcPr>
            <w:tcW w:w="1829" w:type="pct"/>
            <w:shd w:val="clear" w:color="auto" w:fill="auto"/>
          </w:tcPr>
          <w:p w14:paraId="692CFF90" w14:textId="0BDCA97A" w:rsidR="00AF7FCC" w:rsidRDefault="00620A6A" w:rsidP="004A2885">
            <w:pPr>
              <w:pStyle w:val="Header"/>
              <w:tabs>
                <w:tab w:val="left" w:pos="6300"/>
              </w:tabs>
              <w:spacing w:before="120"/>
              <w:rPr>
                <w:rFonts w:cs="Arial"/>
              </w:rPr>
            </w:pPr>
            <w:r>
              <w:rPr>
                <w:rFonts w:cs="Arial"/>
              </w:rPr>
              <w:t>See Response to Question #41</w:t>
            </w:r>
          </w:p>
        </w:tc>
        <w:tc>
          <w:tcPr>
            <w:tcW w:w="1001" w:type="pct"/>
            <w:shd w:val="clear" w:color="auto" w:fill="auto"/>
          </w:tcPr>
          <w:p w14:paraId="7E5523CE" w14:textId="57F0C17E" w:rsidR="00AF7FCC" w:rsidRDefault="005A055A" w:rsidP="004A2885">
            <w:pPr>
              <w:pStyle w:val="Header"/>
              <w:tabs>
                <w:tab w:val="left" w:pos="6300"/>
              </w:tabs>
              <w:spacing w:before="120"/>
            </w:pPr>
            <w:r>
              <w:t>No</w:t>
            </w:r>
          </w:p>
        </w:tc>
      </w:tr>
    </w:tbl>
    <w:p w14:paraId="52536438" w14:textId="603F2804" w:rsidR="004230EA" w:rsidRPr="00880A69" w:rsidRDefault="004230EA" w:rsidP="00CB4A31">
      <w:pPr>
        <w:rPr>
          <w:rFonts w:cs="Arial"/>
          <w:i/>
          <w:sz w:val="20"/>
          <w:szCs w:val="20"/>
        </w:rPr>
      </w:pPr>
    </w:p>
    <w:p w14:paraId="0206DA59" w14:textId="48865EC7" w:rsidR="00503665" w:rsidRPr="00EE1FA7" w:rsidRDefault="00503665" w:rsidP="00CB4A31">
      <w:pPr>
        <w:rPr>
          <w:rFonts w:cs="Arial"/>
        </w:rPr>
      </w:pPr>
      <w:r w:rsidRPr="00EE1FA7">
        <w:rPr>
          <w:rFonts w:cs="Arial"/>
        </w:rPr>
        <w:t>Questions or responses included in this document require changes to the solicitation document</w:t>
      </w:r>
      <w:r w:rsidR="00EE1FA7" w:rsidRPr="00EE1FA7">
        <w:rPr>
          <w:rFonts w:cs="Arial"/>
        </w:rPr>
        <w:t>s</w:t>
      </w:r>
      <w:r w:rsidRPr="00EE1FA7">
        <w:rPr>
          <w:rFonts w:cs="Arial"/>
        </w:rPr>
        <w:t>. The solicitation document has been updated and all changes are highlighted in yellow.</w:t>
      </w:r>
    </w:p>
    <w:p w14:paraId="5BF34207" w14:textId="77777777" w:rsidR="00503665" w:rsidRPr="00503665" w:rsidRDefault="00503665" w:rsidP="00CB4A31">
      <w:pPr>
        <w:rPr>
          <w:rFonts w:cs="Arial"/>
          <w:highlight w:val="yellow"/>
        </w:rPr>
      </w:pPr>
    </w:p>
    <w:p w14:paraId="23325A56" w14:textId="31CBA088" w:rsidR="00A826F7" w:rsidRDefault="00EB2665" w:rsidP="00CB4A31">
      <w:pPr>
        <w:rPr>
          <w:rFonts w:cs="Arial"/>
        </w:rPr>
      </w:pPr>
      <w:r>
        <w:rPr>
          <w:rFonts w:cs="Arial"/>
        </w:rPr>
        <w:object w:dxaOrig="1535" w:dyaOrig="1000" w14:anchorId="6BDA3E2C">
          <v:shape id="_x0000_i1026" type="#_x0000_t75" style="width:76.5pt;height:50.25pt" o:ole="">
            <v:imagedata r:id="rId15" o:title=""/>
          </v:shape>
          <o:OLEObject Type="Embed" ProgID="Package" ShapeID="_x0000_i1026" DrawAspect="Icon" ObjectID="_1622986037" r:id="rId16"/>
        </w:object>
      </w:r>
    </w:p>
    <w:p w14:paraId="44B59EFC" w14:textId="77777777" w:rsidR="00891083" w:rsidRDefault="00891083" w:rsidP="00CB4A31">
      <w:pPr>
        <w:rPr>
          <w:rFonts w:cs="Arial"/>
        </w:rPr>
      </w:pPr>
    </w:p>
    <w:p w14:paraId="20845222" w14:textId="5FE0DDF2" w:rsidR="00DF37C0" w:rsidRDefault="00880A69" w:rsidP="00CB4A31">
      <w:pPr>
        <w:rPr>
          <w:rFonts w:cs="Arial"/>
        </w:rPr>
      </w:pPr>
      <w:r>
        <w:rPr>
          <w:rFonts w:cs="Arial"/>
        </w:rPr>
        <w:t>A</w:t>
      </w:r>
      <w:r w:rsidR="00DF37C0">
        <w:rPr>
          <w:rFonts w:cs="Arial"/>
        </w:rPr>
        <w:t xml:space="preserve">ny additional questions regarding this solicitation must be </w:t>
      </w:r>
      <w:r w:rsidR="00CD2BEE">
        <w:rPr>
          <w:rFonts w:cs="Arial"/>
        </w:rPr>
        <w:t>directed to the Procurement Coordinator listed below.</w:t>
      </w:r>
    </w:p>
    <w:p w14:paraId="0F4FAD6F" w14:textId="77777777" w:rsidR="00CD2BEE" w:rsidRDefault="00CD2BEE" w:rsidP="00CB4A31">
      <w:pPr>
        <w:rPr>
          <w:rFonts w:cs="Arial"/>
        </w:rPr>
      </w:pPr>
    </w:p>
    <w:p w14:paraId="77F85861" w14:textId="77777777" w:rsidR="00880A69" w:rsidRDefault="001E6D28" w:rsidP="00CB4A31">
      <w:pPr>
        <w:rPr>
          <w:rFonts w:cs="Arial"/>
        </w:rPr>
      </w:pPr>
      <w:r>
        <w:rPr>
          <w:rFonts w:cs="Arial"/>
        </w:rPr>
        <w:t>Roni Field</w:t>
      </w:r>
    </w:p>
    <w:p w14:paraId="123F5FE9" w14:textId="77777777" w:rsidR="00880A69" w:rsidRDefault="001E6D28" w:rsidP="00CB4A31">
      <w:pPr>
        <w:rPr>
          <w:rFonts w:cs="Arial"/>
        </w:rPr>
      </w:pPr>
      <w:r>
        <w:rPr>
          <w:rFonts w:cs="Arial"/>
        </w:rPr>
        <w:t>360.407.7949</w:t>
      </w:r>
    </w:p>
    <w:p w14:paraId="51FEEE02" w14:textId="0B2092D5" w:rsidR="004230EA" w:rsidRPr="00956B86" w:rsidRDefault="001E6D28" w:rsidP="00CB4A31">
      <w:pPr>
        <w:rPr>
          <w:rFonts w:cs="Arial"/>
        </w:rPr>
      </w:pPr>
      <w:r>
        <w:rPr>
          <w:rFonts w:cs="Arial"/>
        </w:rPr>
        <w:t>veronica.field@des.wa.gov</w:t>
      </w:r>
    </w:p>
    <w:sectPr w:rsidR="004230EA" w:rsidRPr="00956B86" w:rsidSect="0001582E">
      <w:footerReference w:type="default" r:id="rId17"/>
      <w:headerReference w:type="first" r:id="rId18"/>
      <w:footerReference w:type="first" r:id="rId19"/>
      <w:pgSz w:w="12240" w:h="15840" w:code="1"/>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B0A44" w14:textId="77777777" w:rsidR="00F57C03" w:rsidRDefault="00F57C03" w:rsidP="0030407E">
      <w:r>
        <w:separator/>
      </w:r>
    </w:p>
  </w:endnote>
  <w:endnote w:type="continuationSeparator" w:id="0">
    <w:p w14:paraId="5D85C771" w14:textId="77777777" w:rsidR="00F57C03" w:rsidRDefault="00F57C03" w:rsidP="00304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461A9" w14:textId="77777777" w:rsidR="00F57C03" w:rsidRDefault="00F57C03" w:rsidP="00B67374">
    <w:pPr>
      <w:pStyle w:val="Footer"/>
      <w:jc w:val="right"/>
    </w:pPr>
  </w:p>
  <w:p w14:paraId="10F1BCDE" w14:textId="1A114B74" w:rsidR="00F57C03" w:rsidRPr="00EB2665" w:rsidRDefault="00F57C03" w:rsidP="00D97104">
    <w:pPr>
      <w:pStyle w:val="Footer"/>
      <w:jc w:val="right"/>
    </w:pPr>
    <w:r w:rsidRPr="00EB2665">
      <w:t xml:space="preserve">Solicitation No. 00719/00819 – Q&amp;A #3 and </w:t>
    </w:r>
    <w:r w:rsidR="00EB2665" w:rsidRPr="00EB2665">
      <w:t>Amd #2</w:t>
    </w:r>
    <w:r w:rsidRPr="00EB2665">
      <w:tab/>
    </w:r>
    <w:sdt>
      <w:sdtPr>
        <w:id w:val="913664534"/>
        <w:docPartObj>
          <w:docPartGallery w:val="Page Numbers (Top of Page)"/>
          <w:docPartUnique/>
        </w:docPartObj>
      </w:sdtPr>
      <w:sdtEndPr/>
      <w:sdtContent>
        <w:r w:rsidRPr="00EB2665">
          <w:t xml:space="preserve">Page </w:t>
        </w:r>
        <w:r w:rsidRPr="00EB2665">
          <w:rPr>
            <w:b/>
            <w:bCs/>
            <w:sz w:val="24"/>
            <w:szCs w:val="24"/>
          </w:rPr>
          <w:fldChar w:fldCharType="begin"/>
        </w:r>
        <w:r w:rsidRPr="00EB2665">
          <w:rPr>
            <w:b/>
            <w:bCs/>
          </w:rPr>
          <w:instrText xml:space="preserve"> PAGE </w:instrText>
        </w:r>
        <w:r w:rsidRPr="00EB2665">
          <w:rPr>
            <w:b/>
            <w:bCs/>
            <w:sz w:val="24"/>
            <w:szCs w:val="24"/>
          </w:rPr>
          <w:fldChar w:fldCharType="separate"/>
        </w:r>
        <w:r w:rsidR="00533225">
          <w:rPr>
            <w:b/>
            <w:bCs/>
            <w:noProof/>
          </w:rPr>
          <w:t>18</w:t>
        </w:r>
        <w:r w:rsidRPr="00EB2665">
          <w:rPr>
            <w:b/>
            <w:bCs/>
            <w:sz w:val="24"/>
            <w:szCs w:val="24"/>
          </w:rPr>
          <w:fldChar w:fldCharType="end"/>
        </w:r>
        <w:r w:rsidRPr="00EB2665">
          <w:t xml:space="preserve"> of </w:t>
        </w:r>
        <w:r w:rsidRPr="00EB2665">
          <w:rPr>
            <w:b/>
            <w:bCs/>
            <w:sz w:val="24"/>
            <w:szCs w:val="24"/>
          </w:rPr>
          <w:fldChar w:fldCharType="begin"/>
        </w:r>
        <w:r w:rsidRPr="00EB2665">
          <w:rPr>
            <w:b/>
            <w:bCs/>
          </w:rPr>
          <w:instrText xml:space="preserve"> NUMPAGES  </w:instrText>
        </w:r>
        <w:r w:rsidRPr="00EB2665">
          <w:rPr>
            <w:b/>
            <w:bCs/>
            <w:sz w:val="24"/>
            <w:szCs w:val="24"/>
          </w:rPr>
          <w:fldChar w:fldCharType="separate"/>
        </w:r>
        <w:r w:rsidR="00533225">
          <w:rPr>
            <w:b/>
            <w:bCs/>
            <w:noProof/>
          </w:rPr>
          <w:t>18</w:t>
        </w:r>
        <w:r w:rsidRPr="00EB2665">
          <w:rPr>
            <w:b/>
            <w:bCs/>
            <w:sz w:val="24"/>
            <w:szCs w:val="24"/>
          </w:rPr>
          <w:fldChar w:fldCharType="end"/>
        </w:r>
      </w:sdtContent>
    </w:sdt>
  </w:p>
  <w:p w14:paraId="6D8E7FCC" w14:textId="188EE9AF" w:rsidR="00F57C03" w:rsidRPr="00B67374" w:rsidRDefault="00F57C03" w:rsidP="00D97104">
    <w:pPr>
      <w:pStyle w:val="Footer"/>
    </w:pPr>
    <w:r w:rsidRPr="00EB2665">
      <w:t>(6-</w:t>
    </w:r>
    <w:r w:rsidR="00EB2665" w:rsidRPr="00EB2665">
      <w:t>25</w:t>
    </w:r>
    <w:r w:rsidRPr="00EB2665">
      <w:t>-2019)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F6C31" w14:textId="77777777" w:rsidR="00F57C03" w:rsidRDefault="00F57C03">
    <w:pPr>
      <w:pStyle w:val="Footer"/>
      <w:jc w:val="right"/>
    </w:pPr>
  </w:p>
  <w:p w14:paraId="50E65FA1" w14:textId="7A6AC598" w:rsidR="00F57C03" w:rsidRPr="00EB2665" w:rsidRDefault="00F57C03" w:rsidP="00AE2969">
    <w:pPr>
      <w:pStyle w:val="Footer"/>
      <w:jc w:val="right"/>
    </w:pPr>
    <w:r w:rsidRPr="00EB2665">
      <w:t xml:space="preserve">Solicitation No. 00719/00819 – Q&amp;A #3 </w:t>
    </w:r>
    <w:r w:rsidR="00EB2665" w:rsidRPr="00EB2665">
      <w:t>and Amd #2</w:t>
    </w:r>
    <w:r w:rsidRPr="00EB2665">
      <w:tab/>
    </w:r>
    <w:sdt>
      <w:sdtPr>
        <w:id w:val="-1769616900"/>
        <w:docPartObj>
          <w:docPartGallery w:val="Page Numbers (Top of Page)"/>
          <w:docPartUnique/>
        </w:docPartObj>
      </w:sdtPr>
      <w:sdtEndPr/>
      <w:sdtContent>
        <w:r w:rsidRPr="00EB2665">
          <w:t xml:space="preserve">Page </w:t>
        </w:r>
        <w:r w:rsidRPr="00EB2665">
          <w:rPr>
            <w:b/>
            <w:bCs/>
            <w:sz w:val="24"/>
            <w:szCs w:val="24"/>
          </w:rPr>
          <w:fldChar w:fldCharType="begin"/>
        </w:r>
        <w:r w:rsidRPr="00EB2665">
          <w:rPr>
            <w:b/>
            <w:bCs/>
          </w:rPr>
          <w:instrText xml:space="preserve"> PAGE </w:instrText>
        </w:r>
        <w:r w:rsidRPr="00EB2665">
          <w:rPr>
            <w:b/>
            <w:bCs/>
            <w:sz w:val="24"/>
            <w:szCs w:val="24"/>
          </w:rPr>
          <w:fldChar w:fldCharType="separate"/>
        </w:r>
        <w:r w:rsidR="00533225">
          <w:rPr>
            <w:b/>
            <w:bCs/>
            <w:noProof/>
          </w:rPr>
          <w:t>1</w:t>
        </w:r>
        <w:r w:rsidRPr="00EB2665">
          <w:rPr>
            <w:b/>
            <w:bCs/>
            <w:sz w:val="24"/>
            <w:szCs w:val="24"/>
          </w:rPr>
          <w:fldChar w:fldCharType="end"/>
        </w:r>
        <w:r w:rsidRPr="00EB2665">
          <w:t xml:space="preserve"> of </w:t>
        </w:r>
        <w:r w:rsidRPr="00EB2665">
          <w:rPr>
            <w:b/>
            <w:bCs/>
            <w:sz w:val="24"/>
            <w:szCs w:val="24"/>
          </w:rPr>
          <w:fldChar w:fldCharType="begin"/>
        </w:r>
        <w:r w:rsidRPr="00EB2665">
          <w:rPr>
            <w:b/>
            <w:bCs/>
          </w:rPr>
          <w:instrText xml:space="preserve"> NUMPAGES  </w:instrText>
        </w:r>
        <w:r w:rsidRPr="00EB2665">
          <w:rPr>
            <w:b/>
            <w:bCs/>
            <w:sz w:val="24"/>
            <w:szCs w:val="24"/>
          </w:rPr>
          <w:fldChar w:fldCharType="separate"/>
        </w:r>
        <w:r w:rsidR="00533225">
          <w:rPr>
            <w:b/>
            <w:bCs/>
            <w:noProof/>
          </w:rPr>
          <w:t>18</w:t>
        </w:r>
        <w:r w:rsidRPr="00EB2665">
          <w:rPr>
            <w:b/>
            <w:bCs/>
            <w:sz w:val="24"/>
            <w:szCs w:val="24"/>
          </w:rPr>
          <w:fldChar w:fldCharType="end"/>
        </w:r>
      </w:sdtContent>
    </w:sdt>
  </w:p>
  <w:p w14:paraId="6D9F5D15" w14:textId="78CD9A75" w:rsidR="00F57C03" w:rsidRDefault="00F57C03" w:rsidP="00AE2969">
    <w:pPr>
      <w:pStyle w:val="Footer"/>
    </w:pPr>
    <w:r w:rsidRPr="00EB2665">
      <w:t>(6-</w:t>
    </w:r>
    <w:r w:rsidR="00EB2665" w:rsidRPr="00EB2665">
      <w:t>25</w:t>
    </w:r>
    <w:r w:rsidRPr="00EB2665">
      <w:t>-2019)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37BA9" w14:textId="77777777" w:rsidR="00F57C03" w:rsidRDefault="00F57C03" w:rsidP="0030407E">
      <w:r>
        <w:separator/>
      </w:r>
    </w:p>
  </w:footnote>
  <w:footnote w:type="continuationSeparator" w:id="0">
    <w:p w14:paraId="41FBE633" w14:textId="77777777" w:rsidR="00F57C03" w:rsidRDefault="00F57C03" w:rsidP="00304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A8A81" w14:textId="77777777" w:rsidR="00F57C03" w:rsidRDefault="00F57C03" w:rsidP="0030407E">
    <w:pPr>
      <w:pStyle w:val="Header"/>
    </w:pPr>
    <w:r>
      <w:rPr>
        <w:noProof/>
        <w:lang w:bidi="ar-SA"/>
      </w:rPr>
      <w:drawing>
        <wp:inline distT="0" distB="0" distL="0" distR="0" wp14:anchorId="7289EFBF" wp14:editId="1F2BF2AC">
          <wp:extent cx="2257425" cy="380160"/>
          <wp:effectExtent l="0" t="0" r="0" b="1270"/>
          <wp:docPr id="12" name="Picture 2" descr="DES Logo" title="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reen.png"/>
                  <pic:cNvPicPr/>
                </pic:nvPicPr>
                <pic:blipFill>
                  <a:blip r:embed="rId1"/>
                  <a:stretch>
                    <a:fillRect/>
                  </a:stretch>
                </pic:blipFill>
                <pic:spPr>
                  <a:xfrm>
                    <a:off x="0" y="0"/>
                    <a:ext cx="2267925" cy="3819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D4148"/>
    <w:multiLevelType w:val="hybridMultilevel"/>
    <w:tmpl w:val="C75CA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C7B2B"/>
    <w:multiLevelType w:val="hybridMultilevel"/>
    <w:tmpl w:val="5E066BFE"/>
    <w:lvl w:ilvl="0" w:tplc="DDC445A6">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74E2F8F"/>
    <w:multiLevelType w:val="hybridMultilevel"/>
    <w:tmpl w:val="784A2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03438"/>
    <w:multiLevelType w:val="multilevel"/>
    <w:tmpl w:val="1A908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503CAA"/>
    <w:multiLevelType w:val="hybridMultilevel"/>
    <w:tmpl w:val="361ADA16"/>
    <w:lvl w:ilvl="0" w:tplc="701C4F22">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CE0131"/>
    <w:multiLevelType w:val="hybridMultilevel"/>
    <w:tmpl w:val="55FE8506"/>
    <w:lvl w:ilvl="0" w:tplc="767AC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1B3D20"/>
    <w:multiLevelType w:val="hybridMultilevel"/>
    <w:tmpl w:val="5DCA6D54"/>
    <w:lvl w:ilvl="0" w:tplc="C2BC5A2E">
      <w:start w:val="1"/>
      <w:numFmt w:val="bullet"/>
      <w:lvlText w:val=""/>
      <w:lvlJc w:val="left"/>
      <w:pPr>
        <w:ind w:left="720" w:hanging="360"/>
      </w:pPr>
      <w:rPr>
        <w:rFonts w:ascii="Wingdings" w:hAnsi="Wingdings" w:hint="default"/>
        <w:color w:val="auto"/>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95402"/>
    <w:multiLevelType w:val="multilevel"/>
    <w:tmpl w:val="4636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BC0C5C"/>
    <w:multiLevelType w:val="hybridMultilevel"/>
    <w:tmpl w:val="581CC5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FD41AA1"/>
    <w:multiLevelType w:val="hybridMultilevel"/>
    <w:tmpl w:val="7AD6C1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E40B50"/>
    <w:multiLevelType w:val="hybridMultilevel"/>
    <w:tmpl w:val="D2EC48D0"/>
    <w:lvl w:ilvl="0" w:tplc="1D4068D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EE7F29"/>
    <w:multiLevelType w:val="hybridMultilevel"/>
    <w:tmpl w:val="0CB49D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137D38"/>
    <w:multiLevelType w:val="hybridMultilevel"/>
    <w:tmpl w:val="C0CE4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BA489D"/>
    <w:multiLevelType w:val="hybridMultilevel"/>
    <w:tmpl w:val="8618B5A4"/>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076BD5"/>
    <w:multiLevelType w:val="hybridMultilevel"/>
    <w:tmpl w:val="547C7E6A"/>
    <w:lvl w:ilvl="0" w:tplc="D6AC34A2">
      <w:start w:val="1"/>
      <w:numFmt w:val="decimal"/>
      <w:pStyle w:val="USBQuestio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F10720"/>
    <w:multiLevelType w:val="hybridMultilevel"/>
    <w:tmpl w:val="2130985E"/>
    <w:lvl w:ilvl="0" w:tplc="46E887AA">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E71143"/>
    <w:multiLevelType w:val="hybridMultilevel"/>
    <w:tmpl w:val="CF5A4A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6C406B0"/>
    <w:multiLevelType w:val="hybridMultilevel"/>
    <w:tmpl w:val="27960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834BF2"/>
    <w:multiLevelType w:val="multilevel"/>
    <w:tmpl w:val="7EE20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4B2C31"/>
    <w:multiLevelType w:val="hybridMultilevel"/>
    <w:tmpl w:val="3B92C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7A4927"/>
    <w:multiLevelType w:val="hybridMultilevel"/>
    <w:tmpl w:val="3C341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523F5E"/>
    <w:multiLevelType w:val="hybridMultilevel"/>
    <w:tmpl w:val="833054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9D1CFC"/>
    <w:multiLevelType w:val="hybridMultilevel"/>
    <w:tmpl w:val="5D6A3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33295"/>
    <w:multiLevelType w:val="hybridMultilevel"/>
    <w:tmpl w:val="53EAA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324D7A"/>
    <w:multiLevelType w:val="hybridMultilevel"/>
    <w:tmpl w:val="0F7EA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B4217A"/>
    <w:multiLevelType w:val="hybridMultilevel"/>
    <w:tmpl w:val="0AE2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077158"/>
    <w:multiLevelType w:val="hybridMultilevel"/>
    <w:tmpl w:val="3F38B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562BB7"/>
    <w:multiLevelType w:val="multilevel"/>
    <w:tmpl w:val="6C6CD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0D0134"/>
    <w:multiLevelType w:val="hybridMultilevel"/>
    <w:tmpl w:val="94B8D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5A0CB6"/>
    <w:multiLevelType w:val="hybridMultilevel"/>
    <w:tmpl w:val="36C47B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155039"/>
    <w:multiLevelType w:val="hybridMultilevel"/>
    <w:tmpl w:val="D39A6B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091E33"/>
    <w:multiLevelType w:val="hybridMultilevel"/>
    <w:tmpl w:val="5E68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27"/>
  </w:num>
  <w:num w:numId="4">
    <w:abstractNumId w:val="3"/>
  </w:num>
  <w:num w:numId="5">
    <w:abstractNumId w:val="0"/>
  </w:num>
  <w:num w:numId="6">
    <w:abstractNumId w:val="8"/>
  </w:num>
  <w:num w:numId="7">
    <w:abstractNumId w:val="26"/>
  </w:num>
  <w:num w:numId="8">
    <w:abstractNumId w:val="5"/>
  </w:num>
  <w:num w:numId="9">
    <w:abstractNumId w:val="12"/>
  </w:num>
  <w:num w:numId="10">
    <w:abstractNumId w:val="17"/>
  </w:num>
  <w:num w:numId="11">
    <w:abstractNumId w:val="23"/>
  </w:num>
  <w:num w:numId="12">
    <w:abstractNumId w:val="2"/>
  </w:num>
  <w:num w:numId="13">
    <w:abstractNumId w:val="30"/>
  </w:num>
  <w:num w:numId="14">
    <w:abstractNumId w:val="16"/>
  </w:num>
  <w:num w:numId="15">
    <w:abstractNumId w:val="13"/>
  </w:num>
  <w:num w:numId="16">
    <w:abstractNumId w:val="11"/>
  </w:num>
  <w:num w:numId="17">
    <w:abstractNumId w:val="22"/>
  </w:num>
  <w:num w:numId="18">
    <w:abstractNumId w:val="1"/>
  </w:num>
  <w:num w:numId="19">
    <w:abstractNumId w:val="10"/>
  </w:num>
  <w:num w:numId="20">
    <w:abstractNumId w:val="29"/>
  </w:num>
  <w:num w:numId="21">
    <w:abstractNumId w:val="6"/>
  </w:num>
  <w:num w:numId="22">
    <w:abstractNumId w:val="9"/>
  </w:num>
  <w:num w:numId="23">
    <w:abstractNumId w:val="4"/>
  </w:num>
  <w:num w:numId="24">
    <w:abstractNumId w:val="14"/>
  </w:num>
  <w:num w:numId="25">
    <w:abstractNumId w:val="14"/>
    <w:lvlOverride w:ilvl="0">
      <w:startOverride w:val="1"/>
    </w:lvlOverride>
  </w:num>
  <w:num w:numId="26">
    <w:abstractNumId w:val="19"/>
  </w:num>
  <w:num w:numId="27">
    <w:abstractNumId w:val="25"/>
  </w:num>
  <w:num w:numId="28">
    <w:abstractNumId w:val="21"/>
  </w:num>
  <w:num w:numId="29">
    <w:abstractNumId w:val="15"/>
  </w:num>
  <w:num w:numId="30">
    <w:abstractNumId w:val="31"/>
  </w:num>
  <w:num w:numId="31">
    <w:abstractNumId w:val="28"/>
  </w:num>
  <w:num w:numId="32">
    <w:abstractNumId w:val="24"/>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55297">
      <o:colormru v:ext="edit" colors="#f99d3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1E5"/>
    <w:rsid w:val="00004353"/>
    <w:rsid w:val="00011DB7"/>
    <w:rsid w:val="00013566"/>
    <w:rsid w:val="0001582E"/>
    <w:rsid w:val="00042FBC"/>
    <w:rsid w:val="00045550"/>
    <w:rsid w:val="00046FC8"/>
    <w:rsid w:val="000532DB"/>
    <w:rsid w:val="000611DC"/>
    <w:rsid w:val="00061EA0"/>
    <w:rsid w:val="000678E6"/>
    <w:rsid w:val="000705CF"/>
    <w:rsid w:val="00074E24"/>
    <w:rsid w:val="00081065"/>
    <w:rsid w:val="000921D0"/>
    <w:rsid w:val="000B1CCD"/>
    <w:rsid w:val="000B5B3E"/>
    <w:rsid w:val="000C4A17"/>
    <w:rsid w:val="000C4BE1"/>
    <w:rsid w:val="000E25E5"/>
    <w:rsid w:val="000E4E7B"/>
    <w:rsid w:val="000F53C5"/>
    <w:rsid w:val="00134397"/>
    <w:rsid w:val="00147436"/>
    <w:rsid w:val="001477A8"/>
    <w:rsid w:val="00161B5A"/>
    <w:rsid w:val="00165F84"/>
    <w:rsid w:val="00180D9D"/>
    <w:rsid w:val="0019122C"/>
    <w:rsid w:val="001924C4"/>
    <w:rsid w:val="001A310A"/>
    <w:rsid w:val="001B4373"/>
    <w:rsid w:val="001C166B"/>
    <w:rsid w:val="001E031F"/>
    <w:rsid w:val="001E6D28"/>
    <w:rsid w:val="00201889"/>
    <w:rsid w:val="00205398"/>
    <w:rsid w:val="0021176E"/>
    <w:rsid w:val="00233EAC"/>
    <w:rsid w:val="00243413"/>
    <w:rsid w:val="00246118"/>
    <w:rsid w:val="0025692A"/>
    <w:rsid w:val="002577A1"/>
    <w:rsid w:val="002729E5"/>
    <w:rsid w:val="00273ABD"/>
    <w:rsid w:val="002747B3"/>
    <w:rsid w:val="002B0E56"/>
    <w:rsid w:val="002B64A2"/>
    <w:rsid w:val="002C5B4E"/>
    <w:rsid w:val="0030247C"/>
    <w:rsid w:val="0030407E"/>
    <w:rsid w:val="003043D7"/>
    <w:rsid w:val="003063C5"/>
    <w:rsid w:val="00307905"/>
    <w:rsid w:val="003142C2"/>
    <w:rsid w:val="0031485E"/>
    <w:rsid w:val="00320B4D"/>
    <w:rsid w:val="00332798"/>
    <w:rsid w:val="00334AD7"/>
    <w:rsid w:val="0033684F"/>
    <w:rsid w:val="003635FE"/>
    <w:rsid w:val="00367C4A"/>
    <w:rsid w:val="00372B68"/>
    <w:rsid w:val="00393AC3"/>
    <w:rsid w:val="003A3EFC"/>
    <w:rsid w:val="003D0516"/>
    <w:rsid w:val="003D3D30"/>
    <w:rsid w:val="003D7E6B"/>
    <w:rsid w:val="003E00EC"/>
    <w:rsid w:val="003F4B02"/>
    <w:rsid w:val="0040066B"/>
    <w:rsid w:val="00400BA4"/>
    <w:rsid w:val="004230EA"/>
    <w:rsid w:val="0042316C"/>
    <w:rsid w:val="00426948"/>
    <w:rsid w:val="00426AA8"/>
    <w:rsid w:val="00432CAA"/>
    <w:rsid w:val="00433C09"/>
    <w:rsid w:val="00447A8B"/>
    <w:rsid w:val="0046489B"/>
    <w:rsid w:val="00466A41"/>
    <w:rsid w:val="00473DF6"/>
    <w:rsid w:val="00477D53"/>
    <w:rsid w:val="0048059B"/>
    <w:rsid w:val="00484CDA"/>
    <w:rsid w:val="004860F2"/>
    <w:rsid w:val="00492823"/>
    <w:rsid w:val="004A15CF"/>
    <w:rsid w:val="004A21DA"/>
    <w:rsid w:val="004A2885"/>
    <w:rsid w:val="004B07C3"/>
    <w:rsid w:val="004B6416"/>
    <w:rsid w:val="004D319E"/>
    <w:rsid w:val="004E5D15"/>
    <w:rsid w:val="004F1118"/>
    <w:rsid w:val="00500499"/>
    <w:rsid w:val="005004B2"/>
    <w:rsid w:val="00503665"/>
    <w:rsid w:val="005076FF"/>
    <w:rsid w:val="00517E0A"/>
    <w:rsid w:val="00532688"/>
    <w:rsid w:val="00532D62"/>
    <w:rsid w:val="00533225"/>
    <w:rsid w:val="00540487"/>
    <w:rsid w:val="00562C76"/>
    <w:rsid w:val="00567FE0"/>
    <w:rsid w:val="00573AF9"/>
    <w:rsid w:val="005908A0"/>
    <w:rsid w:val="005A055A"/>
    <w:rsid w:val="005A060E"/>
    <w:rsid w:val="005A4089"/>
    <w:rsid w:val="005C72B0"/>
    <w:rsid w:val="005D11BC"/>
    <w:rsid w:val="005D76C3"/>
    <w:rsid w:val="005E6784"/>
    <w:rsid w:val="005F5B07"/>
    <w:rsid w:val="006033DA"/>
    <w:rsid w:val="00620A6A"/>
    <w:rsid w:val="00620B02"/>
    <w:rsid w:val="00621C9D"/>
    <w:rsid w:val="006531C3"/>
    <w:rsid w:val="00670631"/>
    <w:rsid w:val="00670D5A"/>
    <w:rsid w:val="00671BDC"/>
    <w:rsid w:val="00673D38"/>
    <w:rsid w:val="0069044E"/>
    <w:rsid w:val="0069194D"/>
    <w:rsid w:val="006920EB"/>
    <w:rsid w:val="00694012"/>
    <w:rsid w:val="0069682B"/>
    <w:rsid w:val="006A7F19"/>
    <w:rsid w:val="006B712B"/>
    <w:rsid w:val="006E5559"/>
    <w:rsid w:val="00727E26"/>
    <w:rsid w:val="00730450"/>
    <w:rsid w:val="00736818"/>
    <w:rsid w:val="0074393D"/>
    <w:rsid w:val="0074484A"/>
    <w:rsid w:val="007469A1"/>
    <w:rsid w:val="007518BD"/>
    <w:rsid w:val="00753414"/>
    <w:rsid w:val="007747CD"/>
    <w:rsid w:val="00775FC9"/>
    <w:rsid w:val="007819A4"/>
    <w:rsid w:val="00782D8F"/>
    <w:rsid w:val="007842A5"/>
    <w:rsid w:val="00784F9B"/>
    <w:rsid w:val="007A27C7"/>
    <w:rsid w:val="007A3546"/>
    <w:rsid w:val="007D233A"/>
    <w:rsid w:val="007E24BE"/>
    <w:rsid w:val="00800045"/>
    <w:rsid w:val="0080695F"/>
    <w:rsid w:val="00811701"/>
    <w:rsid w:val="0084259F"/>
    <w:rsid w:val="008448FF"/>
    <w:rsid w:val="008455F0"/>
    <w:rsid w:val="00876DBD"/>
    <w:rsid w:val="00880A69"/>
    <w:rsid w:val="0088589C"/>
    <w:rsid w:val="00891083"/>
    <w:rsid w:val="008B0469"/>
    <w:rsid w:val="008B100D"/>
    <w:rsid w:val="008D5BC3"/>
    <w:rsid w:val="008E4DF6"/>
    <w:rsid w:val="008E70AB"/>
    <w:rsid w:val="008F3951"/>
    <w:rsid w:val="008F4C94"/>
    <w:rsid w:val="00906C3F"/>
    <w:rsid w:val="0091313F"/>
    <w:rsid w:val="00920212"/>
    <w:rsid w:val="009302EC"/>
    <w:rsid w:val="00937423"/>
    <w:rsid w:val="009454A4"/>
    <w:rsid w:val="00956B86"/>
    <w:rsid w:val="00976F66"/>
    <w:rsid w:val="009810E7"/>
    <w:rsid w:val="00983601"/>
    <w:rsid w:val="00987347"/>
    <w:rsid w:val="0099033B"/>
    <w:rsid w:val="009A0E3E"/>
    <w:rsid w:val="009A1632"/>
    <w:rsid w:val="009B77B0"/>
    <w:rsid w:val="009D13A1"/>
    <w:rsid w:val="009F45B0"/>
    <w:rsid w:val="00A03602"/>
    <w:rsid w:val="00A047EF"/>
    <w:rsid w:val="00A0747E"/>
    <w:rsid w:val="00A30C19"/>
    <w:rsid w:val="00A35E22"/>
    <w:rsid w:val="00A374B0"/>
    <w:rsid w:val="00A56867"/>
    <w:rsid w:val="00A826F7"/>
    <w:rsid w:val="00A86598"/>
    <w:rsid w:val="00A946F1"/>
    <w:rsid w:val="00A96486"/>
    <w:rsid w:val="00AB177B"/>
    <w:rsid w:val="00AC22B7"/>
    <w:rsid w:val="00AE2969"/>
    <w:rsid w:val="00AE4EC0"/>
    <w:rsid w:val="00AF0513"/>
    <w:rsid w:val="00AF7FCC"/>
    <w:rsid w:val="00B00543"/>
    <w:rsid w:val="00B116EF"/>
    <w:rsid w:val="00B1215F"/>
    <w:rsid w:val="00B12D3E"/>
    <w:rsid w:val="00B23E37"/>
    <w:rsid w:val="00B30D69"/>
    <w:rsid w:val="00B4620E"/>
    <w:rsid w:val="00B56675"/>
    <w:rsid w:val="00B6639F"/>
    <w:rsid w:val="00B67374"/>
    <w:rsid w:val="00BA0D17"/>
    <w:rsid w:val="00BB0C1C"/>
    <w:rsid w:val="00BC31FC"/>
    <w:rsid w:val="00BC7FF6"/>
    <w:rsid w:val="00BE61E5"/>
    <w:rsid w:val="00BE7EDD"/>
    <w:rsid w:val="00C025FF"/>
    <w:rsid w:val="00C1453C"/>
    <w:rsid w:val="00C16089"/>
    <w:rsid w:val="00C30A29"/>
    <w:rsid w:val="00C85887"/>
    <w:rsid w:val="00C94C47"/>
    <w:rsid w:val="00CA26DB"/>
    <w:rsid w:val="00CB4A31"/>
    <w:rsid w:val="00CD2BEE"/>
    <w:rsid w:val="00CD7C2C"/>
    <w:rsid w:val="00CE52AE"/>
    <w:rsid w:val="00CE6CCD"/>
    <w:rsid w:val="00CF7FAB"/>
    <w:rsid w:val="00D03BC3"/>
    <w:rsid w:val="00D4498B"/>
    <w:rsid w:val="00D524FC"/>
    <w:rsid w:val="00D54E30"/>
    <w:rsid w:val="00D557D8"/>
    <w:rsid w:val="00D64C22"/>
    <w:rsid w:val="00D90676"/>
    <w:rsid w:val="00D97104"/>
    <w:rsid w:val="00DB3519"/>
    <w:rsid w:val="00DD3666"/>
    <w:rsid w:val="00DE0ACE"/>
    <w:rsid w:val="00DE7EBB"/>
    <w:rsid w:val="00DF37C0"/>
    <w:rsid w:val="00E12B2B"/>
    <w:rsid w:val="00E25086"/>
    <w:rsid w:val="00E337DE"/>
    <w:rsid w:val="00E34920"/>
    <w:rsid w:val="00E548B1"/>
    <w:rsid w:val="00E7207D"/>
    <w:rsid w:val="00E92664"/>
    <w:rsid w:val="00E9758A"/>
    <w:rsid w:val="00EB02B1"/>
    <w:rsid w:val="00EB2665"/>
    <w:rsid w:val="00EC7141"/>
    <w:rsid w:val="00EE1FA7"/>
    <w:rsid w:val="00EE20C7"/>
    <w:rsid w:val="00EE3676"/>
    <w:rsid w:val="00EE5835"/>
    <w:rsid w:val="00F03B8F"/>
    <w:rsid w:val="00F20C1A"/>
    <w:rsid w:val="00F21663"/>
    <w:rsid w:val="00F30BA5"/>
    <w:rsid w:val="00F57C03"/>
    <w:rsid w:val="00F62B5A"/>
    <w:rsid w:val="00F63FB6"/>
    <w:rsid w:val="00F73CAE"/>
    <w:rsid w:val="00F77E04"/>
    <w:rsid w:val="00F90DE2"/>
    <w:rsid w:val="00F93483"/>
    <w:rsid w:val="00FA0DDB"/>
    <w:rsid w:val="00FA315B"/>
    <w:rsid w:val="00FA3E81"/>
    <w:rsid w:val="00FA3FDD"/>
    <w:rsid w:val="00FB0070"/>
    <w:rsid w:val="00FB620C"/>
    <w:rsid w:val="00FC41CC"/>
    <w:rsid w:val="00FD69FF"/>
    <w:rsid w:val="00FE3910"/>
    <w:rsid w:val="00FF0442"/>
    <w:rsid w:val="00FF5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colormru v:ext="edit" colors="#f99d31"/>
    </o:shapedefaults>
    <o:shapelayout v:ext="edit">
      <o:idmap v:ext="edit" data="1"/>
    </o:shapelayout>
  </w:shapeDefaults>
  <w:decimalSymbol w:val="."/>
  <w:listSeparator w:val=","/>
  <w14:docId w14:val="6F741F97"/>
  <w15:docId w15:val="{2694D37B-01D2-4C42-B87E-BCFCA84E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ES-para-text"/>
    <w:qFormat/>
    <w:rsid w:val="00D64C22"/>
    <w:pPr>
      <w:spacing w:after="0" w:line="240" w:lineRule="auto"/>
    </w:pPr>
    <w:rPr>
      <w:rFonts w:ascii="Arial" w:hAnsi="Arial"/>
    </w:rPr>
  </w:style>
  <w:style w:type="paragraph" w:styleId="Heading1">
    <w:name w:val="heading 1"/>
    <w:aliases w:val="DES-Heading 1"/>
    <w:basedOn w:val="DOPStandard-Header"/>
    <w:next w:val="Normal"/>
    <w:link w:val="Heading1Char"/>
    <w:autoRedefine/>
    <w:uiPriority w:val="9"/>
    <w:qFormat/>
    <w:rsid w:val="00161B5A"/>
    <w:pPr>
      <w:spacing w:after="240" w:line="360" w:lineRule="exact"/>
      <w:jc w:val="left"/>
      <w:outlineLvl w:val="0"/>
    </w:pPr>
    <w:rPr>
      <w:rFonts w:asciiTheme="majorHAnsi" w:hAnsiTheme="majorHAnsi" w:cstheme="majorHAnsi"/>
      <w:b/>
      <w:spacing w:val="0"/>
      <w:sz w:val="28"/>
      <w:szCs w:val="28"/>
    </w:rPr>
  </w:style>
  <w:style w:type="paragraph" w:styleId="Heading2">
    <w:name w:val="heading 2"/>
    <w:aliases w:val="DES-Heading 2"/>
    <w:basedOn w:val="Heading1"/>
    <w:next w:val="Normal"/>
    <w:link w:val="Heading2Char"/>
    <w:autoRedefine/>
    <w:uiPriority w:val="9"/>
    <w:unhideWhenUsed/>
    <w:qFormat/>
    <w:rsid w:val="00D64C22"/>
    <w:pPr>
      <w:spacing w:line="320" w:lineRule="exact"/>
      <w:outlineLvl w:val="1"/>
    </w:pPr>
    <w:rPr>
      <w:rFonts w:ascii="Arial" w:hAnsi="Arial"/>
      <w:b w:val="0"/>
    </w:rPr>
  </w:style>
  <w:style w:type="paragraph" w:styleId="Heading3">
    <w:name w:val="heading 3"/>
    <w:aliases w:val="DES-Heading 3"/>
    <w:basedOn w:val="Heading2"/>
    <w:next w:val="Normal"/>
    <w:link w:val="Heading3Char"/>
    <w:uiPriority w:val="9"/>
    <w:unhideWhenUsed/>
    <w:qFormat/>
    <w:rsid w:val="003D7E6B"/>
    <w:pPr>
      <w:outlineLvl w:val="2"/>
    </w:pPr>
    <w:rPr>
      <w:sz w:val="22"/>
      <w:szCs w:val="22"/>
    </w:rPr>
  </w:style>
  <w:style w:type="paragraph" w:styleId="Heading4">
    <w:name w:val="heading 4"/>
    <w:basedOn w:val="Normal"/>
    <w:next w:val="Normal"/>
    <w:link w:val="Heading4Char"/>
    <w:uiPriority w:val="9"/>
    <w:semiHidden/>
    <w:unhideWhenUsed/>
    <w:qFormat/>
    <w:rsid w:val="0030407E"/>
    <w:pPr>
      <w:spacing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30407E"/>
    <w:pPr>
      <w:spacing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30407E"/>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30407E"/>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30407E"/>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30407E"/>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E61E5"/>
    <w:pPr>
      <w:tabs>
        <w:tab w:val="center" w:pos="4680"/>
        <w:tab w:val="right" w:pos="9360"/>
      </w:tabs>
    </w:pPr>
  </w:style>
  <w:style w:type="character" w:customStyle="1" w:styleId="HeaderChar">
    <w:name w:val="Header Char"/>
    <w:basedOn w:val="DefaultParagraphFont"/>
    <w:link w:val="Header"/>
    <w:rsid w:val="00BE61E5"/>
  </w:style>
  <w:style w:type="paragraph" w:styleId="Footer">
    <w:name w:val="footer"/>
    <w:basedOn w:val="Normal"/>
    <w:link w:val="FooterChar"/>
    <w:uiPriority w:val="99"/>
    <w:unhideWhenUsed/>
    <w:rsid w:val="00BE61E5"/>
    <w:pPr>
      <w:tabs>
        <w:tab w:val="center" w:pos="4680"/>
        <w:tab w:val="right" w:pos="9360"/>
      </w:tabs>
    </w:pPr>
  </w:style>
  <w:style w:type="character" w:customStyle="1" w:styleId="FooterChar">
    <w:name w:val="Footer Char"/>
    <w:basedOn w:val="DefaultParagraphFont"/>
    <w:link w:val="Footer"/>
    <w:uiPriority w:val="99"/>
    <w:rsid w:val="00BE61E5"/>
  </w:style>
  <w:style w:type="paragraph" w:styleId="BalloonText">
    <w:name w:val="Balloon Text"/>
    <w:basedOn w:val="Normal"/>
    <w:link w:val="BalloonTextChar"/>
    <w:uiPriority w:val="99"/>
    <w:semiHidden/>
    <w:unhideWhenUsed/>
    <w:rsid w:val="00013566"/>
    <w:rPr>
      <w:rFonts w:ascii="Tahoma" w:hAnsi="Tahoma" w:cs="Tahoma"/>
      <w:sz w:val="16"/>
      <w:szCs w:val="16"/>
    </w:rPr>
  </w:style>
  <w:style w:type="character" w:customStyle="1" w:styleId="BalloonTextChar">
    <w:name w:val="Balloon Text Char"/>
    <w:basedOn w:val="DefaultParagraphFont"/>
    <w:link w:val="BalloonText"/>
    <w:uiPriority w:val="99"/>
    <w:semiHidden/>
    <w:rsid w:val="00013566"/>
    <w:rPr>
      <w:rFonts w:ascii="Tahoma" w:hAnsi="Tahoma" w:cs="Tahoma"/>
      <w:sz w:val="16"/>
      <w:szCs w:val="16"/>
    </w:rPr>
  </w:style>
  <w:style w:type="character" w:customStyle="1" w:styleId="Heading1Char">
    <w:name w:val="Heading 1 Char"/>
    <w:aliases w:val="DES-Heading 1 Char"/>
    <w:basedOn w:val="DefaultParagraphFont"/>
    <w:link w:val="Heading1"/>
    <w:uiPriority w:val="9"/>
    <w:rsid w:val="00161B5A"/>
    <w:rPr>
      <w:rFonts w:eastAsia="Times New Roman" w:cstheme="majorHAnsi"/>
      <w:b/>
      <w:color w:val="000000"/>
      <w:kern w:val="32"/>
      <w:sz w:val="28"/>
      <w:szCs w:val="28"/>
    </w:rPr>
  </w:style>
  <w:style w:type="character" w:customStyle="1" w:styleId="Heading2Char">
    <w:name w:val="Heading 2 Char"/>
    <w:aliases w:val="DES-Heading 2 Char"/>
    <w:basedOn w:val="DefaultParagraphFont"/>
    <w:link w:val="Heading2"/>
    <w:uiPriority w:val="9"/>
    <w:rsid w:val="00D64C22"/>
    <w:rPr>
      <w:rFonts w:ascii="Arial" w:eastAsia="Times New Roman" w:hAnsi="Arial"/>
      <w:b/>
      <w:color w:val="000000"/>
      <w:kern w:val="32"/>
      <w:sz w:val="28"/>
      <w:szCs w:val="32"/>
    </w:rPr>
  </w:style>
  <w:style w:type="character" w:customStyle="1" w:styleId="Heading3Char">
    <w:name w:val="Heading 3 Char"/>
    <w:aliases w:val="DES-Heading 3 Char"/>
    <w:basedOn w:val="DefaultParagraphFont"/>
    <w:link w:val="Heading3"/>
    <w:uiPriority w:val="9"/>
    <w:rsid w:val="003D7E6B"/>
    <w:rPr>
      <w:rFonts w:ascii="Arial" w:eastAsia="Times New Roman" w:hAnsi="Arial"/>
      <w:b/>
      <w:color w:val="000000"/>
      <w:spacing w:val="32"/>
      <w:kern w:val="32"/>
    </w:rPr>
  </w:style>
  <w:style w:type="character" w:customStyle="1" w:styleId="Heading4Char">
    <w:name w:val="Heading 4 Char"/>
    <w:basedOn w:val="DefaultParagraphFont"/>
    <w:link w:val="Heading4"/>
    <w:uiPriority w:val="9"/>
    <w:semiHidden/>
    <w:rsid w:val="0030407E"/>
    <w:rPr>
      <w:b/>
      <w:bCs/>
      <w:spacing w:val="5"/>
      <w:sz w:val="24"/>
      <w:szCs w:val="24"/>
    </w:rPr>
  </w:style>
  <w:style w:type="character" w:customStyle="1" w:styleId="Heading5Char">
    <w:name w:val="Heading 5 Char"/>
    <w:basedOn w:val="DefaultParagraphFont"/>
    <w:link w:val="Heading5"/>
    <w:uiPriority w:val="9"/>
    <w:semiHidden/>
    <w:rsid w:val="0030407E"/>
    <w:rPr>
      <w:i/>
      <w:iCs/>
      <w:sz w:val="24"/>
      <w:szCs w:val="24"/>
    </w:rPr>
  </w:style>
  <w:style w:type="character" w:customStyle="1" w:styleId="Heading6Char">
    <w:name w:val="Heading 6 Char"/>
    <w:basedOn w:val="DefaultParagraphFont"/>
    <w:link w:val="Heading6"/>
    <w:uiPriority w:val="9"/>
    <w:semiHidden/>
    <w:rsid w:val="0030407E"/>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30407E"/>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30407E"/>
    <w:rPr>
      <w:b/>
      <w:bCs/>
      <w:color w:val="7F7F7F" w:themeColor="text1" w:themeTint="80"/>
      <w:sz w:val="20"/>
      <w:szCs w:val="20"/>
    </w:rPr>
  </w:style>
  <w:style w:type="character" w:customStyle="1" w:styleId="Heading9Char">
    <w:name w:val="Heading 9 Char"/>
    <w:basedOn w:val="DefaultParagraphFont"/>
    <w:link w:val="Heading9"/>
    <w:uiPriority w:val="9"/>
    <w:semiHidden/>
    <w:rsid w:val="0030407E"/>
    <w:rPr>
      <w:b/>
      <w:bCs/>
      <w:i/>
      <w:iCs/>
      <w:color w:val="7F7F7F" w:themeColor="text1" w:themeTint="80"/>
      <w:sz w:val="18"/>
      <w:szCs w:val="18"/>
    </w:rPr>
  </w:style>
  <w:style w:type="paragraph" w:styleId="Title">
    <w:name w:val="Title"/>
    <w:basedOn w:val="Normal"/>
    <w:next w:val="Normal"/>
    <w:link w:val="TitleChar"/>
    <w:uiPriority w:val="10"/>
    <w:qFormat/>
    <w:rsid w:val="0030407E"/>
    <w:pPr>
      <w:spacing w:after="300"/>
      <w:contextualSpacing/>
    </w:pPr>
    <w:rPr>
      <w:smallCaps/>
      <w:sz w:val="52"/>
      <w:szCs w:val="52"/>
    </w:rPr>
  </w:style>
  <w:style w:type="character" w:customStyle="1" w:styleId="TitleChar">
    <w:name w:val="Title Char"/>
    <w:basedOn w:val="DefaultParagraphFont"/>
    <w:link w:val="Title"/>
    <w:uiPriority w:val="10"/>
    <w:rsid w:val="0030407E"/>
    <w:rPr>
      <w:smallCaps/>
      <w:sz w:val="52"/>
      <w:szCs w:val="52"/>
    </w:rPr>
  </w:style>
  <w:style w:type="paragraph" w:styleId="Subtitle">
    <w:name w:val="Subtitle"/>
    <w:basedOn w:val="Normal"/>
    <w:next w:val="Normal"/>
    <w:link w:val="SubtitleChar"/>
    <w:uiPriority w:val="11"/>
    <w:qFormat/>
    <w:rsid w:val="0030407E"/>
    <w:rPr>
      <w:i/>
      <w:iCs/>
      <w:smallCaps/>
      <w:spacing w:val="10"/>
      <w:sz w:val="28"/>
      <w:szCs w:val="28"/>
    </w:rPr>
  </w:style>
  <w:style w:type="character" w:customStyle="1" w:styleId="SubtitleChar">
    <w:name w:val="Subtitle Char"/>
    <w:basedOn w:val="DefaultParagraphFont"/>
    <w:link w:val="Subtitle"/>
    <w:uiPriority w:val="11"/>
    <w:rsid w:val="0030407E"/>
    <w:rPr>
      <w:i/>
      <w:iCs/>
      <w:smallCaps/>
      <w:spacing w:val="10"/>
      <w:sz w:val="28"/>
      <w:szCs w:val="28"/>
    </w:rPr>
  </w:style>
  <w:style w:type="character" w:styleId="Strong">
    <w:name w:val="Strong"/>
    <w:uiPriority w:val="22"/>
    <w:qFormat/>
    <w:rsid w:val="0030407E"/>
    <w:rPr>
      <w:b/>
      <w:bCs/>
    </w:rPr>
  </w:style>
  <w:style w:type="character" w:styleId="Emphasis">
    <w:name w:val="Emphasis"/>
    <w:uiPriority w:val="20"/>
    <w:qFormat/>
    <w:rsid w:val="0030407E"/>
    <w:rPr>
      <w:b/>
      <w:bCs/>
      <w:i/>
      <w:iCs/>
      <w:spacing w:val="10"/>
    </w:rPr>
  </w:style>
  <w:style w:type="paragraph" w:styleId="NoSpacing">
    <w:name w:val="No Spacing"/>
    <w:aliases w:val="DES-No Spacing"/>
    <w:basedOn w:val="Normal"/>
    <w:uiPriority w:val="1"/>
    <w:qFormat/>
    <w:rsid w:val="0030407E"/>
  </w:style>
  <w:style w:type="paragraph" w:styleId="ListParagraph">
    <w:name w:val="List Paragraph"/>
    <w:basedOn w:val="Normal"/>
    <w:uiPriority w:val="34"/>
    <w:qFormat/>
    <w:rsid w:val="0030407E"/>
    <w:pPr>
      <w:ind w:left="720"/>
      <w:contextualSpacing/>
    </w:pPr>
  </w:style>
  <w:style w:type="paragraph" w:styleId="Quote">
    <w:name w:val="Quote"/>
    <w:basedOn w:val="Normal"/>
    <w:next w:val="Normal"/>
    <w:link w:val="QuoteChar"/>
    <w:uiPriority w:val="29"/>
    <w:qFormat/>
    <w:rsid w:val="0030407E"/>
    <w:rPr>
      <w:i/>
      <w:iCs/>
    </w:rPr>
  </w:style>
  <w:style w:type="character" w:customStyle="1" w:styleId="QuoteChar">
    <w:name w:val="Quote Char"/>
    <w:basedOn w:val="DefaultParagraphFont"/>
    <w:link w:val="Quote"/>
    <w:uiPriority w:val="29"/>
    <w:rsid w:val="0030407E"/>
    <w:rPr>
      <w:i/>
      <w:iCs/>
    </w:rPr>
  </w:style>
  <w:style w:type="paragraph" w:styleId="IntenseQuote">
    <w:name w:val="Intense Quote"/>
    <w:basedOn w:val="Normal"/>
    <w:next w:val="Normal"/>
    <w:link w:val="IntenseQuoteChar"/>
    <w:uiPriority w:val="30"/>
    <w:qFormat/>
    <w:rsid w:val="0030407E"/>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30407E"/>
    <w:rPr>
      <w:i/>
      <w:iCs/>
    </w:rPr>
  </w:style>
  <w:style w:type="character" w:styleId="SubtleEmphasis">
    <w:name w:val="Subtle Emphasis"/>
    <w:uiPriority w:val="19"/>
    <w:qFormat/>
    <w:rsid w:val="0030407E"/>
    <w:rPr>
      <w:i/>
      <w:iCs/>
    </w:rPr>
  </w:style>
  <w:style w:type="character" w:styleId="IntenseEmphasis">
    <w:name w:val="Intense Emphasis"/>
    <w:uiPriority w:val="21"/>
    <w:qFormat/>
    <w:rsid w:val="0030407E"/>
    <w:rPr>
      <w:b/>
      <w:bCs/>
      <w:i/>
      <w:iCs/>
    </w:rPr>
  </w:style>
  <w:style w:type="character" w:styleId="SubtleReference">
    <w:name w:val="Subtle Reference"/>
    <w:basedOn w:val="DefaultParagraphFont"/>
    <w:uiPriority w:val="31"/>
    <w:qFormat/>
    <w:rsid w:val="0030407E"/>
    <w:rPr>
      <w:smallCaps/>
    </w:rPr>
  </w:style>
  <w:style w:type="character" w:styleId="IntenseReference">
    <w:name w:val="Intense Reference"/>
    <w:uiPriority w:val="32"/>
    <w:qFormat/>
    <w:rsid w:val="0030407E"/>
    <w:rPr>
      <w:b/>
      <w:bCs/>
      <w:smallCaps/>
    </w:rPr>
  </w:style>
  <w:style w:type="character" w:styleId="BookTitle">
    <w:name w:val="Book Title"/>
    <w:basedOn w:val="DefaultParagraphFont"/>
    <w:uiPriority w:val="33"/>
    <w:qFormat/>
    <w:rsid w:val="0030407E"/>
    <w:rPr>
      <w:i/>
      <w:iCs/>
      <w:smallCaps/>
      <w:spacing w:val="5"/>
    </w:rPr>
  </w:style>
  <w:style w:type="paragraph" w:styleId="TOCHeading">
    <w:name w:val="TOC Heading"/>
    <w:basedOn w:val="Heading1"/>
    <w:next w:val="Normal"/>
    <w:uiPriority w:val="39"/>
    <w:semiHidden/>
    <w:unhideWhenUsed/>
    <w:qFormat/>
    <w:rsid w:val="0030407E"/>
    <w:pPr>
      <w:outlineLvl w:val="9"/>
    </w:pPr>
  </w:style>
  <w:style w:type="paragraph" w:customStyle="1" w:styleId="DOPStandard-Title">
    <w:name w:val="DOPStandard - Title"/>
    <w:basedOn w:val="Heading1"/>
    <w:rsid w:val="0030407E"/>
    <w:rPr>
      <w:smallCaps/>
    </w:rPr>
  </w:style>
  <w:style w:type="paragraph" w:customStyle="1" w:styleId="DOPStandard-Subtitle">
    <w:name w:val="DOP Standard - Subtitle"/>
    <w:basedOn w:val="Subtitle"/>
    <w:rsid w:val="0030407E"/>
    <w:pPr>
      <w:spacing w:after="100" w:afterAutospacing="1"/>
    </w:pPr>
    <w:rPr>
      <w:rFonts w:cs="Arial"/>
      <w:b/>
      <w:i w:val="0"/>
      <w:smallCaps w:val="0"/>
      <w:color w:val="000000"/>
      <w:sz w:val="24"/>
      <w:szCs w:val="24"/>
    </w:rPr>
  </w:style>
  <w:style w:type="paragraph" w:customStyle="1" w:styleId="DOPStandard-Body">
    <w:name w:val="DOP Standard - Body"/>
    <w:basedOn w:val="DOPStandard-Subtitle"/>
    <w:rsid w:val="0030407E"/>
    <w:rPr>
      <w:b w:val="0"/>
      <w:sz w:val="20"/>
    </w:rPr>
  </w:style>
  <w:style w:type="paragraph" w:customStyle="1" w:styleId="DOPStandard-Header">
    <w:name w:val="DOP Standard - Header"/>
    <w:basedOn w:val="Header"/>
    <w:rsid w:val="0030407E"/>
    <w:pPr>
      <w:spacing w:after="120" w:line="300" w:lineRule="exact"/>
      <w:jc w:val="right"/>
    </w:pPr>
    <w:rPr>
      <w:rFonts w:eastAsia="Times New Roman"/>
      <w:color w:val="000000"/>
      <w:spacing w:val="32"/>
      <w:kern w:val="32"/>
      <w:sz w:val="16"/>
    </w:rPr>
  </w:style>
  <w:style w:type="paragraph" w:customStyle="1" w:styleId="DESStype">
    <w:name w:val="DES Stype"/>
    <w:basedOn w:val="Normal"/>
    <w:link w:val="DESStypeChar"/>
    <w:qFormat/>
    <w:rsid w:val="000F53C5"/>
  </w:style>
  <w:style w:type="paragraph" w:customStyle="1" w:styleId="DESStyle">
    <w:name w:val="DES Style"/>
    <w:basedOn w:val="DESStype"/>
    <w:link w:val="DESStyleChar"/>
    <w:autoRedefine/>
    <w:qFormat/>
    <w:rsid w:val="00B23E37"/>
    <w:pPr>
      <w:spacing w:before="120" w:after="120" w:line="276" w:lineRule="auto"/>
    </w:pPr>
    <w:rPr>
      <w:sz w:val="20"/>
      <w:szCs w:val="20"/>
    </w:rPr>
  </w:style>
  <w:style w:type="character" w:customStyle="1" w:styleId="DESStypeChar">
    <w:name w:val="DES Stype Char"/>
    <w:basedOn w:val="DefaultParagraphFont"/>
    <w:link w:val="DESStype"/>
    <w:rsid w:val="000F53C5"/>
    <w:rPr>
      <w:rFonts w:ascii="Arial" w:hAnsi="Arial"/>
    </w:rPr>
  </w:style>
  <w:style w:type="character" w:customStyle="1" w:styleId="DESStyleChar">
    <w:name w:val="DES Style Char"/>
    <w:basedOn w:val="DESStypeChar"/>
    <w:link w:val="DESStyle"/>
    <w:rsid w:val="00B23E37"/>
    <w:rPr>
      <w:rFonts w:ascii="Arial" w:hAnsi="Arial"/>
      <w:sz w:val="20"/>
      <w:szCs w:val="20"/>
    </w:rPr>
  </w:style>
  <w:style w:type="table" w:styleId="TableGrid">
    <w:name w:val="Table Grid"/>
    <w:basedOn w:val="TableNormal"/>
    <w:uiPriority w:val="59"/>
    <w:rsid w:val="00906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F37C0"/>
    <w:rPr>
      <w:sz w:val="16"/>
      <w:szCs w:val="16"/>
    </w:rPr>
  </w:style>
  <w:style w:type="paragraph" w:styleId="CommentText">
    <w:name w:val="annotation text"/>
    <w:basedOn w:val="Normal"/>
    <w:link w:val="CommentTextChar"/>
    <w:uiPriority w:val="99"/>
    <w:semiHidden/>
    <w:unhideWhenUsed/>
    <w:rsid w:val="00DF37C0"/>
    <w:rPr>
      <w:sz w:val="20"/>
      <w:szCs w:val="20"/>
    </w:rPr>
  </w:style>
  <w:style w:type="character" w:customStyle="1" w:styleId="CommentTextChar">
    <w:name w:val="Comment Text Char"/>
    <w:basedOn w:val="DefaultParagraphFont"/>
    <w:link w:val="CommentText"/>
    <w:uiPriority w:val="99"/>
    <w:semiHidden/>
    <w:rsid w:val="00DF37C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F37C0"/>
    <w:rPr>
      <w:b/>
      <w:bCs/>
    </w:rPr>
  </w:style>
  <w:style w:type="character" w:customStyle="1" w:styleId="CommentSubjectChar">
    <w:name w:val="Comment Subject Char"/>
    <w:basedOn w:val="CommentTextChar"/>
    <w:link w:val="CommentSubject"/>
    <w:uiPriority w:val="99"/>
    <w:semiHidden/>
    <w:rsid w:val="00DF37C0"/>
    <w:rPr>
      <w:rFonts w:ascii="Arial" w:hAnsi="Arial"/>
      <w:b/>
      <w:bCs/>
      <w:sz w:val="20"/>
      <w:szCs w:val="20"/>
    </w:rPr>
  </w:style>
  <w:style w:type="character" w:styleId="Hyperlink">
    <w:name w:val="Hyperlink"/>
    <w:uiPriority w:val="99"/>
    <w:rsid w:val="00880A69"/>
    <w:rPr>
      <w:color w:val="0000FF"/>
      <w:u w:val="single"/>
    </w:rPr>
  </w:style>
  <w:style w:type="paragraph" w:customStyle="1" w:styleId="USBQuestion">
    <w:name w:val="USB Question"/>
    <w:next w:val="Normal"/>
    <w:link w:val="USBQuestionChar"/>
    <w:uiPriority w:val="1"/>
    <w:qFormat/>
    <w:rsid w:val="00503665"/>
    <w:pPr>
      <w:keepNext/>
      <w:numPr>
        <w:numId w:val="24"/>
      </w:numPr>
      <w:spacing w:after="0" w:line="240" w:lineRule="auto"/>
    </w:pPr>
    <w:rPr>
      <w:rFonts w:ascii="Arial" w:eastAsia="Times New Roman" w:hAnsi="Arial" w:cs="Arial"/>
      <w:b/>
      <w:color w:val="0C2074"/>
      <w:sz w:val="20"/>
      <w:szCs w:val="19"/>
      <w:lang w:bidi="ar-SA"/>
    </w:rPr>
  </w:style>
  <w:style w:type="character" w:customStyle="1" w:styleId="USBQuestionChar">
    <w:name w:val="USB Question Char"/>
    <w:link w:val="USBQuestion"/>
    <w:uiPriority w:val="1"/>
    <w:rsid w:val="00503665"/>
    <w:rPr>
      <w:rFonts w:ascii="Arial" w:eastAsia="Times New Roman" w:hAnsi="Arial" w:cs="Arial"/>
      <w:b/>
      <w:color w:val="0C2074"/>
      <w:sz w:val="20"/>
      <w:szCs w:val="19"/>
      <w:lang w:bidi="ar-SA"/>
    </w:rPr>
  </w:style>
  <w:style w:type="character" w:styleId="FollowedHyperlink">
    <w:name w:val="FollowedHyperlink"/>
    <w:basedOn w:val="DefaultParagraphFont"/>
    <w:uiPriority w:val="99"/>
    <w:semiHidden/>
    <w:unhideWhenUsed/>
    <w:rsid w:val="00A30C19"/>
    <w:rPr>
      <w:color w:val="800080" w:themeColor="followedHyperlink"/>
      <w:u w:val="single"/>
    </w:rPr>
  </w:style>
  <w:style w:type="paragraph" w:styleId="Revision">
    <w:name w:val="Revision"/>
    <w:hidden/>
    <w:uiPriority w:val="99"/>
    <w:semiHidden/>
    <w:rsid w:val="000705CF"/>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00137">
      <w:bodyDiv w:val="1"/>
      <w:marLeft w:val="0"/>
      <w:marRight w:val="0"/>
      <w:marTop w:val="0"/>
      <w:marBottom w:val="0"/>
      <w:divBdr>
        <w:top w:val="none" w:sz="0" w:space="0" w:color="auto"/>
        <w:left w:val="none" w:sz="0" w:space="0" w:color="auto"/>
        <w:bottom w:val="none" w:sz="0" w:space="0" w:color="auto"/>
        <w:right w:val="none" w:sz="0" w:space="0" w:color="auto"/>
      </w:divBdr>
    </w:div>
    <w:div w:id="246574039">
      <w:bodyDiv w:val="1"/>
      <w:marLeft w:val="0"/>
      <w:marRight w:val="0"/>
      <w:marTop w:val="0"/>
      <w:marBottom w:val="0"/>
      <w:divBdr>
        <w:top w:val="none" w:sz="0" w:space="0" w:color="auto"/>
        <w:left w:val="none" w:sz="0" w:space="0" w:color="auto"/>
        <w:bottom w:val="none" w:sz="0" w:space="0" w:color="auto"/>
        <w:right w:val="none" w:sz="0" w:space="0" w:color="auto"/>
      </w:divBdr>
    </w:div>
    <w:div w:id="430275656">
      <w:bodyDiv w:val="1"/>
      <w:marLeft w:val="0"/>
      <w:marRight w:val="0"/>
      <w:marTop w:val="0"/>
      <w:marBottom w:val="0"/>
      <w:divBdr>
        <w:top w:val="none" w:sz="0" w:space="0" w:color="auto"/>
        <w:left w:val="none" w:sz="0" w:space="0" w:color="auto"/>
        <w:bottom w:val="none" w:sz="0" w:space="0" w:color="auto"/>
        <w:right w:val="none" w:sz="0" w:space="0" w:color="auto"/>
      </w:divBdr>
    </w:div>
    <w:div w:id="490682779">
      <w:bodyDiv w:val="1"/>
      <w:marLeft w:val="0"/>
      <w:marRight w:val="0"/>
      <w:marTop w:val="0"/>
      <w:marBottom w:val="0"/>
      <w:divBdr>
        <w:top w:val="none" w:sz="0" w:space="0" w:color="auto"/>
        <w:left w:val="none" w:sz="0" w:space="0" w:color="auto"/>
        <w:bottom w:val="none" w:sz="0" w:space="0" w:color="auto"/>
        <w:right w:val="none" w:sz="0" w:space="0" w:color="auto"/>
      </w:divBdr>
    </w:div>
    <w:div w:id="500659958">
      <w:bodyDiv w:val="1"/>
      <w:marLeft w:val="0"/>
      <w:marRight w:val="0"/>
      <w:marTop w:val="0"/>
      <w:marBottom w:val="0"/>
      <w:divBdr>
        <w:top w:val="none" w:sz="0" w:space="0" w:color="auto"/>
        <w:left w:val="none" w:sz="0" w:space="0" w:color="auto"/>
        <w:bottom w:val="none" w:sz="0" w:space="0" w:color="auto"/>
        <w:right w:val="none" w:sz="0" w:space="0" w:color="auto"/>
      </w:divBdr>
    </w:div>
    <w:div w:id="780757061">
      <w:bodyDiv w:val="1"/>
      <w:marLeft w:val="0"/>
      <w:marRight w:val="0"/>
      <w:marTop w:val="0"/>
      <w:marBottom w:val="0"/>
      <w:divBdr>
        <w:top w:val="none" w:sz="0" w:space="0" w:color="auto"/>
        <w:left w:val="none" w:sz="0" w:space="0" w:color="auto"/>
        <w:bottom w:val="none" w:sz="0" w:space="0" w:color="auto"/>
        <w:right w:val="none" w:sz="0" w:space="0" w:color="auto"/>
      </w:divBdr>
    </w:div>
    <w:div w:id="801578352">
      <w:bodyDiv w:val="1"/>
      <w:marLeft w:val="0"/>
      <w:marRight w:val="0"/>
      <w:marTop w:val="0"/>
      <w:marBottom w:val="0"/>
      <w:divBdr>
        <w:top w:val="none" w:sz="0" w:space="0" w:color="auto"/>
        <w:left w:val="none" w:sz="0" w:space="0" w:color="auto"/>
        <w:bottom w:val="none" w:sz="0" w:space="0" w:color="auto"/>
        <w:right w:val="none" w:sz="0" w:space="0" w:color="auto"/>
      </w:divBdr>
    </w:div>
    <w:div w:id="1070270409">
      <w:bodyDiv w:val="1"/>
      <w:marLeft w:val="0"/>
      <w:marRight w:val="0"/>
      <w:marTop w:val="0"/>
      <w:marBottom w:val="0"/>
      <w:divBdr>
        <w:top w:val="none" w:sz="0" w:space="0" w:color="auto"/>
        <w:left w:val="none" w:sz="0" w:space="0" w:color="auto"/>
        <w:bottom w:val="none" w:sz="0" w:space="0" w:color="auto"/>
        <w:right w:val="none" w:sz="0" w:space="0" w:color="auto"/>
      </w:divBdr>
    </w:div>
    <w:div w:id="1345086106">
      <w:bodyDiv w:val="1"/>
      <w:marLeft w:val="0"/>
      <w:marRight w:val="0"/>
      <w:marTop w:val="0"/>
      <w:marBottom w:val="0"/>
      <w:divBdr>
        <w:top w:val="none" w:sz="0" w:space="0" w:color="auto"/>
        <w:left w:val="none" w:sz="0" w:space="0" w:color="auto"/>
        <w:bottom w:val="none" w:sz="0" w:space="0" w:color="auto"/>
        <w:right w:val="none" w:sz="0" w:space="0" w:color="auto"/>
      </w:divBdr>
    </w:div>
    <w:div w:id="1692608877">
      <w:bodyDiv w:val="1"/>
      <w:marLeft w:val="0"/>
      <w:marRight w:val="0"/>
      <w:marTop w:val="0"/>
      <w:marBottom w:val="0"/>
      <w:divBdr>
        <w:top w:val="none" w:sz="0" w:space="0" w:color="auto"/>
        <w:left w:val="none" w:sz="0" w:space="0" w:color="auto"/>
        <w:bottom w:val="none" w:sz="0" w:space="0" w:color="auto"/>
        <w:right w:val="none" w:sz="0" w:space="0" w:color="auto"/>
      </w:divBdr>
    </w:div>
    <w:div w:id="179320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fm.wa.gov/it-systems/statewide-vendorpayee-services/receiving-payment-stat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s.wa.gov/services/contracting-purchasing/doing-business-state/receiving-payment-state/statewide-vendor-number-look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Category xmlns="4f5804d5-49c0-4153-b9d4-3ac3acf566d3">Template</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B848503616A74292EA15D8ED0BAC5C" ma:contentTypeVersion="2" ma:contentTypeDescription="Create a new document." ma:contentTypeScope="" ma:versionID="38172f678a002ed0da02f69984246af7">
  <xsd:schema xmlns:xsd="http://www.w3.org/2001/XMLSchema" xmlns:xs="http://www.w3.org/2001/XMLSchema" xmlns:p="http://schemas.microsoft.com/office/2006/metadata/properties" xmlns:ns1="http://schemas.microsoft.com/sharepoint/v3" xmlns:ns2="4f5804d5-49c0-4153-b9d4-3ac3acf566d3" targetNamespace="http://schemas.microsoft.com/office/2006/metadata/properties" ma:root="true" ma:fieldsID="f85d996f57db18552ee2dfeb6fb9f52f" ns1:_="" ns2:_="">
    <xsd:import namespace="http://schemas.microsoft.com/sharepoint/v3"/>
    <xsd:import namespace="4f5804d5-49c0-4153-b9d4-3ac3acf566d3"/>
    <xsd:element name="properties">
      <xsd:complexType>
        <xsd:sequence>
          <xsd:element name="documentManagement">
            <xsd:complexType>
              <xsd:all>
                <xsd:element ref="ns1:PublishingStartDate" minOccurs="0"/>
                <xsd:element ref="ns1:PublishingExpirationDat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5804d5-49c0-4153-b9d4-3ac3acf566d3" elementFormDefault="qualified">
    <xsd:import namespace="http://schemas.microsoft.com/office/2006/documentManagement/types"/>
    <xsd:import namespace="http://schemas.microsoft.com/office/infopath/2007/PartnerControls"/>
    <xsd:element name="Category" ma:index="10" nillable="true" ma:displayName="Category" ma:format="Dropdown" ma:internalName="Category">
      <xsd:simpleType>
        <xsd:restriction base="dms:Choice">
          <xsd:enumeration value="Event Fliers"/>
          <xsd:enumeration value="Fact Sheets"/>
          <xsd:enumeration value="Form"/>
          <xsd:enumeration value="Policy"/>
          <xsd:enumeration value="Presentations"/>
          <xsd:enumeration value="Procedure"/>
          <xsd:enumeration value="Publication"/>
          <xsd:enumeration value="Template"/>
          <xsd:enumeration value="Get Help"/>
          <xsd:enumeration value="Other"/>
          <xsd:enumeration value="News"/>
          <xsd:enumeration value="Newsletters"/>
          <xsd:enumeration value="Tenant Bulletins"/>
          <xsd:enumeration value="CF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A48D3B-E491-4A8E-906D-A93CC2C73B28}">
  <ds:schemaRefs>
    <ds:schemaRef ds:uri="http://www.w3.org/XML/1998/namespace"/>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4f5804d5-49c0-4153-b9d4-3ac3acf566d3"/>
    <ds:schemaRef ds:uri="http://schemas.microsoft.com/office/infopath/2007/PartnerControls"/>
    <ds:schemaRef ds:uri="http://schemas.microsoft.com/sharepoint/v3"/>
    <ds:schemaRef ds:uri="http://purl.org/dc/dcmitype/"/>
  </ds:schemaRefs>
</ds:datastoreItem>
</file>

<file path=customXml/itemProps2.xml><?xml version="1.0" encoding="utf-8"?>
<ds:datastoreItem xmlns:ds="http://schemas.openxmlformats.org/officeDocument/2006/customXml" ds:itemID="{FDF8E5AF-5D2E-4E3E-B922-0826F13E6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5804d5-49c0-4153-b9d4-3ac3acf566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8AAB5F-6B02-4077-9768-D5F9E1D62234}">
  <ds:schemaRefs>
    <ds:schemaRef ds:uri="http://schemas.microsoft.com/sharepoint/v3/contenttype/forms"/>
  </ds:schemaRefs>
</ds:datastoreItem>
</file>

<file path=customXml/itemProps4.xml><?xml version="1.0" encoding="utf-8"?>
<ds:datastoreItem xmlns:ds="http://schemas.openxmlformats.org/officeDocument/2006/customXml" ds:itemID="{68A68950-6E43-49D8-8A1E-C88B20A87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18</Pages>
  <Words>3992</Words>
  <Characters>22756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Fact Sheet Template</vt:lpstr>
    </vt:vector>
  </TitlesOfParts>
  <Company>State of Washington</Company>
  <LinksUpToDate>false</LinksUpToDate>
  <CharactersWithSpaces>26695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Template</dc:title>
  <dc:creator>jessicam</dc:creator>
  <cp:lastModifiedBy>Field, Veronica (DES)</cp:lastModifiedBy>
  <cp:revision>11</cp:revision>
  <dcterms:created xsi:type="dcterms:W3CDTF">2019-06-25T19:33:00Z</dcterms:created>
  <dcterms:modified xsi:type="dcterms:W3CDTF">2019-06-25T23:40:00Z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0x01010058B848503616A74292EA15D8ED0BAC5C</vt:lpwstr>
  </property>
  <property fmtid="{D5CDD505-2E9C-101B-9397-08002B2CF9AE}" pid="3" name="Category">
    <vt:lpwstr>Template</vt:lpwstr>
  </property>
</Properties>
</file>