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650E8" w14:textId="6CFF4D67" w:rsidR="00161B5A" w:rsidRDefault="00C41385" w:rsidP="00CB4A31">
      <w:pPr>
        <w:pStyle w:val="Heading1"/>
        <w:pBdr>
          <w:between w:val="single" w:sz="4" w:space="1" w:color="auto"/>
        </w:pBdr>
        <w:spacing w:after="0"/>
      </w:pPr>
      <w:r w:rsidRPr="00C41385">
        <w:rPr>
          <w:color w:val="auto"/>
        </w:rPr>
        <w:t>Amendment #7</w:t>
      </w:r>
    </w:p>
    <w:p w14:paraId="229A9D90" w14:textId="314F315B" w:rsidR="00C025FF" w:rsidRPr="00C025FF" w:rsidRDefault="001E6D28" w:rsidP="00CB4A31">
      <w:pPr>
        <w:pBdr>
          <w:top w:val="single" w:sz="4" w:space="1" w:color="auto"/>
        </w:pBdr>
        <w:spacing w:after="120"/>
        <w:rPr>
          <w:rFonts w:cs="Arial"/>
          <w:caps/>
          <w:sz w:val="24"/>
          <w:szCs w:val="20"/>
        </w:rPr>
      </w:pPr>
      <w:r>
        <w:rPr>
          <w:rFonts w:cs="Arial"/>
          <w:sz w:val="28"/>
        </w:rPr>
        <w:t>#0</w:t>
      </w:r>
      <w:r w:rsidR="00B67374">
        <w:rPr>
          <w:rFonts w:cs="Arial"/>
          <w:sz w:val="28"/>
        </w:rPr>
        <w:t>0719</w:t>
      </w:r>
      <w:r w:rsidR="00727E26">
        <w:rPr>
          <w:rFonts w:cs="Arial"/>
          <w:sz w:val="28"/>
        </w:rPr>
        <w:t xml:space="preserve"> </w:t>
      </w:r>
      <w:r w:rsidR="00B67374">
        <w:rPr>
          <w:rFonts w:cs="Arial"/>
          <w:sz w:val="28"/>
        </w:rPr>
        <w:t>/</w:t>
      </w:r>
      <w:r w:rsidR="00727E26">
        <w:rPr>
          <w:rFonts w:cs="Arial"/>
          <w:sz w:val="28"/>
        </w:rPr>
        <w:t xml:space="preserve"> </w:t>
      </w:r>
      <w:r w:rsidR="00B67374">
        <w:rPr>
          <w:rFonts w:cs="Arial"/>
          <w:sz w:val="28"/>
        </w:rPr>
        <w:t>#00819</w:t>
      </w:r>
      <w:r w:rsidR="00C025FF" w:rsidRPr="00C025FF">
        <w:rPr>
          <w:rFonts w:cs="Arial"/>
          <w:sz w:val="28"/>
        </w:rPr>
        <w:t xml:space="preserve"> </w:t>
      </w:r>
      <w:r>
        <w:rPr>
          <w:rFonts w:cs="Arial"/>
          <w:sz w:val="28"/>
        </w:rPr>
        <w:t>–</w:t>
      </w:r>
      <w:r w:rsidR="00C025FF" w:rsidRPr="00C025FF">
        <w:rPr>
          <w:rFonts w:cs="Arial"/>
          <w:sz w:val="28"/>
        </w:rPr>
        <w:t xml:space="preserve"> </w:t>
      </w:r>
      <w:r w:rsidR="00B67374">
        <w:rPr>
          <w:rFonts w:cs="Arial"/>
          <w:sz w:val="28"/>
        </w:rPr>
        <w:t>Commercial Card Services</w:t>
      </w:r>
      <w:r w:rsidR="00C025FF" w:rsidRPr="00C025FF">
        <w:rPr>
          <w:rFonts w:cs="Arial"/>
          <w:sz w:val="28"/>
        </w:rPr>
        <w:t xml:space="preserve"> </w:t>
      </w:r>
    </w:p>
    <w:p w14:paraId="209B6984" w14:textId="77777777" w:rsidR="00161B5A" w:rsidRDefault="00161B5A" w:rsidP="00CB4A31"/>
    <w:p w14:paraId="2318A136" w14:textId="77777777" w:rsidR="00FD775C" w:rsidRDefault="00FB0070" w:rsidP="00CB4A31">
      <w:r w:rsidRPr="00C41385">
        <w:t xml:space="preserve">This document is posted to </w:t>
      </w:r>
      <w:r w:rsidR="00C41385" w:rsidRPr="00C41385">
        <w:t>provide clarification for the evaluation of the Rebate/Incentive Share for</w:t>
      </w:r>
      <w:r w:rsidR="002747B3" w:rsidRPr="00C41385">
        <w:t xml:space="preserve"> solicitation #00719 / #00819 for Commercial Card Services.</w:t>
      </w:r>
      <w:r w:rsidR="00C41385" w:rsidRPr="00C41385">
        <w:t xml:space="preserve"> </w:t>
      </w:r>
    </w:p>
    <w:p w14:paraId="757966DA" w14:textId="77777777" w:rsidR="00FD775C" w:rsidRDefault="00FD775C" w:rsidP="00CB4A31"/>
    <w:p w14:paraId="0286899D" w14:textId="5A5B5413" w:rsidR="00C41385" w:rsidRDefault="00C41385" w:rsidP="00CB4A31">
      <w:r w:rsidRPr="00C41385">
        <w:t xml:space="preserve">Section 4.8 Rebate/Incentive Share Components (Step 7) is </w:t>
      </w:r>
      <w:r w:rsidR="00FD775C">
        <w:t xml:space="preserve">deleted in its entirety and </w:t>
      </w:r>
      <w:r w:rsidRPr="00C41385">
        <w:t xml:space="preserve">replaced with Section 4.8 </w:t>
      </w:r>
      <w:r w:rsidR="00FD775C">
        <w:t xml:space="preserve">Rebate/Incentive Share Components (Step 7), </w:t>
      </w:r>
      <w:r w:rsidRPr="00C41385">
        <w:t>below. Changes are highlighted in yellow.</w:t>
      </w:r>
    </w:p>
    <w:p w14:paraId="64C64A7B" w14:textId="77777777" w:rsidR="00C41385" w:rsidRDefault="00C41385" w:rsidP="00CB4A31"/>
    <w:p w14:paraId="70F2AB48" w14:textId="546FA7AC" w:rsidR="00D97104" w:rsidRDefault="00C41385" w:rsidP="00CB4A31">
      <w:r>
        <w:t>As this amendment does not change the requirements for the bidders</w:t>
      </w:r>
      <w:r w:rsidR="00FD775C">
        <w:t xml:space="preserve"> but clarifies the evaluation approach</w:t>
      </w:r>
      <w:bookmarkStart w:id="0" w:name="_GoBack"/>
      <w:bookmarkEnd w:id="0"/>
      <w:r>
        <w:t>, the bid due date remains the same (July 24, 2019).</w:t>
      </w:r>
    </w:p>
    <w:p w14:paraId="7F4623CD" w14:textId="0D057F78" w:rsidR="003F7EF6" w:rsidRDefault="003F7EF6" w:rsidP="00CB4A31"/>
    <w:p w14:paraId="1BCB56F0" w14:textId="77777777" w:rsidR="00C41385" w:rsidRDefault="00C41385" w:rsidP="00C41385">
      <w:pPr>
        <w:numPr>
          <w:ilvl w:val="0"/>
          <w:numId w:val="38"/>
        </w:numPr>
        <w:overflowPunct w:val="0"/>
        <w:autoSpaceDE w:val="0"/>
        <w:autoSpaceDN w:val="0"/>
        <w:adjustRightInd w:val="0"/>
        <w:spacing w:before="240"/>
        <w:ind w:left="734" w:hanging="547"/>
        <w:jc w:val="both"/>
        <w:textAlignment w:val="baseline"/>
        <w:rPr>
          <w:rFonts w:ascii="Calibri" w:hAnsi="Calibri"/>
        </w:rPr>
      </w:pPr>
      <w:r w:rsidDel="00182078">
        <w:rPr>
          <w:rFonts w:ascii="Calibri" w:hAnsi="Calibri"/>
          <w:b/>
          <w:smallCaps/>
        </w:rPr>
        <w:t>Rebate/Incentive Share Components</w:t>
      </w:r>
      <w:r w:rsidRPr="00521456" w:rsidDel="00182078">
        <w:rPr>
          <w:rFonts w:ascii="Calibri" w:hAnsi="Calibri"/>
          <w:b/>
          <w:smallCaps/>
        </w:rPr>
        <w:t xml:space="preserve"> (Step </w:t>
      </w:r>
      <w:r>
        <w:rPr>
          <w:rFonts w:ascii="Calibri" w:hAnsi="Calibri"/>
          <w:b/>
          <w:smallCaps/>
        </w:rPr>
        <w:t>7</w:t>
      </w:r>
      <w:r w:rsidRPr="00521456" w:rsidDel="00182078">
        <w:rPr>
          <w:rFonts w:ascii="Calibri" w:hAnsi="Calibri"/>
          <w:b/>
          <w:smallCaps/>
        </w:rPr>
        <w:t>)</w:t>
      </w:r>
      <w:r w:rsidRPr="00521456" w:rsidDel="00182078">
        <w:rPr>
          <w:rFonts w:ascii="Calibri" w:hAnsi="Calibri"/>
        </w:rPr>
        <w:t>.</w:t>
      </w:r>
      <w:r w:rsidRPr="00B02905" w:rsidDel="00182078">
        <w:rPr>
          <w:rFonts w:ascii="Calibri" w:hAnsi="Calibri"/>
        </w:rPr>
        <w:t xml:space="preserve">  </w:t>
      </w:r>
      <w:r w:rsidDel="00182078">
        <w:rPr>
          <w:rFonts w:ascii="Calibri" w:hAnsi="Calibri"/>
        </w:rPr>
        <w:t xml:space="preserve">Bidders must submit a Rebate/Incentive share component for each category bid as specified in Exhibits </w:t>
      </w:r>
      <w:r>
        <w:rPr>
          <w:rFonts w:ascii="Calibri" w:hAnsi="Calibri"/>
        </w:rPr>
        <w:t>C1 and C2</w:t>
      </w:r>
      <w:r w:rsidDel="00182078">
        <w:rPr>
          <w:rFonts w:ascii="Calibri" w:hAnsi="Calibri"/>
        </w:rPr>
        <w:t xml:space="preserve">, respectively.  </w:t>
      </w:r>
      <w:r w:rsidRPr="00C41385">
        <w:rPr>
          <w:rFonts w:ascii="Calibri" w:hAnsi="Calibri"/>
          <w:highlight w:val="yellow"/>
        </w:rPr>
        <w:t xml:space="preserve">For the Standard Volume (Category 1 and 2) and Non-Standard Volume (Category 1 only) Incentives, </w:t>
      </w:r>
      <w:r w:rsidDel="00182078">
        <w:rPr>
          <w:rFonts w:ascii="Calibri" w:hAnsi="Calibri"/>
        </w:rPr>
        <w:t xml:space="preserve">Enterprise Services will evaluate the bid Rebate/Incentive Share Components – to identify the highest rebate– by reviewing and comparing the submitted Rebate/Incentive Share rates.  The bidder with the highest incentive share/rebate offered </w:t>
      </w:r>
      <w:r>
        <w:rPr>
          <w:rFonts w:ascii="Calibri" w:hAnsi="Calibri"/>
        </w:rPr>
        <w:t xml:space="preserve">for each rebate type </w:t>
      </w:r>
      <w:r w:rsidDel="00182078">
        <w:rPr>
          <w:rFonts w:ascii="Calibri" w:hAnsi="Calibri"/>
        </w:rPr>
        <w:t xml:space="preserve">will receive </w:t>
      </w:r>
      <w:r>
        <w:rPr>
          <w:rFonts w:ascii="Calibri" w:hAnsi="Calibri"/>
        </w:rPr>
        <w:t xml:space="preserve">all available points for the rebate type </w:t>
      </w:r>
      <w:r w:rsidDel="00182078">
        <w:rPr>
          <w:rFonts w:ascii="Calibri" w:hAnsi="Calibri"/>
        </w:rPr>
        <w:t>and the remaining bidders will receive proportionately fewer points.</w:t>
      </w:r>
      <w:r>
        <w:rPr>
          <w:rFonts w:ascii="Calibri" w:hAnsi="Calibri"/>
        </w:rPr>
        <w:t xml:space="preserve"> </w:t>
      </w:r>
      <w:r w:rsidRPr="00C41385">
        <w:rPr>
          <w:rFonts w:ascii="Calibri" w:hAnsi="Calibri"/>
          <w:highlight w:val="yellow"/>
        </w:rPr>
        <w:t>For the Prompt Payment Incentive (Category 1 and 2), Enterprise services will average the Rebate/Incentive Share rates to determine the highest average rate (sum of rates bid for Prompt Payment Incentive / 45).  The bidder with the highest average incentive share/rebate offered for the Prompt Payment rebate type will receive all available points for the rebate type and the remaining bidders will receive proportionately fewer points.  For the National Annual Volume Incentive (Category 1 and 2), Enterprise Services will review and compare the submitted Rebate/Incentive Share rate by tier. The bidder with the highest incentive share/rebate offered for each tier within the rebate will receive all available points for the tier and the remaining bidders will receive proportionately fewer points. Points awarded per tier will be summed together for the total points for the National Annual Volume Incentive.</w:t>
      </w:r>
      <w:r>
        <w:rPr>
          <w:rFonts w:ascii="Calibri" w:hAnsi="Calibri"/>
        </w:rPr>
        <w:tab/>
      </w:r>
      <w:r>
        <w:rPr>
          <w:rFonts w:ascii="Calibri" w:hAnsi="Calibri"/>
        </w:rPr>
        <w:br/>
      </w:r>
    </w:p>
    <w:tbl>
      <w:tblPr>
        <w:tblStyle w:val="TableGrid"/>
        <w:tblW w:w="8690" w:type="dxa"/>
        <w:tblInd w:w="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captures the points available to bidders by rebate type.&#10;For category 1 – Purchase Card Services, the following points are available.&#10;Standard volume, two hundred and fifty points&#10;Non-standard volume, three hundred and fifty points&#10;Prompt payment, one hundred points&#10;National annual volume, one hundred points&#10;For category 2 – Fleet Card Services, the following points are available.&#10;Standard volume, six hundred points&#10;Prompt payment, one hundred points&#10;National annual volume, one hundred points&#10;"/>
      </w:tblPr>
      <w:tblGrid>
        <w:gridCol w:w="2136"/>
        <w:gridCol w:w="1965"/>
        <w:gridCol w:w="1053"/>
        <w:gridCol w:w="1802"/>
        <w:gridCol w:w="1734"/>
      </w:tblGrid>
      <w:tr w:rsidR="00C41385" w14:paraId="4B5B8ED9" w14:textId="77777777" w:rsidTr="00087224">
        <w:trPr>
          <w:tblHeader/>
        </w:trPr>
        <w:tc>
          <w:tcPr>
            <w:tcW w:w="4121"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2D2F181" w14:textId="77777777" w:rsidR="00C41385" w:rsidRPr="00556151" w:rsidRDefault="00C41385" w:rsidP="00087224">
            <w:pPr>
              <w:spacing w:before="240"/>
              <w:jc w:val="center"/>
              <w:rPr>
                <w:rFonts w:ascii="Calibri" w:hAnsi="Calibri"/>
                <w:b/>
              </w:rPr>
            </w:pPr>
            <w:r w:rsidRPr="00556151">
              <w:rPr>
                <w:rFonts w:ascii="Calibri" w:hAnsi="Calibri"/>
                <w:b/>
              </w:rPr>
              <w:t>Category 1</w:t>
            </w:r>
            <w:r>
              <w:rPr>
                <w:rFonts w:ascii="Calibri" w:hAnsi="Calibri"/>
                <w:b/>
              </w:rPr>
              <w:t xml:space="preserve"> – Purchasing Card</w:t>
            </w:r>
          </w:p>
        </w:tc>
        <w:tc>
          <w:tcPr>
            <w:tcW w:w="1067" w:type="dxa"/>
            <w:tcBorders>
              <w:left w:val="single" w:sz="4" w:space="0" w:color="auto"/>
              <w:right w:val="single" w:sz="4" w:space="0" w:color="auto"/>
            </w:tcBorders>
          </w:tcPr>
          <w:p w14:paraId="5187C42B" w14:textId="77777777" w:rsidR="00C41385" w:rsidRDefault="00C41385" w:rsidP="00087224">
            <w:pPr>
              <w:spacing w:before="240"/>
              <w:jc w:val="both"/>
              <w:rPr>
                <w:rFonts w:ascii="Calibri" w:hAnsi="Calibri"/>
              </w:rPr>
            </w:pPr>
          </w:p>
        </w:tc>
        <w:tc>
          <w:tcPr>
            <w:tcW w:w="3502"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07D8B72" w14:textId="77777777" w:rsidR="00C41385" w:rsidRPr="00556151" w:rsidRDefault="00C41385" w:rsidP="00087224">
            <w:pPr>
              <w:spacing w:before="240"/>
              <w:jc w:val="center"/>
              <w:rPr>
                <w:rFonts w:ascii="Calibri" w:hAnsi="Calibri"/>
                <w:b/>
              </w:rPr>
            </w:pPr>
            <w:r w:rsidRPr="00556151">
              <w:rPr>
                <w:rFonts w:ascii="Calibri" w:hAnsi="Calibri"/>
                <w:b/>
              </w:rPr>
              <w:t>Category 2 – Fleet Card</w:t>
            </w:r>
          </w:p>
        </w:tc>
      </w:tr>
      <w:tr w:rsidR="00C41385" w14:paraId="095D1FC9" w14:textId="77777777" w:rsidTr="00087224">
        <w:trPr>
          <w:tblHeader/>
        </w:trPr>
        <w:tc>
          <w:tcPr>
            <w:tcW w:w="2141" w:type="dxa"/>
            <w:tcBorders>
              <w:top w:val="single" w:sz="4" w:space="0" w:color="auto"/>
              <w:left w:val="single" w:sz="4" w:space="0" w:color="auto"/>
              <w:bottom w:val="single" w:sz="4" w:space="0" w:color="auto"/>
              <w:right w:val="single" w:sz="4" w:space="0" w:color="auto"/>
            </w:tcBorders>
          </w:tcPr>
          <w:p w14:paraId="1283ED08" w14:textId="77777777" w:rsidR="00C41385" w:rsidRPr="00556151" w:rsidRDefault="00C41385" w:rsidP="00087224">
            <w:pPr>
              <w:spacing w:before="240"/>
              <w:jc w:val="both"/>
              <w:rPr>
                <w:rFonts w:ascii="Calibri" w:hAnsi="Calibri"/>
                <w:b/>
              </w:rPr>
            </w:pPr>
            <w:r w:rsidRPr="00556151">
              <w:rPr>
                <w:rFonts w:ascii="Calibri" w:hAnsi="Calibri"/>
                <w:b/>
              </w:rPr>
              <w:t>Rebate/Incentive Share Type</w:t>
            </w:r>
          </w:p>
        </w:tc>
        <w:tc>
          <w:tcPr>
            <w:tcW w:w="1980" w:type="dxa"/>
            <w:tcBorders>
              <w:top w:val="single" w:sz="4" w:space="0" w:color="auto"/>
              <w:left w:val="single" w:sz="4" w:space="0" w:color="auto"/>
              <w:bottom w:val="single" w:sz="4" w:space="0" w:color="auto"/>
              <w:right w:val="single" w:sz="4" w:space="0" w:color="auto"/>
            </w:tcBorders>
          </w:tcPr>
          <w:p w14:paraId="6A290958" w14:textId="77777777" w:rsidR="00C41385" w:rsidRPr="00556151" w:rsidRDefault="00C41385" w:rsidP="00087224">
            <w:pPr>
              <w:spacing w:before="240"/>
              <w:jc w:val="both"/>
              <w:rPr>
                <w:rFonts w:ascii="Calibri" w:hAnsi="Calibri"/>
                <w:b/>
              </w:rPr>
            </w:pPr>
            <w:r w:rsidRPr="00556151">
              <w:rPr>
                <w:rFonts w:ascii="Calibri" w:hAnsi="Calibri"/>
                <w:b/>
              </w:rPr>
              <w:t>Points Available</w:t>
            </w:r>
          </w:p>
        </w:tc>
        <w:tc>
          <w:tcPr>
            <w:tcW w:w="1067" w:type="dxa"/>
            <w:tcBorders>
              <w:left w:val="single" w:sz="4" w:space="0" w:color="auto"/>
              <w:right w:val="single" w:sz="4" w:space="0" w:color="auto"/>
            </w:tcBorders>
          </w:tcPr>
          <w:p w14:paraId="43587313" w14:textId="77777777" w:rsidR="00C41385" w:rsidRDefault="00C41385" w:rsidP="00087224">
            <w:pPr>
              <w:spacing w:before="240"/>
              <w:jc w:val="both"/>
              <w:rPr>
                <w:rFonts w:ascii="Calibri" w:hAnsi="Calibri"/>
              </w:rPr>
            </w:pPr>
          </w:p>
        </w:tc>
        <w:tc>
          <w:tcPr>
            <w:tcW w:w="1757" w:type="dxa"/>
            <w:tcBorders>
              <w:top w:val="single" w:sz="4" w:space="0" w:color="auto"/>
              <w:left w:val="single" w:sz="4" w:space="0" w:color="auto"/>
              <w:bottom w:val="single" w:sz="4" w:space="0" w:color="auto"/>
              <w:right w:val="single" w:sz="4" w:space="0" w:color="auto"/>
            </w:tcBorders>
          </w:tcPr>
          <w:p w14:paraId="33436E47" w14:textId="77777777" w:rsidR="00C41385" w:rsidRPr="00556151" w:rsidRDefault="00C41385" w:rsidP="00087224">
            <w:pPr>
              <w:spacing w:before="240"/>
              <w:jc w:val="both"/>
              <w:rPr>
                <w:rFonts w:ascii="Calibri" w:hAnsi="Calibri"/>
                <w:b/>
              </w:rPr>
            </w:pPr>
            <w:r w:rsidRPr="00556151">
              <w:rPr>
                <w:rFonts w:ascii="Calibri" w:hAnsi="Calibri"/>
                <w:b/>
              </w:rPr>
              <w:t>Rebate/Incentive Share Type</w:t>
            </w:r>
          </w:p>
        </w:tc>
        <w:tc>
          <w:tcPr>
            <w:tcW w:w="1745" w:type="dxa"/>
            <w:tcBorders>
              <w:top w:val="single" w:sz="4" w:space="0" w:color="auto"/>
              <w:left w:val="single" w:sz="4" w:space="0" w:color="auto"/>
              <w:bottom w:val="single" w:sz="4" w:space="0" w:color="auto"/>
              <w:right w:val="single" w:sz="4" w:space="0" w:color="auto"/>
            </w:tcBorders>
          </w:tcPr>
          <w:p w14:paraId="3CEA737C" w14:textId="77777777" w:rsidR="00C41385" w:rsidRPr="00556151" w:rsidRDefault="00C41385" w:rsidP="00087224">
            <w:pPr>
              <w:spacing w:before="240"/>
              <w:jc w:val="both"/>
              <w:rPr>
                <w:rFonts w:ascii="Calibri" w:hAnsi="Calibri"/>
                <w:b/>
              </w:rPr>
            </w:pPr>
            <w:r w:rsidRPr="00556151">
              <w:rPr>
                <w:rFonts w:ascii="Calibri" w:hAnsi="Calibri"/>
                <w:b/>
              </w:rPr>
              <w:t>Points Available</w:t>
            </w:r>
          </w:p>
        </w:tc>
      </w:tr>
      <w:tr w:rsidR="00C41385" w14:paraId="5FBB4DD9" w14:textId="77777777" w:rsidTr="00087224">
        <w:trPr>
          <w:tblHeader/>
        </w:trPr>
        <w:tc>
          <w:tcPr>
            <w:tcW w:w="2141" w:type="dxa"/>
            <w:tcBorders>
              <w:top w:val="single" w:sz="4" w:space="0" w:color="auto"/>
              <w:left w:val="single" w:sz="4" w:space="0" w:color="auto"/>
              <w:bottom w:val="single" w:sz="4" w:space="0" w:color="auto"/>
              <w:right w:val="single" w:sz="4" w:space="0" w:color="auto"/>
            </w:tcBorders>
          </w:tcPr>
          <w:p w14:paraId="54991D49" w14:textId="77777777" w:rsidR="00C41385" w:rsidRDefault="00C41385" w:rsidP="00087224">
            <w:pPr>
              <w:spacing w:before="240"/>
              <w:jc w:val="both"/>
              <w:rPr>
                <w:rFonts w:ascii="Calibri" w:hAnsi="Calibri"/>
              </w:rPr>
            </w:pPr>
            <w:r>
              <w:rPr>
                <w:rFonts w:ascii="Calibri" w:hAnsi="Calibri"/>
              </w:rPr>
              <w:t>Standard Volume</w:t>
            </w:r>
          </w:p>
        </w:tc>
        <w:tc>
          <w:tcPr>
            <w:tcW w:w="1980" w:type="dxa"/>
            <w:tcBorders>
              <w:top w:val="single" w:sz="4" w:space="0" w:color="auto"/>
              <w:left w:val="single" w:sz="4" w:space="0" w:color="auto"/>
              <w:bottom w:val="single" w:sz="4" w:space="0" w:color="auto"/>
              <w:right w:val="single" w:sz="4" w:space="0" w:color="auto"/>
            </w:tcBorders>
          </w:tcPr>
          <w:p w14:paraId="11056D5D" w14:textId="77777777" w:rsidR="00C41385" w:rsidRDefault="00C41385" w:rsidP="00087224">
            <w:pPr>
              <w:tabs>
                <w:tab w:val="center" w:pos="874"/>
              </w:tabs>
              <w:spacing w:before="240"/>
              <w:jc w:val="both"/>
              <w:rPr>
                <w:rFonts w:ascii="Calibri" w:hAnsi="Calibri"/>
              </w:rPr>
            </w:pPr>
            <w:r>
              <w:rPr>
                <w:rFonts w:ascii="Calibri" w:hAnsi="Calibri"/>
              </w:rPr>
              <w:t>250</w:t>
            </w:r>
          </w:p>
        </w:tc>
        <w:tc>
          <w:tcPr>
            <w:tcW w:w="1067" w:type="dxa"/>
            <w:tcBorders>
              <w:left w:val="single" w:sz="4" w:space="0" w:color="auto"/>
              <w:right w:val="single" w:sz="4" w:space="0" w:color="auto"/>
            </w:tcBorders>
          </w:tcPr>
          <w:p w14:paraId="18413538" w14:textId="77777777" w:rsidR="00C41385" w:rsidRDefault="00C41385" w:rsidP="00087224">
            <w:pPr>
              <w:spacing w:before="240"/>
              <w:jc w:val="both"/>
              <w:rPr>
                <w:rFonts w:ascii="Calibri" w:hAnsi="Calibri"/>
              </w:rPr>
            </w:pPr>
          </w:p>
        </w:tc>
        <w:tc>
          <w:tcPr>
            <w:tcW w:w="1757" w:type="dxa"/>
            <w:tcBorders>
              <w:top w:val="single" w:sz="4" w:space="0" w:color="auto"/>
              <w:left w:val="single" w:sz="4" w:space="0" w:color="auto"/>
              <w:bottom w:val="single" w:sz="4" w:space="0" w:color="auto"/>
              <w:right w:val="single" w:sz="4" w:space="0" w:color="auto"/>
            </w:tcBorders>
          </w:tcPr>
          <w:p w14:paraId="18A3742C" w14:textId="77777777" w:rsidR="00C41385" w:rsidRDefault="00C41385" w:rsidP="00087224">
            <w:pPr>
              <w:spacing w:before="240"/>
              <w:jc w:val="both"/>
              <w:rPr>
                <w:rFonts w:ascii="Calibri" w:hAnsi="Calibri"/>
              </w:rPr>
            </w:pPr>
            <w:r>
              <w:rPr>
                <w:rFonts w:ascii="Calibri" w:hAnsi="Calibri"/>
              </w:rPr>
              <w:t>Standard Volume</w:t>
            </w:r>
          </w:p>
        </w:tc>
        <w:tc>
          <w:tcPr>
            <w:tcW w:w="1745" w:type="dxa"/>
            <w:tcBorders>
              <w:top w:val="single" w:sz="4" w:space="0" w:color="auto"/>
              <w:left w:val="single" w:sz="4" w:space="0" w:color="auto"/>
              <w:bottom w:val="single" w:sz="4" w:space="0" w:color="auto"/>
              <w:right w:val="single" w:sz="4" w:space="0" w:color="auto"/>
            </w:tcBorders>
          </w:tcPr>
          <w:p w14:paraId="51AC72C2" w14:textId="77777777" w:rsidR="00C41385" w:rsidRDefault="00C41385" w:rsidP="00087224">
            <w:pPr>
              <w:spacing w:before="240"/>
              <w:jc w:val="both"/>
              <w:rPr>
                <w:rFonts w:ascii="Calibri" w:hAnsi="Calibri"/>
              </w:rPr>
            </w:pPr>
            <w:r>
              <w:rPr>
                <w:rFonts w:ascii="Calibri" w:hAnsi="Calibri"/>
              </w:rPr>
              <w:t>600</w:t>
            </w:r>
          </w:p>
        </w:tc>
      </w:tr>
      <w:tr w:rsidR="00C41385" w14:paraId="4B2C74B4" w14:textId="77777777" w:rsidTr="00087224">
        <w:trPr>
          <w:tblHeader/>
        </w:trPr>
        <w:tc>
          <w:tcPr>
            <w:tcW w:w="2141" w:type="dxa"/>
            <w:tcBorders>
              <w:top w:val="single" w:sz="4" w:space="0" w:color="auto"/>
              <w:left w:val="single" w:sz="4" w:space="0" w:color="auto"/>
              <w:bottom w:val="single" w:sz="4" w:space="0" w:color="auto"/>
              <w:right w:val="single" w:sz="4" w:space="0" w:color="auto"/>
            </w:tcBorders>
          </w:tcPr>
          <w:p w14:paraId="2FA661B6" w14:textId="77777777" w:rsidR="00C41385" w:rsidRDefault="00C41385" w:rsidP="00087224">
            <w:pPr>
              <w:spacing w:before="240"/>
              <w:rPr>
                <w:rFonts w:ascii="Calibri" w:hAnsi="Calibri"/>
              </w:rPr>
            </w:pPr>
            <w:r>
              <w:rPr>
                <w:rFonts w:ascii="Calibri" w:hAnsi="Calibri"/>
              </w:rPr>
              <w:t>Non-Standard Volume</w:t>
            </w:r>
          </w:p>
        </w:tc>
        <w:tc>
          <w:tcPr>
            <w:tcW w:w="1980" w:type="dxa"/>
            <w:tcBorders>
              <w:top w:val="single" w:sz="4" w:space="0" w:color="auto"/>
              <w:left w:val="single" w:sz="4" w:space="0" w:color="auto"/>
              <w:bottom w:val="single" w:sz="4" w:space="0" w:color="auto"/>
              <w:right w:val="single" w:sz="4" w:space="0" w:color="auto"/>
            </w:tcBorders>
          </w:tcPr>
          <w:p w14:paraId="1CFF61D4" w14:textId="77777777" w:rsidR="00C41385" w:rsidRDefault="00C41385" w:rsidP="00087224">
            <w:pPr>
              <w:spacing w:before="240"/>
              <w:jc w:val="both"/>
              <w:rPr>
                <w:rFonts w:ascii="Calibri" w:hAnsi="Calibri"/>
              </w:rPr>
            </w:pPr>
            <w:r>
              <w:rPr>
                <w:rFonts w:ascii="Calibri" w:hAnsi="Calibri"/>
              </w:rPr>
              <w:t>350</w:t>
            </w:r>
          </w:p>
        </w:tc>
        <w:tc>
          <w:tcPr>
            <w:tcW w:w="1067" w:type="dxa"/>
            <w:tcBorders>
              <w:left w:val="single" w:sz="4" w:space="0" w:color="auto"/>
              <w:right w:val="single" w:sz="4" w:space="0" w:color="auto"/>
            </w:tcBorders>
          </w:tcPr>
          <w:p w14:paraId="0C58CC46" w14:textId="77777777" w:rsidR="00C41385" w:rsidRDefault="00C41385" w:rsidP="00087224">
            <w:pPr>
              <w:spacing w:before="240"/>
              <w:jc w:val="both"/>
              <w:rPr>
                <w:rFonts w:ascii="Calibri" w:hAnsi="Calibri"/>
              </w:rPr>
            </w:pPr>
          </w:p>
        </w:tc>
        <w:tc>
          <w:tcPr>
            <w:tcW w:w="1757" w:type="dxa"/>
            <w:tcBorders>
              <w:top w:val="single" w:sz="4" w:space="0" w:color="auto"/>
              <w:left w:val="single" w:sz="4" w:space="0" w:color="auto"/>
              <w:bottom w:val="single" w:sz="4" w:space="0" w:color="auto"/>
              <w:right w:val="single" w:sz="4" w:space="0" w:color="auto"/>
            </w:tcBorders>
          </w:tcPr>
          <w:p w14:paraId="45A14D21" w14:textId="77777777" w:rsidR="00C41385" w:rsidRDefault="00C41385" w:rsidP="00087224">
            <w:pPr>
              <w:spacing w:before="240"/>
              <w:jc w:val="both"/>
              <w:rPr>
                <w:rFonts w:ascii="Calibri" w:hAnsi="Calibri"/>
              </w:rPr>
            </w:pPr>
            <w:r>
              <w:rPr>
                <w:rFonts w:ascii="Calibri" w:hAnsi="Calibri"/>
              </w:rPr>
              <w:t>Prompt Payment</w:t>
            </w:r>
          </w:p>
        </w:tc>
        <w:tc>
          <w:tcPr>
            <w:tcW w:w="1745" w:type="dxa"/>
            <w:tcBorders>
              <w:top w:val="single" w:sz="4" w:space="0" w:color="auto"/>
              <w:left w:val="single" w:sz="4" w:space="0" w:color="auto"/>
              <w:bottom w:val="single" w:sz="4" w:space="0" w:color="auto"/>
              <w:right w:val="single" w:sz="4" w:space="0" w:color="auto"/>
            </w:tcBorders>
          </w:tcPr>
          <w:p w14:paraId="5818D190" w14:textId="77777777" w:rsidR="00C41385" w:rsidRPr="009F49F9" w:rsidRDefault="00C41385" w:rsidP="00087224">
            <w:pPr>
              <w:spacing w:before="240"/>
              <w:jc w:val="both"/>
              <w:rPr>
                <w:rFonts w:ascii="Calibri" w:hAnsi="Calibri"/>
              </w:rPr>
            </w:pPr>
            <w:r>
              <w:rPr>
                <w:rFonts w:ascii="Calibri" w:hAnsi="Calibri"/>
              </w:rPr>
              <w:t>1</w:t>
            </w:r>
            <w:r w:rsidRPr="009F49F9">
              <w:rPr>
                <w:rFonts w:ascii="Calibri" w:hAnsi="Calibri"/>
              </w:rPr>
              <w:t>00</w:t>
            </w:r>
          </w:p>
        </w:tc>
      </w:tr>
      <w:tr w:rsidR="00C41385" w14:paraId="6F1E93B9" w14:textId="77777777" w:rsidTr="00087224">
        <w:trPr>
          <w:tblHeader/>
        </w:trPr>
        <w:tc>
          <w:tcPr>
            <w:tcW w:w="2141" w:type="dxa"/>
            <w:tcBorders>
              <w:top w:val="single" w:sz="4" w:space="0" w:color="auto"/>
              <w:left w:val="single" w:sz="4" w:space="0" w:color="auto"/>
              <w:bottom w:val="single" w:sz="4" w:space="0" w:color="auto"/>
              <w:right w:val="single" w:sz="4" w:space="0" w:color="auto"/>
            </w:tcBorders>
          </w:tcPr>
          <w:p w14:paraId="0385ECBE" w14:textId="77777777" w:rsidR="00C41385" w:rsidRDefault="00C41385" w:rsidP="00087224">
            <w:pPr>
              <w:spacing w:before="240"/>
              <w:jc w:val="both"/>
              <w:rPr>
                <w:rFonts w:ascii="Calibri" w:hAnsi="Calibri"/>
              </w:rPr>
            </w:pPr>
            <w:r>
              <w:rPr>
                <w:rFonts w:ascii="Calibri" w:hAnsi="Calibri"/>
              </w:rPr>
              <w:t>Prompt Payment</w:t>
            </w:r>
          </w:p>
        </w:tc>
        <w:tc>
          <w:tcPr>
            <w:tcW w:w="1980" w:type="dxa"/>
            <w:tcBorders>
              <w:top w:val="single" w:sz="4" w:space="0" w:color="auto"/>
              <w:left w:val="single" w:sz="4" w:space="0" w:color="auto"/>
              <w:bottom w:val="single" w:sz="4" w:space="0" w:color="auto"/>
              <w:right w:val="single" w:sz="4" w:space="0" w:color="auto"/>
            </w:tcBorders>
          </w:tcPr>
          <w:p w14:paraId="43D7F636" w14:textId="77777777" w:rsidR="00C41385" w:rsidRDefault="00C41385" w:rsidP="00087224">
            <w:pPr>
              <w:spacing w:before="240"/>
              <w:jc w:val="both"/>
              <w:rPr>
                <w:rFonts w:ascii="Calibri" w:hAnsi="Calibri"/>
              </w:rPr>
            </w:pPr>
            <w:r>
              <w:rPr>
                <w:rFonts w:ascii="Calibri" w:hAnsi="Calibri"/>
              </w:rPr>
              <w:t>100</w:t>
            </w:r>
          </w:p>
        </w:tc>
        <w:tc>
          <w:tcPr>
            <w:tcW w:w="1067" w:type="dxa"/>
            <w:tcBorders>
              <w:left w:val="single" w:sz="4" w:space="0" w:color="auto"/>
              <w:right w:val="single" w:sz="4" w:space="0" w:color="auto"/>
            </w:tcBorders>
          </w:tcPr>
          <w:p w14:paraId="4F0D5081" w14:textId="77777777" w:rsidR="00C41385" w:rsidRDefault="00C41385" w:rsidP="00087224">
            <w:pPr>
              <w:spacing w:before="240"/>
              <w:jc w:val="both"/>
              <w:rPr>
                <w:rFonts w:ascii="Calibri" w:hAnsi="Calibri"/>
              </w:rPr>
            </w:pPr>
          </w:p>
        </w:tc>
        <w:tc>
          <w:tcPr>
            <w:tcW w:w="1757" w:type="dxa"/>
            <w:tcBorders>
              <w:top w:val="single" w:sz="4" w:space="0" w:color="auto"/>
              <w:left w:val="single" w:sz="4" w:space="0" w:color="auto"/>
              <w:bottom w:val="single" w:sz="4" w:space="0" w:color="auto"/>
              <w:right w:val="single" w:sz="4" w:space="0" w:color="auto"/>
            </w:tcBorders>
          </w:tcPr>
          <w:p w14:paraId="4CD64B5D" w14:textId="77777777" w:rsidR="00C41385" w:rsidRDefault="00C41385" w:rsidP="00087224">
            <w:pPr>
              <w:spacing w:before="240"/>
              <w:jc w:val="both"/>
              <w:rPr>
                <w:rFonts w:ascii="Calibri" w:hAnsi="Calibri"/>
              </w:rPr>
            </w:pPr>
            <w:r w:rsidRPr="009F49F9">
              <w:rPr>
                <w:rFonts w:ascii="Calibri" w:hAnsi="Calibri"/>
              </w:rPr>
              <w:t xml:space="preserve">National </w:t>
            </w:r>
            <w:r>
              <w:rPr>
                <w:rFonts w:ascii="Calibri" w:hAnsi="Calibri"/>
              </w:rPr>
              <w:t xml:space="preserve">Annual </w:t>
            </w:r>
            <w:r w:rsidRPr="009F49F9">
              <w:rPr>
                <w:rFonts w:ascii="Calibri" w:hAnsi="Calibri"/>
              </w:rPr>
              <w:t>Volume</w:t>
            </w:r>
          </w:p>
        </w:tc>
        <w:tc>
          <w:tcPr>
            <w:tcW w:w="1745" w:type="dxa"/>
            <w:tcBorders>
              <w:top w:val="single" w:sz="4" w:space="0" w:color="auto"/>
              <w:left w:val="single" w:sz="4" w:space="0" w:color="auto"/>
              <w:bottom w:val="single" w:sz="4" w:space="0" w:color="auto"/>
              <w:right w:val="single" w:sz="4" w:space="0" w:color="auto"/>
            </w:tcBorders>
          </w:tcPr>
          <w:p w14:paraId="54161B35" w14:textId="77777777" w:rsidR="00C41385" w:rsidRPr="009F49F9" w:rsidRDefault="00C41385" w:rsidP="00087224">
            <w:pPr>
              <w:spacing w:before="240"/>
              <w:jc w:val="both"/>
              <w:rPr>
                <w:rFonts w:ascii="Calibri" w:hAnsi="Calibri"/>
              </w:rPr>
            </w:pPr>
            <w:r>
              <w:rPr>
                <w:rFonts w:ascii="Calibri" w:hAnsi="Calibri"/>
              </w:rPr>
              <w:t>10</w:t>
            </w:r>
            <w:r w:rsidRPr="009F49F9">
              <w:rPr>
                <w:rFonts w:ascii="Calibri" w:hAnsi="Calibri"/>
              </w:rPr>
              <w:t>0</w:t>
            </w:r>
          </w:p>
        </w:tc>
      </w:tr>
      <w:tr w:rsidR="00C41385" w14:paraId="66F2E519" w14:textId="77777777" w:rsidTr="00087224">
        <w:trPr>
          <w:trHeight w:val="70"/>
          <w:tblHeader/>
        </w:trPr>
        <w:tc>
          <w:tcPr>
            <w:tcW w:w="2141" w:type="dxa"/>
            <w:tcBorders>
              <w:top w:val="single" w:sz="4" w:space="0" w:color="auto"/>
              <w:left w:val="single" w:sz="4" w:space="0" w:color="auto"/>
              <w:bottom w:val="single" w:sz="4" w:space="0" w:color="auto"/>
              <w:right w:val="single" w:sz="4" w:space="0" w:color="auto"/>
            </w:tcBorders>
          </w:tcPr>
          <w:p w14:paraId="03160763" w14:textId="77777777" w:rsidR="00C41385" w:rsidRPr="009F49F9" w:rsidRDefault="00C41385" w:rsidP="00087224">
            <w:pPr>
              <w:spacing w:before="240"/>
              <w:rPr>
                <w:rFonts w:ascii="Calibri" w:hAnsi="Calibri"/>
              </w:rPr>
            </w:pPr>
            <w:r w:rsidRPr="009F49F9">
              <w:rPr>
                <w:rFonts w:ascii="Calibri" w:hAnsi="Calibri"/>
              </w:rPr>
              <w:t xml:space="preserve">National </w:t>
            </w:r>
            <w:r>
              <w:rPr>
                <w:rFonts w:ascii="Calibri" w:hAnsi="Calibri"/>
              </w:rPr>
              <w:t xml:space="preserve">Annual </w:t>
            </w:r>
            <w:r w:rsidRPr="009F49F9">
              <w:rPr>
                <w:rFonts w:ascii="Calibri" w:hAnsi="Calibri"/>
              </w:rPr>
              <w:t>Volume</w:t>
            </w:r>
          </w:p>
        </w:tc>
        <w:tc>
          <w:tcPr>
            <w:tcW w:w="1980" w:type="dxa"/>
            <w:tcBorders>
              <w:top w:val="single" w:sz="4" w:space="0" w:color="auto"/>
              <w:left w:val="single" w:sz="4" w:space="0" w:color="auto"/>
              <w:bottom w:val="single" w:sz="4" w:space="0" w:color="auto"/>
              <w:right w:val="single" w:sz="4" w:space="0" w:color="auto"/>
            </w:tcBorders>
          </w:tcPr>
          <w:p w14:paraId="7F261915" w14:textId="77777777" w:rsidR="00C41385" w:rsidRPr="009F49F9" w:rsidRDefault="00C41385" w:rsidP="00087224">
            <w:pPr>
              <w:spacing w:before="240"/>
              <w:jc w:val="both"/>
              <w:rPr>
                <w:rFonts w:ascii="Calibri" w:hAnsi="Calibri"/>
              </w:rPr>
            </w:pPr>
            <w:r>
              <w:rPr>
                <w:rFonts w:ascii="Calibri" w:hAnsi="Calibri"/>
              </w:rPr>
              <w:t>10</w:t>
            </w:r>
            <w:r w:rsidRPr="009F49F9">
              <w:rPr>
                <w:rFonts w:ascii="Calibri" w:hAnsi="Calibri"/>
              </w:rPr>
              <w:t>0</w:t>
            </w:r>
          </w:p>
        </w:tc>
        <w:tc>
          <w:tcPr>
            <w:tcW w:w="1067" w:type="dxa"/>
            <w:tcBorders>
              <w:left w:val="single" w:sz="4" w:space="0" w:color="auto"/>
            </w:tcBorders>
          </w:tcPr>
          <w:p w14:paraId="739D3CB4" w14:textId="77777777" w:rsidR="00C41385" w:rsidRDefault="00C41385" w:rsidP="00087224">
            <w:pPr>
              <w:spacing w:before="240"/>
              <w:jc w:val="both"/>
              <w:rPr>
                <w:rFonts w:ascii="Calibri" w:hAnsi="Calibri"/>
              </w:rPr>
            </w:pPr>
          </w:p>
        </w:tc>
        <w:tc>
          <w:tcPr>
            <w:tcW w:w="1757" w:type="dxa"/>
            <w:tcBorders>
              <w:top w:val="single" w:sz="4" w:space="0" w:color="auto"/>
            </w:tcBorders>
          </w:tcPr>
          <w:p w14:paraId="722EC2E5" w14:textId="77777777" w:rsidR="00C41385" w:rsidRDefault="00C41385" w:rsidP="00087224">
            <w:pPr>
              <w:spacing w:before="240"/>
              <w:jc w:val="both"/>
              <w:rPr>
                <w:rFonts w:ascii="Calibri" w:hAnsi="Calibri"/>
              </w:rPr>
            </w:pPr>
          </w:p>
        </w:tc>
        <w:tc>
          <w:tcPr>
            <w:tcW w:w="1745" w:type="dxa"/>
            <w:tcBorders>
              <w:top w:val="single" w:sz="4" w:space="0" w:color="auto"/>
            </w:tcBorders>
          </w:tcPr>
          <w:p w14:paraId="06F7AEA0" w14:textId="77777777" w:rsidR="00C41385" w:rsidRDefault="00C41385" w:rsidP="00087224">
            <w:pPr>
              <w:spacing w:before="240"/>
              <w:jc w:val="both"/>
              <w:rPr>
                <w:rFonts w:ascii="Calibri" w:hAnsi="Calibri"/>
              </w:rPr>
            </w:pPr>
          </w:p>
        </w:tc>
      </w:tr>
    </w:tbl>
    <w:p w14:paraId="0F4BDA09" w14:textId="77777777" w:rsidR="00C41385" w:rsidRDefault="00C41385" w:rsidP="00C41385">
      <w:pPr>
        <w:spacing w:before="240"/>
        <w:ind w:left="734"/>
        <w:jc w:val="both"/>
        <w:rPr>
          <w:rFonts w:ascii="Calibri" w:hAnsi="Calibri"/>
        </w:rPr>
      </w:pPr>
      <w:r w:rsidRPr="008460D2">
        <w:rPr>
          <w:rFonts w:ascii="Calibri" w:hAnsi="Calibri"/>
        </w:rPr>
        <w:lastRenderedPageBreak/>
        <w:t>Bidder charging the highest foreign transaction fee will be assessed a ten (10) point deduction. Other bidders, charging lower foreign transaction fees, will be assessed proportionately smaller point deductions.</w:t>
      </w:r>
    </w:p>
    <w:p w14:paraId="6BF83899" w14:textId="77777777" w:rsidR="00C41385" w:rsidRPr="00556151" w:rsidRDefault="00C41385" w:rsidP="00C41385">
      <w:pPr>
        <w:spacing w:before="240"/>
        <w:ind w:left="734"/>
        <w:jc w:val="both"/>
        <w:rPr>
          <w:rFonts w:ascii="Calibri" w:hAnsi="Calibri"/>
        </w:rPr>
      </w:pPr>
      <w:r w:rsidRPr="008460D2">
        <w:rPr>
          <w:rFonts w:ascii="Calibri" w:hAnsi="Calibri"/>
        </w:rPr>
        <w:t>Bidder charging the highest overnight delivery fee will be assessed a ten (10) point deduction. Other bidders, charging lower overnight delivery fees, will be assessed proportionately smaller point deductions.</w:t>
      </w:r>
      <w:r>
        <w:rPr>
          <w:rFonts w:ascii="Calibri" w:hAnsi="Calibri"/>
        </w:rPr>
        <w:tab/>
      </w:r>
      <w:r w:rsidRPr="008460D2">
        <w:rPr>
          <w:rFonts w:ascii="Calibri" w:hAnsi="Calibri"/>
        </w:rPr>
        <w:br/>
      </w:r>
      <w:r w:rsidRPr="008460D2">
        <w:rPr>
          <w:rFonts w:ascii="Calibri" w:hAnsi="Calibri"/>
        </w:rPr>
        <w:br/>
        <w:t>Scores for Rebate/Incentive share will be determined by adding together the total points earned for each rebate/incentive share type and subtracting any point deductions assessed based on fees charged.</w:t>
      </w:r>
      <w:r>
        <w:rPr>
          <w:rFonts w:ascii="Calibri" w:hAnsi="Calibri"/>
        </w:rPr>
        <w:t xml:space="preserve"> </w:t>
      </w:r>
    </w:p>
    <w:p w14:paraId="26F7E2DB" w14:textId="570C395D" w:rsidR="003F7EF6" w:rsidRDefault="003F7EF6" w:rsidP="00CB4A31"/>
    <w:p w14:paraId="0B0192B5" w14:textId="16362664" w:rsidR="003F7EF6" w:rsidRDefault="003F7EF6" w:rsidP="00CB4A31"/>
    <w:p w14:paraId="20845222" w14:textId="5FE0DDF2" w:rsidR="00DF37C0" w:rsidRDefault="00880A69" w:rsidP="00CB4A31">
      <w:pPr>
        <w:rPr>
          <w:rFonts w:cs="Arial"/>
        </w:rPr>
      </w:pPr>
      <w:r>
        <w:rPr>
          <w:rFonts w:cs="Arial"/>
        </w:rPr>
        <w:t>A</w:t>
      </w:r>
      <w:r w:rsidR="00DF37C0">
        <w:rPr>
          <w:rFonts w:cs="Arial"/>
        </w:rPr>
        <w:t xml:space="preserve">ny additional questions regarding this solicitation must be </w:t>
      </w:r>
      <w:r w:rsidR="00CD2BEE">
        <w:rPr>
          <w:rFonts w:cs="Arial"/>
        </w:rPr>
        <w:t>directed to the Procurement Coordinator listed below.</w:t>
      </w:r>
    </w:p>
    <w:p w14:paraId="0F4FAD6F" w14:textId="77777777" w:rsidR="00CD2BEE" w:rsidRDefault="00CD2BEE" w:rsidP="00CB4A31">
      <w:pPr>
        <w:rPr>
          <w:rFonts w:cs="Arial"/>
        </w:rPr>
      </w:pPr>
    </w:p>
    <w:p w14:paraId="77F85861" w14:textId="77777777" w:rsidR="00880A69" w:rsidRDefault="001E6D28" w:rsidP="00CB4A31">
      <w:pPr>
        <w:rPr>
          <w:rFonts w:cs="Arial"/>
        </w:rPr>
      </w:pPr>
      <w:r>
        <w:rPr>
          <w:rFonts w:cs="Arial"/>
        </w:rPr>
        <w:t>Roni Field</w:t>
      </w:r>
    </w:p>
    <w:p w14:paraId="123F5FE9" w14:textId="77777777" w:rsidR="00880A69" w:rsidRDefault="001E6D28" w:rsidP="00CB4A31">
      <w:pPr>
        <w:rPr>
          <w:rFonts w:cs="Arial"/>
        </w:rPr>
      </w:pPr>
      <w:r>
        <w:rPr>
          <w:rFonts w:cs="Arial"/>
        </w:rPr>
        <w:t>360.407.7949</w:t>
      </w:r>
    </w:p>
    <w:p w14:paraId="51FEEE02" w14:textId="0B2092D5" w:rsidR="004230EA" w:rsidRPr="00956B86" w:rsidRDefault="001E6D28" w:rsidP="00CB4A31">
      <w:pPr>
        <w:rPr>
          <w:rFonts w:cs="Arial"/>
        </w:rPr>
      </w:pPr>
      <w:r>
        <w:rPr>
          <w:rFonts w:cs="Arial"/>
        </w:rPr>
        <w:t>veronica.field@des.wa.gov</w:t>
      </w:r>
    </w:p>
    <w:sectPr w:rsidR="004230EA" w:rsidRPr="00956B86" w:rsidSect="0001582E">
      <w:footerReference w:type="default" r:id="rId11"/>
      <w:headerReference w:type="first" r:id="rId12"/>
      <w:footerReference w:type="first" r:id="rId13"/>
      <w:pgSz w:w="12240" w:h="15840" w:code="1"/>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B0A44" w14:textId="77777777" w:rsidR="00F57C03" w:rsidRDefault="00F57C03" w:rsidP="0030407E">
      <w:r>
        <w:separator/>
      </w:r>
    </w:p>
  </w:endnote>
  <w:endnote w:type="continuationSeparator" w:id="0">
    <w:p w14:paraId="5D85C771" w14:textId="77777777" w:rsidR="00F57C03" w:rsidRDefault="00F57C03" w:rsidP="0030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461A9" w14:textId="77777777" w:rsidR="00F57C03" w:rsidRDefault="00F57C03" w:rsidP="00B67374">
    <w:pPr>
      <w:pStyle w:val="Footer"/>
      <w:jc w:val="right"/>
    </w:pPr>
  </w:p>
  <w:p w14:paraId="0C5CB6BC" w14:textId="328086A3" w:rsidR="00C41385" w:rsidRPr="00C41385" w:rsidRDefault="00C41385" w:rsidP="00C41385">
    <w:pPr>
      <w:pStyle w:val="Footer"/>
    </w:pPr>
    <w:r w:rsidRPr="00C41385">
      <w:t>Solicitation No. 00719/00819 –</w:t>
    </w:r>
    <w:proofErr w:type="spellStart"/>
    <w:r w:rsidRPr="00C41385">
      <w:t>Amd</w:t>
    </w:r>
    <w:proofErr w:type="spellEnd"/>
    <w:r w:rsidRPr="00C41385">
      <w:t xml:space="preserve"> #7</w:t>
    </w:r>
    <w:r w:rsidRPr="00C41385">
      <w:tab/>
    </w:r>
    <w:sdt>
      <w:sdtPr>
        <w:id w:val="-1502036949"/>
        <w:docPartObj>
          <w:docPartGallery w:val="Page Numbers (Top of Page)"/>
          <w:docPartUnique/>
        </w:docPartObj>
      </w:sdtPr>
      <w:sdtEndPr/>
      <w:sdtContent>
        <w:r w:rsidRPr="00C41385">
          <w:tab/>
          <w:t xml:space="preserve">Page </w:t>
        </w:r>
        <w:r w:rsidRPr="00C41385">
          <w:rPr>
            <w:b/>
            <w:bCs/>
            <w:sz w:val="24"/>
            <w:szCs w:val="24"/>
          </w:rPr>
          <w:fldChar w:fldCharType="begin"/>
        </w:r>
        <w:r w:rsidRPr="00C41385">
          <w:rPr>
            <w:b/>
            <w:bCs/>
          </w:rPr>
          <w:instrText xml:space="preserve"> PAGE </w:instrText>
        </w:r>
        <w:r w:rsidRPr="00C41385">
          <w:rPr>
            <w:b/>
            <w:bCs/>
            <w:sz w:val="24"/>
            <w:szCs w:val="24"/>
          </w:rPr>
          <w:fldChar w:fldCharType="separate"/>
        </w:r>
        <w:r w:rsidR="00FD775C">
          <w:rPr>
            <w:b/>
            <w:bCs/>
            <w:noProof/>
          </w:rPr>
          <w:t>2</w:t>
        </w:r>
        <w:r w:rsidRPr="00C41385">
          <w:rPr>
            <w:b/>
            <w:bCs/>
            <w:sz w:val="24"/>
            <w:szCs w:val="24"/>
          </w:rPr>
          <w:fldChar w:fldCharType="end"/>
        </w:r>
        <w:r w:rsidRPr="00C41385">
          <w:t xml:space="preserve"> of </w:t>
        </w:r>
        <w:r w:rsidRPr="00C41385">
          <w:rPr>
            <w:b/>
            <w:bCs/>
            <w:sz w:val="24"/>
            <w:szCs w:val="24"/>
          </w:rPr>
          <w:fldChar w:fldCharType="begin"/>
        </w:r>
        <w:r w:rsidRPr="00C41385">
          <w:rPr>
            <w:b/>
            <w:bCs/>
          </w:rPr>
          <w:instrText xml:space="preserve"> NUMPAGES  </w:instrText>
        </w:r>
        <w:r w:rsidRPr="00C41385">
          <w:rPr>
            <w:b/>
            <w:bCs/>
            <w:sz w:val="24"/>
            <w:szCs w:val="24"/>
          </w:rPr>
          <w:fldChar w:fldCharType="separate"/>
        </w:r>
        <w:r w:rsidR="00FD775C">
          <w:rPr>
            <w:b/>
            <w:bCs/>
            <w:noProof/>
          </w:rPr>
          <w:t>2</w:t>
        </w:r>
        <w:r w:rsidRPr="00C41385">
          <w:rPr>
            <w:b/>
            <w:bCs/>
            <w:sz w:val="24"/>
            <w:szCs w:val="24"/>
          </w:rPr>
          <w:fldChar w:fldCharType="end"/>
        </w:r>
      </w:sdtContent>
    </w:sdt>
  </w:p>
  <w:p w14:paraId="6D8E7FCC" w14:textId="6C5EA34C" w:rsidR="00F57C03" w:rsidRPr="00B67374" w:rsidRDefault="00C41385" w:rsidP="00C41385">
    <w:pPr>
      <w:pStyle w:val="Footer"/>
    </w:pPr>
    <w:r w:rsidRPr="00C41385">
      <w:t>(7-14-2019)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F6C31" w14:textId="77777777" w:rsidR="00F57C03" w:rsidRDefault="00F57C03">
    <w:pPr>
      <w:pStyle w:val="Footer"/>
      <w:jc w:val="right"/>
    </w:pPr>
  </w:p>
  <w:p w14:paraId="50E65FA1" w14:textId="19C07988" w:rsidR="00F57C03" w:rsidRPr="00C41385" w:rsidRDefault="00F57C03" w:rsidP="00C41385">
    <w:pPr>
      <w:pStyle w:val="Footer"/>
    </w:pPr>
    <w:r w:rsidRPr="00C41385">
      <w:t>Solicitation No. 00719/00819 –</w:t>
    </w:r>
    <w:proofErr w:type="spellStart"/>
    <w:r w:rsidR="00C41385" w:rsidRPr="00C41385">
      <w:t>Amd</w:t>
    </w:r>
    <w:proofErr w:type="spellEnd"/>
    <w:r w:rsidR="00C41385" w:rsidRPr="00C41385">
      <w:t xml:space="preserve"> #7</w:t>
    </w:r>
    <w:r w:rsidRPr="00C41385">
      <w:tab/>
    </w:r>
    <w:sdt>
      <w:sdtPr>
        <w:id w:val="-1769616900"/>
        <w:docPartObj>
          <w:docPartGallery w:val="Page Numbers (Top of Page)"/>
          <w:docPartUnique/>
        </w:docPartObj>
      </w:sdtPr>
      <w:sdtEndPr/>
      <w:sdtContent>
        <w:r w:rsidR="00C41385" w:rsidRPr="00C41385">
          <w:tab/>
        </w:r>
        <w:r w:rsidRPr="00C41385">
          <w:t xml:space="preserve">Page </w:t>
        </w:r>
        <w:r w:rsidRPr="00C41385">
          <w:rPr>
            <w:b/>
            <w:bCs/>
            <w:sz w:val="24"/>
            <w:szCs w:val="24"/>
          </w:rPr>
          <w:fldChar w:fldCharType="begin"/>
        </w:r>
        <w:r w:rsidRPr="00C41385">
          <w:rPr>
            <w:b/>
            <w:bCs/>
          </w:rPr>
          <w:instrText xml:space="preserve"> PAGE </w:instrText>
        </w:r>
        <w:r w:rsidRPr="00C41385">
          <w:rPr>
            <w:b/>
            <w:bCs/>
            <w:sz w:val="24"/>
            <w:szCs w:val="24"/>
          </w:rPr>
          <w:fldChar w:fldCharType="separate"/>
        </w:r>
        <w:r w:rsidR="00FD775C">
          <w:rPr>
            <w:b/>
            <w:bCs/>
            <w:noProof/>
          </w:rPr>
          <w:t>1</w:t>
        </w:r>
        <w:r w:rsidRPr="00C41385">
          <w:rPr>
            <w:b/>
            <w:bCs/>
            <w:sz w:val="24"/>
            <w:szCs w:val="24"/>
          </w:rPr>
          <w:fldChar w:fldCharType="end"/>
        </w:r>
        <w:r w:rsidRPr="00C41385">
          <w:t xml:space="preserve"> of </w:t>
        </w:r>
        <w:r w:rsidRPr="00C41385">
          <w:rPr>
            <w:b/>
            <w:bCs/>
            <w:sz w:val="24"/>
            <w:szCs w:val="24"/>
          </w:rPr>
          <w:fldChar w:fldCharType="begin"/>
        </w:r>
        <w:r w:rsidRPr="00C41385">
          <w:rPr>
            <w:b/>
            <w:bCs/>
          </w:rPr>
          <w:instrText xml:space="preserve"> NUMPAGES  </w:instrText>
        </w:r>
        <w:r w:rsidRPr="00C41385">
          <w:rPr>
            <w:b/>
            <w:bCs/>
            <w:sz w:val="24"/>
            <w:szCs w:val="24"/>
          </w:rPr>
          <w:fldChar w:fldCharType="separate"/>
        </w:r>
        <w:r w:rsidR="00FD775C">
          <w:rPr>
            <w:b/>
            <w:bCs/>
            <w:noProof/>
          </w:rPr>
          <w:t>2</w:t>
        </w:r>
        <w:r w:rsidRPr="00C41385">
          <w:rPr>
            <w:b/>
            <w:bCs/>
            <w:sz w:val="24"/>
            <w:szCs w:val="24"/>
          </w:rPr>
          <w:fldChar w:fldCharType="end"/>
        </w:r>
      </w:sdtContent>
    </w:sdt>
  </w:p>
  <w:p w14:paraId="6D9F5D15" w14:textId="33469041" w:rsidR="00F57C03" w:rsidRDefault="00C41385" w:rsidP="00AE2969">
    <w:pPr>
      <w:pStyle w:val="Footer"/>
    </w:pPr>
    <w:r w:rsidRPr="00C41385">
      <w:t>(7</w:t>
    </w:r>
    <w:r w:rsidR="00F57C03" w:rsidRPr="00C41385">
      <w:t>-</w:t>
    </w:r>
    <w:r w:rsidRPr="00C41385">
      <w:t>14</w:t>
    </w:r>
    <w:r w:rsidR="00F57C03" w:rsidRPr="00C41385">
      <w:t>-2019)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37BA9" w14:textId="77777777" w:rsidR="00F57C03" w:rsidRDefault="00F57C03" w:rsidP="0030407E">
      <w:r>
        <w:separator/>
      </w:r>
    </w:p>
  </w:footnote>
  <w:footnote w:type="continuationSeparator" w:id="0">
    <w:p w14:paraId="41FBE633" w14:textId="77777777" w:rsidR="00F57C03" w:rsidRDefault="00F57C03" w:rsidP="00304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A8A81" w14:textId="77777777" w:rsidR="00F57C03" w:rsidRDefault="00F57C03" w:rsidP="0030407E">
    <w:pPr>
      <w:pStyle w:val="Header"/>
    </w:pPr>
    <w:r>
      <w:rPr>
        <w:noProof/>
        <w:lang w:bidi="ar-SA"/>
      </w:rPr>
      <w:drawing>
        <wp:inline distT="0" distB="0" distL="0" distR="0" wp14:anchorId="7289EFBF" wp14:editId="1F2BF2AC">
          <wp:extent cx="2257425" cy="380160"/>
          <wp:effectExtent l="0" t="0" r="0" b="1270"/>
          <wp:docPr id="12" name="Picture 2" descr="DES Logo" title="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reen.png"/>
                  <pic:cNvPicPr/>
                </pic:nvPicPr>
                <pic:blipFill>
                  <a:blip r:embed="rId1"/>
                  <a:stretch>
                    <a:fillRect/>
                  </a:stretch>
                </pic:blipFill>
                <pic:spPr>
                  <a:xfrm>
                    <a:off x="0" y="0"/>
                    <a:ext cx="2267925" cy="3819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4148"/>
    <w:multiLevelType w:val="hybridMultilevel"/>
    <w:tmpl w:val="C75CA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C7B2B"/>
    <w:multiLevelType w:val="hybridMultilevel"/>
    <w:tmpl w:val="5E066BFE"/>
    <w:lvl w:ilvl="0" w:tplc="DDC445A6">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3AC6662"/>
    <w:multiLevelType w:val="hybridMultilevel"/>
    <w:tmpl w:val="B4629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4E2F8F"/>
    <w:multiLevelType w:val="hybridMultilevel"/>
    <w:tmpl w:val="784A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03438"/>
    <w:multiLevelType w:val="multilevel"/>
    <w:tmpl w:val="1A908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503CAA"/>
    <w:multiLevelType w:val="hybridMultilevel"/>
    <w:tmpl w:val="361ADA16"/>
    <w:lvl w:ilvl="0" w:tplc="701C4F22">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CE0131"/>
    <w:multiLevelType w:val="hybridMultilevel"/>
    <w:tmpl w:val="55FE8506"/>
    <w:lvl w:ilvl="0" w:tplc="767AC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B3D20"/>
    <w:multiLevelType w:val="hybridMultilevel"/>
    <w:tmpl w:val="5DCA6D54"/>
    <w:lvl w:ilvl="0" w:tplc="C2BC5A2E">
      <w:start w:val="1"/>
      <w:numFmt w:val="bullet"/>
      <w:lvlText w:val=""/>
      <w:lvlJc w:val="left"/>
      <w:pPr>
        <w:ind w:left="720" w:hanging="360"/>
      </w:pPr>
      <w:rPr>
        <w:rFonts w:ascii="Wingdings" w:hAnsi="Wingdings" w:hint="default"/>
        <w:color w:val="auto"/>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95402"/>
    <w:multiLevelType w:val="multilevel"/>
    <w:tmpl w:val="4636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BC0C5C"/>
    <w:multiLevelType w:val="hybridMultilevel"/>
    <w:tmpl w:val="581CC5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FD41AA1"/>
    <w:multiLevelType w:val="hybridMultilevel"/>
    <w:tmpl w:val="7AD6C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40B50"/>
    <w:multiLevelType w:val="hybridMultilevel"/>
    <w:tmpl w:val="D2EC48D0"/>
    <w:lvl w:ilvl="0" w:tplc="1D4068D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12418"/>
    <w:multiLevelType w:val="hybridMultilevel"/>
    <w:tmpl w:val="69E28AC8"/>
    <w:lvl w:ilvl="0" w:tplc="D122AFA2">
      <w:start w:val="8"/>
      <w:numFmt w:val="decimal"/>
      <w:lvlText w:val="4.%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EE7F29"/>
    <w:multiLevelType w:val="hybridMultilevel"/>
    <w:tmpl w:val="0CB49D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137D38"/>
    <w:multiLevelType w:val="hybridMultilevel"/>
    <w:tmpl w:val="C0CE4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BA489D"/>
    <w:multiLevelType w:val="hybridMultilevel"/>
    <w:tmpl w:val="8618B5A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076BD5"/>
    <w:multiLevelType w:val="hybridMultilevel"/>
    <w:tmpl w:val="547C7E6A"/>
    <w:lvl w:ilvl="0" w:tplc="D6AC34A2">
      <w:start w:val="1"/>
      <w:numFmt w:val="decimal"/>
      <w:pStyle w:val="USBQuestio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F10720"/>
    <w:multiLevelType w:val="hybridMultilevel"/>
    <w:tmpl w:val="2130985E"/>
    <w:lvl w:ilvl="0" w:tplc="46E887A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E71143"/>
    <w:multiLevelType w:val="hybridMultilevel"/>
    <w:tmpl w:val="CF5A4A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6C406B0"/>
    <w:multiLevelType w:val="hybridMultilevel"/>
    <w:tmpl w:val="27960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834BF2"/>
    <w:multiLevelType w:val="multilevel"/>
    <w:tmpl w:val="7EE20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4B2C31"/>
    <w:multiLevelType w:val="hybridMultilevel"/>
    <w:tmpl w:val="3B92C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7A4927"/>
    <w:multiLevelType w:val="hybridMultilevel"/>
    <w:tmpl w:val="3C34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23F5E"/>
    <w:multiLevelType w:val="hybridMultilevel"/>
    <w:tmpl w:val="833054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9D1CFC"/>
    <w:multiLevelType w:val="hybridMultilevel"/>
    <w:tmpl w:val="5D6A3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3295"/>
    <w:multiLevelType w:val="hybridMultilevel"/>
    <w:tmpl w:val="53EAA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324D7A"/>
    <w:multiLevelType w:val="hybridMultilevel"/>
    <w:tmpl w:val="0F7E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4217A"/>
    <w:multiLevelType w:val="hybridMultilevel"/>
    <w:tmpl w:val="0AE2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D66092"/>
    <w:multiLevelType w:val="hybridMultilevel"/>
    <w:tmpl w:val="1E2E18F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2077158"/>
    <w:multiLevelType w:val="hybridMultilevel"/>
    <w:tmpl w:val="3F38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562BB7"/>
    <w:multiLevelType w:val="multilevel"/>
    <w:tmpl w:val="6C6C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0D0134"/>
    <w:multiLevelType w:val="hybridMultilevel"/>
    <w:tmpl w:val="94B8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5A0CB6"/>
    <w:multiLevelType w:val="hybridMultilevel"/>
    <w:tmpl w:val="36C47B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155039"/>
    <w:multiLevelType w:val="hybridMultilevel"/>
    <w:tmpl w:val="D39A6B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091E33"/>
    <w:multiLevelType w:val="hybridMultilevel"/>
    <w:tmpl w:val="5E68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30"/>
  </w:num>
  <w:num w:numId="4">
    <w:abstractNumId w:val="4"/>
  </w:num>
  <w:num w:numId="5">
    <w:abstractNumId w:val="0"/>
  </w:num>
  <w:num w:numId="6">
    <w:abstractNumId w:val="9"/>
  </w:num>
  <w:num w:numId="7">
    <w:abstractNumId w:val="29"/>
  </w:num>
  <w:num w:numId="8">
    <w:abstractNumId w:val="6"/>
  </w:num>
  <w:num w:numId="9">
    <w:abstractNumId w:val="14"/>
  </w:num>
  <w:num w:numId="10">
    <w:abstractNumId w:val="19"/>
  </w:num>
  <w:num w:numId="11">
    <w:abstractNumId w:val="25"/>
  </w:num>
  <w:num w:numId="12">
    <w:abstractNumId w:val="3"/>
  </w:num>
  <w:num w:numId="13">
    <w:abstractNumId w:val="33"/>
  </w:num>
  <w:num w:numId="14">
    <w:abstractNumId w:val="18"/>
  </w:num>
  <w:num w:numId="15">
    <w:abstractNumId w:val="15"/>
  </w:num>
  <w:num w:numId="16">
    <w:abstractNumId w:val="13"/>
  </w:num>
  <w:num w:numId="17">
    <w:abstractNumId w:val="24"/>
  </w:num>
  <w:num w:numId="18">
    <w:abstractNumId w:val="1"/>
  </w:num>
  <w:num w:numId="19">
    <w:abstractNumId w:val="11"/>
  </w:num>
  <w:num w:numId="20">
    <w:abstractNumId w:val="32"/>
  </w:num>
  <w:num w:numId="21">
    <w:abstractNumId w:val="7"/>
  </w:num>
  <w:num w:numId="22">
    <w:abstractNumId w:val="10"/>
  </w:num>
  <w:num w:numId="23">
    <w:abstractNumId w:val="5"/>
  </w:num>
  <w:num w:numId="24">
    <w:abstractNumId w:val="16"/>
  </w:num>
  <w:num w:numId="25">
    <w:abstractNumId w:val="16"/>
    <w:lvlOverride w:ilvl="0">
      <w:startOverride w:val="1"/>
    </w:lvlOverride>
  </w:num>
  <w:num w:numId="26">
    <w:abstractNumId w:val="21"/>
  </w:num>
  <w:num w:numId="27">
    <w:abstractNumId w:val="27"/>
  </w:num>
  <w:num w:numId="28">
    <w:abstractNumId w:val="23"/>
  </w:num>
  <w:num w:numId="29">
    <w:abstractNumId w:val="17"/>
  </w:num>
  <w:num w:numId="30">
    <w:abstractNumId w:val="34"/>
  </w:num>
  <w:num w:numId="31">
    <w:abstractNumId w:val="31"/>
  </w:num>
  <w:num w:numId="32">
    <w:abstractNumId w:val="26"/>
  </w:num>
  <w:num w:numId="33">
    <w:abstractNumId w:val="22"/>
  </w:num>
  <w:num w:numId="34">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defaultTabStop w:val="720"/>
  <w:drawingGridHorizontalSpacing w:val="110"/>
  <w:displayHorizontalDrawingGridEvery w:val="2"/>
  <w:characterSpacingControl w:val="doNotCompress"/>
  <w:hdrShapeDefaults>
    <o:shapedefaults v:ext="edit" spidmax="75777">
      <o:colormru v:ext="edit" colors="#f99d3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1E5"/>
    <w:rsid w:val="00004353"/>
    <w:rsid w:val="00011DB7"/>
    <w:rsid w:val="00013566"/>
    <w:rsid w:val="0001582E"/>
    <w:rsid w:val="00042FBC"/>
    <w:rsid w:val="00045550"/>
    <w:rsid w:val="00046FC8"/>
    <w:rsid w:val="000532DB"/>
    <w:rsid w:val="000611DC"/>
    <w:rsid w:val="00061EA0"/>
    <w:rsid w:val="000678E6"/>
    <w:rsid w:val="000705CF"/>
    <w:rsid w:val="00074E24"/>
    <w:rsid w:val="00081065"/>
    <w:rsid w:val="000921D0"/>
    <w:rsid w:val="000B1CCD"/>
    <w:rsid w:val="000B5B3E"/>
    <w:rsid w:val="000C4A17"/>
    <w:rsid w:val="000C4BE1"/>
    <w:rsid w:val="000E25E5"/>
    <w:rsid w:val="000E4E7B"/>
    <w:rsid w:val="000F53C5"/>
    <w:rsid w:val="00134397"/>
    <w:rsid w:val="00147436"/>
    <w:rsid w:val="001477A8"/>
    <w:rsid w:val="00161B5A"/>
    <w:rsid w:val="00165F84"/>
    <w:rsid w:val="0017512E"/>
    <w:rsid w:val="00180D9D"/>
    <w:rsid w:val="0019122C"/>
    <w:rsid w:val="001924C4"/>
    <w:rsid w:val="00193281"/>
    <w:rsid w:val="001A310A"/>
    <w:rsid w:val="001B4373"/>
    <w:rsid w:val="001C166B"/>
    <w:rsid w:val="001E031F"/>
    <w:rsid w:val="001E6D28"/>
    <w:rsid w:val="00201889"/>
    <w:rsid w:val="00205398"/>
    <w:rsid w:val="0021176E"/>
    <w:rsid w:val="00233EAC"/>
    <w:rsid w:val="00243413"/>
    <w:rsid w:val="00246118"/>
    <w:rsid w:val="0025692A"/>
    <w:rsid w:val="002577A1"/>
    <w:rsid w:val="002729E5"/>
    <w:rsid w:val="00273ABD"/>
    <w:rsid w:val="002747B3"/>
    <w:rsid w:val="002B0E56"/>
    <w:rsid w:val="002B64A2"/>
    <w:rsid w:val="002C5B4E"/>
    <w:rsid w:val="0030247C"/>
    <w:rsid w:val="0030407E"/>
    <w:rsid w:val="003043D7"/>
    <w:rsid w:val="003063C5"/>
    <w:rsid w:val="00307905"/>
    <w:rsid w:val="003134F6"/>
    <w:rsid w:val="003142C2"/>
    <w:rsid w:val="0031485E"/>
    <w:rsid w:val="00320B4D"/>
    <w:rsid w:val="00332798"/>
    <w:rsid w:val="00334AD7"/>
    <w:rsid w:val="0033684F"/>
    <w:rsid w:val="003635FE"/>
    <w:rsid w:val="00367C4A"/>
    <w:rsid w:val="00372B68"/>
    <w:rsid w:val="00393AC3"/>
    <w:rsid w:val="003A3EFC"/>
    <w:rsid w:val="003C238E"/>
    <w:rsid w:val="003D0516"/>
    <w:rsid w:val="003D3D30"/>
    <w:rsid w:val="003D7E6B"/>
    <w:rsid w:val="003E00EC"/>
    <w:rsid w:val="003F4B02"/>
    <w:rsid w:val="003F7EF6"/>
    <w:rsid w:val="0040066B"/>
    <w:rsid w:val="00400BA4"/>
    <w:rsid w:val="004117B4"/>
    <w:rsid w:val="004230EA"/>
    <w:rsid w:val="0042316C"/>
    <w:rsid w:val="00426948"/>
    <w:rsid w:val="00426AA8"/>
    <w:rsid w:val="00432CAA"/>
    <w:rsid w:val="00433C09"/>
    <w:rsid w:val="00447A8B"/>
    <w:rsid w:val="0046489B"/>
    <w:rsid w:val="00466A41"/>
    <w:rsid w:val="00471518"/>
    <w:rsid w:val="00473DF6"/>
    <w:rsid w:val="00477D53"/>
    <w:rsid w:val="0048059B"/>
    <w:rsid w:val="00484CDA"/>
    <w:rsid w:val="004860F2"/>
    <w:rsid w:val="00492823"/>
    <w:rsid w:val="004A15CF"/>
    <w:rsid w:val="004A21DA"/>
    <w:rsid w:val="004A2885"/>
    <w:rsid w:val="004B07C3"/>
    <w:rsid w:val="004B6416"/>
    <w:rsid w:val="004D319E"/>
    <w:rsid w:val="004E5D15"/>
    <w:rsid w:val="004F1118"/>
    <w:rsid w:val="00500499"/>
    <w:rsid w:val="005004B2"/>
    <w:rsid w:val="00503665"/>
    <w:rsid w:val="005076FF"/>
    <w:rsid w:val="00517E0A"/>
    <w:rsid w:val="00532688"/>
    <w:rsid w:val="00532D62"/>
    <w:rsid w:val="00533225"/>
    <w:rsid w:val="00540487"/>
    <w:rsid w:val="00562C76"/>
    <w:rsid w:val="00567FE0"/>
    <w:rsid w:val="00573AF9"/>
    <w:rsid w:val="005908A0"/>
    <w:rsid w:val="005A055A"/>
    <w:rsid w:val="005A060E"/>
    <w:rsid w:val="005A4089"/>
    <w:rsid w:val="005C72B0"/>
    <w:rsid w:val="005D11BC"/>
    <w:rsid w:val="005D76C3"/>
    <w:rsid w:val="005E6784"/>
    <w:rsid w:val="005F5B07"/>
    <w:rsid w:val="006033DA"/>
    <w:rsid w:val="00620A6A"/>
    <w:rsid w:val="00620B02"/>
    <w:rsid w:val="00621C9D"/>
    <w:rsid w:val="006531C3"/>
    <w:rsid w:val="00670631"/>
    <w:rsid w:val="00670D5A"/>
    <w:rsid w:val="00671BDC"/>
    <w:rsid w:val="00673D38"/>
    <w:rsid w:val="00675C21"/>
    <w:rsid w:val="0069044E"/>
    <w:rsid w:val="0069194D"/>
    <w:rsid w:val="006920EB"/>
    <w:rsid w:val="00694012"/>
    <w:rsid w:val="0069682B"/>
    <w:rsid w:val="006A7F19"/>
    <w:rsid w:val="006B712B"/>
    <w:rsid w:val="006C165D"/>
    <w:rsid w:val="006E5559"/>
    <w:rsid w:val="006E7C4C"/>
    <w:rsid w:val="00727E26"/>
    <w:rsid w:val="00730450"/>
    <w:rsid w:val="00736818"/>
    <w:rsid w:val="0074393D"/>
    <w:rsid w:val="0074484A"/>
    <w:rsid w:val="007469A1"/>
    <w:rsid w:val="007518BD"/>
    <w:rsid w:val="00753414"/>
    <w:rsid w:val="007747CD"/>
    <w:rsid w:val="00775FC9"/>
    <w:rsid w:val="007819A4"/>
    <w:rsid w:val="00782D8F"/>
    <w:rsid w:val="007842A5"/>
    <w:rsid w:val="00784F9B"/>
    <w:rsid w:val="007A27C7"/>
    <w:rsid w:val="007A3546"/>
    <w:rsid w:val="007D233A"/>
    <w:rsid w:val="007E24BE"/>
    <w:rsid w:val="00800045"/>
    <w:rsid w:val="0080695F"/>
    <w:rsid w:val="00811701"/>
    <w:rsid w:val="0084259F"/>
    <w:rsid w:val="008448FF"/>
    <w:rsid w:val="008455F0"/>
    <w:rsid w:val="00876DBD"/>
    <w:rsid w:val="00880A69"/>
    <w:rsid w:val="0088589C"/>
    <w:rsid w:val="00891083"/>
    <w:rsid w:val="008B0469"/>
    <w:rsid w:val="008B100D"/>
    <w:rsid w:val="008D5BC3"/>
    <w:rsid w:val="008E4DF6"/>
    <w:rsid w:val="008E70AB"/>
    <w:rsid w:val="008F3951"/>
    <w:rsid w:val="008F4C94"/>
    <w:rsid w:val="00906C3F"/>
    <w:rsid w:val="0091313F"/>
    <w:rsid w:val="00920212"/>
    <w:rsid w:val="00921A51"/>
    <w:rsid w:val="009302EC"/>
    <w:rsid w:val="00937423"/>
    <w:rsid w:val="009454A4"/>
    <w:rsid w:val="00956B86"/>
    <w:rsid w:val="00976F66"/>
    <w:rsid w:val="009810E7"/>
    <w:rsid w:val="00983601"/>
    <w:rsid w:val="00987347"/>
    <w:rsid w:val="0099033B"/>
    <w:rsid w:val="009A0E3E"/>
    <w:rsid w:val="009A1632"/>
    <w:rsid w:val="009B77B0"/>
    <w:rsid w:val="009D13A1"/>
    <w:rsid w:val="009F45B0"/>
    <w:rsid w:val="00A03602"/>
    <w:rsid w:val="00A047EF"/>
    <w:rsid w:val="00A0747E"/>
    <w:rsid w:val="00A30C19"/>
    <w:rsid w:val="00A35E22"/>
    <w:rsid w:val="00A374B0"/>
    <w:rsid w:val="00A402C1"/>
    <w:rsid w:val="00A56867"/>
    <w:rsid w:val="00A826F7"/>
    <w:rsid w:val="00A86598"/>
    <w:rsid w:val="00A946F1"/>
    <w:rsid w:val="00A96486"/>
    <w:rsid w:val="00AB177B"/>
    <w:rsid w:val="00AC22B7"/>
    <w:rsid w:val="00AE2969"/>
    <w:rsid w:val="00AE4EC0"/>
    <w:rsid w:val="00AF0513"/>
    <w:rsid w:val="00AF7FCC"/>
    <w:rsid w:val="00B00543"/>
    <w:rsid w:val="00B116EF"/>
    <w:rsid w:val="00B1215F"/>
    <w:rsid w:val="00B12D3E"/>
    <w:rsid w:val="00B23E37"/>
    <w:rsid w:val="00B30D69"/>
    <w:rsid w:val="00B4620E"/>
    <w:rsid w:val="00B56675"/>
    <w:rsid w:val="00B6639F"/>
    <w:rsid w:val="00B67374"/>
    <w:rsid w:val="00B96302"/>
    <w:rsid w:val="00BA0D17"/>
    <w:rsid w:val="00BB0C1C"/>
    <w:rsid w:val="00BC31FC"/>
    <w:rsid w:val="00BC7FF6"/>
    <w:rsid w:val="00BE61E5"/>
    <w:rsid w:val="00BE7EDD"/>
    <w:rsid w:val="00C025FF"/>
    <w:rsid w:val="00C1453C"/>
    <w:rsid w:val="00C16089"/>
    <w:rsid w:val="00C30A29"/>
    <w:rsid w:val="00C41385"/>
    <w:rsid w:val="00C85887"/>
    <w:rsid w:val="00C94C47"/>
    <w:rsid w:val="00CA26DB"/>
    <w:rsid w:val="00CB4A31"/>
    <w:rsid w:val="00CD2BEE"/>
    <w:rsid w:val="00CD6E59"/>
    <w:rsid w:val="00CD7C2C"/>
    <w:rsid w:val="00CE52AE"/>
    <w:rsid w:val="00CE6CCD"/>
    <w:rsid w:val="00CF7FAB"/>
    <w:rsid w:val="00D03BC3"/>
    <w:rsid w:val="00D4498B"/>
    <w:rsid w:val="00D524FC"/>
    <w:rsid w:val="00D54E30"/>
    <w:rsid w:val="00D557D8"/>
    <w:rsid w:val="00D64C22"/>
    <w:rsid w:val="00D90676"/>
    <w:rsid w:val="00D97104"/>
    <w:rsid w:val="00DB3519"/>
    <w:rsid w:val="00DD3666"/>
    <w:rsid w:val="00DE0ACE"/>
    <w:rsid w:val="00DE7EBB"/>
    <w:rsid w:val="00DF37C0"/>
    <w:rsid w:val="00E12B2B"/>
    <w:rsid w:val="00E25086"/>
    <w:rsid w:val="00E337DE"/>
    <w:rsid w:val="00E34920"/>
    <w:rsid w:val="00E548B1"/>
    <w:rsid w:val="00E7207D"/>
    <w:rsid w:val="00E92664"/>
    <w:rsid w:val="00E9758A"/>
    <w:rsid w:val="00EB02B1"/>
    <w:rsid w:val="00EB2665"/>
    <w:rsid w:val="00EC7141"/>
    <w:rsid w:val="00ED01D2"/>
    <w:rsid w:val="00EE1FA7"/>
    <w:rsid w:val="00EE20C7"/>
    <w:rsid w:val="00EE3676"/>
    <w:rsid w:val="00EE5835"/>
    <w:rsid w:val="00F03B8F"/>
    <w:rsid w:val="00F20C1A"/>
    <w:rsid w:val="00F21663"/>
    <w:rsid w:val="00F30BA5"/>
    <w:rsid w:val="00F57C03"/>
    <w:rsid w:val="00F62B5A"/>
    <w:rsid w:val="00F63FB6"/>
    <w:rsid w:val="00F73CAE"/>
    <w:rsid w:val="00F77E04"/>
    <w:rsid w:val="00F809A9"/>
    <w:rsid w:val="00F90DE2"/>
    <w:rsid w:val="00F93483"/>
    <w:rsid w:val="00FA0DDB"/>
    <w:rsid w:val="00FA315B"/>
    <w:rsid w:val="00FA3E81"/>
    <w:rsid w:val="00FA3FDD"/>
    <w:rsid w:val="00FA7D63"/>
    <w:rsid w:val="00FB0070"/>
    <w:rsid w:val="00FB620C"/>
    <w:rsid w:val="00FC41CC"/>
    <w:rsid w:val="00FD69FF"/>
    <w:rsid w:val="00FD775C"/>
    <w:rsid w:val="00FE3910"/>
    <w:rsid w:val="00FF0442"/>
    <w:rsid w:val="00FF5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colormru v:ext="edit" colors="#f99d31"/>
    </o:shapedefaults>
    <o:shapelayout v:ext="edit">
      <o:idmap v:ext="edit" data="1"/>
    </o:shapelayout>
  </w:shapeDefaults>
  <w:decimalSymbol w:val="."/>
  <w:listSeparator w:val=","/>
  <w14:docId w14:val="6F741F97"/>
  <w15:docId w15:val="{2694D37B-01D2-4C42-B87E-BCFCA84E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ES-para-text"/>
    <w:qFormat/>
    <w:rsid w:val="00D64C22"/>
    <w:pPr>
      <w:spacing w:after="0" w:line="240" w:lineRule="auto"/>
    </w:pPr>
    <w:rPr>
      <w:rFonts w:ascii="Arial" w:hAnsi="Arial"/>
    </w:rPr>
  </w:style>
  <w:style w:type="paragraph" w:styleId="Heading1">
    <w:name w:val="heading 1"/>
    <w:aliases w:val="DES-Heading 1"/>
    <w:basedOn w:val="DOPStandard-Header"/>
    <w:next w:val="Normal"/>
    <w:link w:val="Heading1Char"/>
    <w:autoRedefine/>
    <w:uiPriority w:val="9"/>
    <w:qFormat/>
    <w:rsid w:val="00161B5A"/>
    <w:pPr>
      <w:spacing w:after="240" w:line="360" w:lineRule="exact"/>
      <w:jc w:val="left"/>
      <w:outlineLvl w:val="0"/>
    </w:pPr>
    <w:rPr>
      <w:rFonts w:asciiTheme="majorHAnsi" w:hAnsiTheme="majorHAnsi" w:cstheme="majorHAnsi"/>
      <w:b/>
      <w:spacing w:val="0"/>
      <w:sz w:val="28"/>
      <w:szCs w:val="28"/>
    </w:rPr>
  </w:style>
  <w:style w:type="paragraph" w:styleId="Heading2">
    <w:name w:val="heading 2"/>
    <w:aliases w:val="DES-Heading 2"/>
    <w:basedOn w:val="Heading1"/>
    <w:next w:val="Normal"/>
    <w:link w:val="Heading2Char"/>
    <w:autoRedefine/>
    <w:uiPriority w:val="9"/>
    <w:unhideWhenUsed/>
    <w:qFormat/>
    <w:rsid w:val="00D64C22"/>
    <w:pPr>
      <w:spacing w:line="320" w:lineRule="exact"/>
      <w:outlineLvl w:val="1"/>
    </w:pPr>
    <w:rPr>
      <w:rFonts w:ascii="Arial" w:hAnsi="Arial"/>
      <w:b w:val="0"/>
    </w:rPr>
  </w:style>
  <w:style w:type="paragraph" w:styleId="Heading3">
    <w:name w:val="heading 3"/>
    <w:aliases w:val="DES-Heading 3"/>
    <w:basedOn w:val="Heading2"/>
    <w:next w:val="Normal"/>
    <w:link w:val="Heading3Char"/>
    <w:uiPriority w:val="9"/>
    <w:unhideWhenUsed/>
    <w:qFormat/>
    <w:rsid w:val="003D7E6B"/>
    <w:pPr>
      <w:outlineLvl w:val="2"/>
    </w:pPr>
    <w:rPr>
      <w:sz w:val="22"/>
      <w:szCs w:val="22"/>
    </w:rPr>
  </w:style>
  <w:style w:type="paragraph" w:styleId="Heading4">
    <w:name w:val="heading 4"/>
    <w:basedOn w:val="Normal"/>
    <w:next w:val="Normal"/>
    <w:link w:val="Heading4Char"/>
    <w:uiPriority w:val="9"/>
    <w:semiHidden/>
    <w:unhideWhenUsed/>
    <w:qFormat/>
    <w:rsid w:val="0030407E"/>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30407E"/>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30407E"/>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30407E"/>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30407E"/>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30407E"/>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E61E5"/>
    <w:pPr>
      <w:tabs>
        <w:tab w:val="center" w:pos="4680"/>
        <w:tab w:val="right" w:pos="9360"/>
      </w:tabs>
    </w:pPr>
  </w:style>
  <w:style w:type="character" w:customStyle="1" w:styleId="HeaderChar">
    <w:name w:val="Header Char"/>
    <w:basedOn w:val="DefaultParagraphFont"/>
    <w:link w:val="Header"/>
    <w:rsid w:val="00BE61E5"/>
  </w:style>
  <w:style w:type="paragraph" w:styleId="Footer">
    <w:name w:val="footer"/>
    <w:basedOn w:val="Normal"/>
    <w:link w:val="FooterChar"/>
    <w:uiPriority w:val="99"/>
    <w:unhideWhenUsed/>
    <w:rsid w:val="00BE61E5"/>
    <w:pPr>
      <w:tabs>
        <w:tab w:val="center" w:pos="4680"/>
        <w:tab w:val="right" w:pos="9360"/>
      </w:tabs>
    </w:pPr>
  </w:style>
  <w:style w:type="character" w:customStyle="1" w:styleId="FooterChar">
    <w:name w:val="Footer Char"/>
    <w:basedOn w:val="DefaultParagraphFont"/>
    <w:link w:val="Footer"/>
    <w:uiPriority w:val="99"/>
    <w:rsid w:val="00BE61E5"/>
  </w:style>
  <w:style w:type="paragraph" w:styleId="BalloonText">
    <w:name w:val="Balloon Text"/>
    <w:basedOn w:val="Normal"/>
    <w:link w:val="BalloonTextChar"/>
    <w:uiPriority w:val="99"/>
    <w:semiHidden/>
    <w:unhideWhenUsed/>
    <w:rsid w:val="00013566"/>
    <w:rPr>
      <w:rFonts w:ascii="Tahoma" w:hAnsi="Tahoma" w:cs="Tahoma"/>
      <w:sz w:val="16"/>
      <w:szCs w:val="16"/>
    </w:rPr>
  </w:style>
  <w:style w:type="character" w:customStyle="1" w:styleId="BalloonTextChar">
    <w:name w:val="Balloon Text Char"/>
    <w:basedOn w:val="DefaultParagraphFont"/>
    <w:link w:val="BalloonText"/>
    <w:uiPriority w:val="99"/>
    <w:semiHidden/>
    <w:rsid w:val="00013566"/>
    <w:rPr>
      <w:rFonts w:ascii="Tahoma" w:hAnsi="Tahoma" w:cs="Tahoma"/>
      <w:sz w:val="16"/>
      <w:szCs w:val="16"/>
    </w:rPr>
  </w:style>
  <w:style w:type="character" w:customStyle="1" w:styleId="Heading1Char">
    <w:name w:val="Heading 1 Char"/>
    <w:aliases w:val="DES-Heading 1 Char"/>
    <w:basedOn w:val="DefaultParagraphFont"/>
    <w:link w:val="Heading1"/>
    <w:uiPriority w:val="9"/>
    <w:rsid w:val="00161B5A"/>
    <w:rPr>
      <w:rFonts w:eastAsia="Times New Roman" w:cstheme="majorHAnsi"/>
      <w:b/>
      <w:color w:val="000000"/>
      <w:kern w:val="32"/>
      <w:sz w:val="28"/>
      <w:szCs w:val="28"/>
    </w:rPr>
  </w:style>
  <w:style w:type="character" w:customStyle="1" w:styleId="Heading2Char">
    <w:name w:val="Heading 2 Char"/>
    <w:aliases w:val="DES-Heading 2 Char"/>
    <w:basedOn w:val="DefaultParagraphFont"/>
    <w:link w:val="Heading2"/>
    <w:uiPriority w:val="9"/>
    <w:rsid w:val="00D64C22"/>
    <w:rPr>
      <w:rFonts w:ascii="Arial" w:eastAsia="Times New Roman" w:hAnsi="Arial"/>
      <w:b/>
      <w:color w:val="000000"/>
      <w:kern w:val="32"/>
      <w:sz w:val="28"/>
      <w:szCs w:val="32"/>
    </w:rPr>
  </w:style>
  <w:style w:type="character" w:customStyle="1" w:styleId="Heading3Char">
    <w:name w:val="Heading 3 Char"/>
    <w:aliases w:val="DES-Heading 3 Char"/>
    <w:basedOn w:val="DefaultParagraphFont"/>
    <w:link w:val="Heading3"/>
    <w:uiPriority w:val="9"/>
    <w:rsid w:val="003D7E6B"/>
    <w:rPr>
      <w:rFonts w:ascii="Arial" w:eastAsia="Times New Roman" w:hAnsi="Arial"/>
      <w:b/>
      <w:color w:val="000000"/>
      <w:spacing w:val="32"/>
      <w:kern w:val="32"/>
    </w:rPr>
  </w:style>
  <w:style w:type="character" w:customStyle="1" w:styleId="Heading4Char">
    <w:name w:val="Heading 4 Char"/>
    <w:basedOn w:val="DefaultParagraphFont"/>
    <w:link w:val="Heading4"/>
    <w:uiPriority w:val="9"/>
    <w:semiHidden/>
    <w:rsid w:val="0030407E"/>
    <w:rPr>
      <w:b/>
      <w:bCs/>
      <w:spacing w:val="5"/>
      <w:sz w:val="24"/>
      <w:szCs w:val="24"/>
    </w:rPr>
  </w:style>
  <w:style w:type="character" w:customStyle="1" w:styleId="Heading5Char">
    <w:name w:val="Heading 5 Char"/>
    <w:basedOn w:val="DefaultParagraphFont"/>
    <w:link w:val="Heading5"/>
    <w:uiPriority w:val="9"/>
    <w:semiHidden/>
    <w:rsid w:val="0030407E"/>
    <w:rPr>
      <w:i/>
      <w:iCs/>
      <w:sz w:val="24"/>
      <w:szCs w:val="24"/>
    </w:rPr>
  </w:style>
  <w:style w:type="character" w:customStyle="1" w:styleId="Heading6Char">
    <w:name w:val="Heading 6 Char"/>
    <w:basedOn w:val="DefaultParagraphFont"/>
    <w:link w:val="Heading6"/>
    <w:uiPriority w:val="9"/>
    <w:semiHidden/>
    <w:rsid w:val="0030407E"/>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30407E"/>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30407E"/>
    <w:rPr>
      <w:b/>
      <w:bCs/>
      <w:color w:val="7F7F7F" w:themeColor="text1" w:themeTint="80"/>
      <w:sz w:val="20"/>
      <w:szCs w:val="20"/>
    </w:rPr>
  </w:style>
  <w:style w:type="character" w:customStyle="1" w:styleId="Heading9Char">
    <w:name w:val="Heading 9 Char"/>
    <w:basedOn w:val="DefaultParagraphFont"/>
    <w:link w:val="Heading9"/>
    <w:uiPriority w:val="9"/>
    <w:semiHidden/>
    <w:rsid w:val="0030407E"/>
    <w:rPr>
      <w:b/>
      <w:bCs/>
      <w:i/>
      <w:iCs/>
      <w:color w:val="7F7F7F" w:themeColor="text1" w:themeTint="80"/>
      <w:sz w:val="18"/>
      <w:szCs w:val="18"/>
    </w:rPr>
  </w:style>
  <w:style w:type="paragraph" w:styleId="Title">
    <w:name w:val="Title"/>
    <w:basedOn w:val="Normal"/>
    <w:next w:val="Normal"/>
    <w:link w:val="TitleChar"/>
    <w:uiPriority w:val="10"/>
    <w:qFormat/>
    <w:rsid w:val="0030407E"/>
    <w:pPr>
      <w:spacing w:after="300"/>
      <w:contextualSpacing/>
    </w:pPr>
    <w:rPr>
      <w:smallCaps/>
      <w:sz w:val="52"/>
      <w:szCs w:val="52"/>
    </w:rPr>
  </w:style>
  <w:style w:type="character" w:customStyle="1" w:styleId="TitleChar">
    <w:name w:val="Title Char"/>
    <w:basedOn w:val="DefaultParagraphFont"/>
    <w:link w:val="Title"/>
    <w:uiPriority w:val="10"/>
    <w:rsid w:val="0030407E"/>
    <w:rPr>
      <w:smallCaps/>
      <w:sz w:val="52"/>
      <w:szCs w:val="52"/>
    </w:rPr>
  </w:style>
  <w:style w:type="paragraph" w:styleId="Subtitle">
    <w:name w:val="Subtitle"/>
    <w:basedOn w:val="Normal"/>
    <w:next w:val="Normal"/>
    <w:link w:val="SubtitleChar"/>
    <w:uiPriority w:val="11"/>
    <w:qFormat/>
    <w:rsid w:val="0030407E"/>
    <w:rPr>
      <w:i/>
      <w:iCs/>
      <w:smallCaps/>
      <w:spacing w:val="10"/>
      <w:sz w:val="28"/>
      <w:szCs w:val="28"/>
    </w:rPr>
  </w:style>
  <w:style w:type="character" w:customStyle="1" w:styleId="SubtitleChar">
    <w:name w:val="Subtitle Char"/>
    <w:basedOn w:val="DefaultParagraphFont"/>
    <w:link w:val="Subtitle"/>
    <w:uiPriority w:val="11"/>
    <w:rsid w:val="0030407E"/>
    <w:rPr>
      <w:i/>
      <w:iCs/>
      <w:smallCaps/>
      <w:spacing w:val="10"/>
      <w:sz w:val="28"/>
      <w:szCs w:val="28"/>
    </w:rPr>
  </w:style>
  <w:style w:type="character" w:styleId="Strong">
    <w:name w:val="Strong"/>
    <w:uiPriority w:val="22"/>
    <w:qFormat/>
    <w:rsid w:val="0030407E"/>
    <w:rPr>
      <w:b/>
      <w:bCs/>
    </w:rPr>
  </w:style>
  <w:style w:type="character" w:styleId="Emphasis">
    <w:name w:val="Emphasis"/>
    <w:uiPriority w:val="20"/>
    <w:qFormat/>
    <w:rsid w:val="0030407E"/>
    <w:rPr>
      <w:b/>
      <w:bCs/>
      <w:i/>
      <w:iCs/>
      <w:spacing w:val="10"/>
    </w:rPr>
  </w:style>
  <w:style w:type="paragraph" w:styleId="NoSpacing">
    <w:name w:val="No Spacing"/>
    <w:aliases w:val="DES-No Spacing"/>
    <w:basedOn w:val="Normal"/>
    <w:uiPriority w:val="1"/>
    <w:qFormat/>
    <w:rsid w:val="0030407E"/>
  </w:style>
  <w:style w:type="paragraph" w:styleId="ListParagraph">
    <w:name w:val="List Paragraph"/>
    <w:basedOn w:val="Normal"/>
    <w:uiPriority w:val="34"/>
    <w:qFormat/>
    <w:rsid w:val="0030407E"/>
    <w:pPr>
      <w:ind w:left="720"/>
      <w:contextualSpacing/>
    </w:pPr>
  </w:style>
  <w:style w:type="paragraph" w:styleId="Quote">
    <w:name w:val="Quote"/>
    <w:basedOn w:val="Normal"/>
    <w:next w:val="Normal"/>
    <w:link w:val="QuoteChar"/>
    <w:uiPriority w:val="29"/>
    <w:qFormat/>
    <w:rsid w:val="0030407E"/>
    <w:rPr>
      <w:i/>
      <w:iCs/>
    </w:rPr>
  </w:style>
  <w:style w:type="character" w:customStyle="1" w:styleId="QuoteChar">
    <w:name w:val="Quote Char"/>
    <w:basedOn w:val="DefaultParagraphFont"/>
    <w:link w:val="Quote"/>
    <w:uiPriority w:val="29"/>
    <w:rsid w:val="0030407E"/>
    <w:rPr>
      <w:i/>
      <w:iCs/>
    </w:rPr>
  </w:style>
  <w:style w:type="paragraph" w:styleId="IntenseQuote">
    <w:name w:val="Intense Quote"/>
    <w:basedOn w:val="Normal"/>
    <w:next w:val="Normal"/>
    <w:link w:val="IntenseQuoteChar"/>
    <w:uiPriority w:val="30"/>
    <w:qFormat/>
    <w:rsid w:val="0030407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30407E"/>
    <w:rPr>
      <w:i/>
      <w:iCs/>
    </w:rPr>
  </w:style>
  <w:style w:type="character" w:styleId="SubtleEmphasis">
    <w:name w:val="Subtle Emphasis"/>
    <w:uiPriority w:val="19"/>
    <w:qFormat/>
    <w:rsid w:val="0030407E"/>
    <w:rPr>
      <w:i/>
      <w:iCs/>
    </w:rPr>
  </w:style>
  <w:style w:type="character" w:styleId="IntenseEmphasis">
    <w:name w:val="Intense Emphasis"/>
    <w:uiPriority w:val="21"/>
    <w:qFormat/>
    <w:rsid w:val="0030407E"/>
    <w:rPr>
      <w:b/>
      <w:bCs/>
      <w:i/>
      <w:iCs/>
    </w:rPr>
  </w:style>
  <w:style w:type="character" w:styleId="SubtleReference">
    <w:name w:val="Subtle Reference"/>
    <w:basedOn w:val="DefaultParagraphFont"/>
    <w:uiPriority w:val="31"/>
    <w:qFormat/>
    <w:rsid w:val="0030407E"/>
    <w:rPr>
      <w:smallCaps/>
    </w:rPr>
  </w:style>
  <w:style w:type="character" w:styleId="IntenseReference">
    <w:name w:val="Intense Reference"/>
    <w:uiPriority w:val="32"/>
    <w:qFormat/>
    <w:rsid w:val="0030407E"/>
    <w:rPr>
      <w:b/>
      <w:bCs/>
      <w:smallCaps/>
    </w:rPr>
  </w:style>
  <w:style w:type="character" w:styleId="BookTitle">
    <w:name w:val="Book Title"/>
    <w:basedOn w:val="DefaultParagraphFont"/>
    <w:uiPriority w:val="33"/>
    <w:qFormat/>
    <w:rsid w:val="0030407E"/>
    <w:rPr>
      <w:i/>
      <w:iCs/>
      <w:smallCaps/>
      <w:spacing w:val="5"/>
    </w:rPr>
  </w:style>
  <w:style w:type="paragraph" w:styleId="TOCHeading">
    <w:name w:val="TOC Heading"/>
    <w:basedOn w:val="Heading1"/>
    <w:next w:val="Normal"/>
    <w:uiPriority w:val="39"/>
    <w:semiHidden/>
    <w:unhideWhenUsed/>
    <w:qFormat/>
    <w:rsid w:val="0030407E"/>
    <w:pPr>
      <w:outlineLvl w:val="9"/>
    </w:pPr>
  </w:style>
  <w:style w:type="paragraph" w:customStyle="1" w:styleId="DOPStandard-Title">
    <w:name w:val="DOPStandard - Title"/>
    <w:basedOn w:val="Heading1"/>
    <w:rsid w:val="0030407E"/>
    <w:rPr>
      <w:smallCaps/>
    </w:rPr>
  </w:style>
  <w:style w:type="paragraph" w:customStyle="1" w:styleId="DOPStandard-Subtitle">
    <w:name w:val="DOP Standard - Subtitle"/>
    <w:basedOn w:val="Subtitle"/>
    <w:rsid w:val="0030407E"/>
    <w:pPr>
      <w:spacing w:after="100" w:afterAutospacing="1"/>
    </w:pPr>
    <w:rPr>
      <w:rFonts w:cs="Arial"/>
      <w:b/>
      <w:i w:val="0"/>
      <w:smallCaps w:val="0"/>
      <w:color w:val="000000"/>
      <w:sz w:val="24"/>
      <w:szCs w:val="24"/>
    </w:rPr>
  </w:style>
  <w:style w:type="paragraph" w:customStyle="1" w:styleId="DOPStandard-Body">
    <w:name w:val="DOP Standard - Body"/>
    <w:basedOn w:val="DOPStandard-Subtitle"/>
    <w:rsid w:val="0030407E"/>
    <w:rPr>
      <w:b w:val="0"/>
      <w:sz w:val="20"/>
    </w:rPr>
  </w:style>
  <w:style w:type="paragraph" w:customStyle="1" w:styleId="DOPStandard-Header">
    <w:name w:val="DOP Standard - Header"/>
    <w:basedOn w:val="Header"/>
    <w:rsid w:val="0030407E"/>
    <w:pPr>
      <w:spacing w:after="120" w:line="300" w:lineRule="exact"/>
      <w:jc w:val="right"/>
    </w:pPr>
    <w:rPr>
      <w:rFonts w:eastAsia="Times New Roman"/>
      <w:color w:val="000000"/>
      <w:spacing w:val="32"/>
      <w:kern w:val="32"/>
      <w:sz w:val="16"/>
    </w:rPr>
  </w:style>
  <w:style w:type="paragraph" w:customStyle="1" w:styleId="DESStype">
    <w:name w:val="DES Stype"/>
    <w:basedOn w:val="Normal"/>
    <w:link w:val="DESStypeChar"/>
    <w:qFormat/>
    <w:rsid w:val="000F53C5"/>
  </w:style>
  <w:style w:type="paragraph" w:customStyle="1" w:styleId="DESStyle">
    <w:name w:val="DES Style"/>
    <w:basedOn w:val="DESStype"/>
    <w:link w:val="DESStyleChar"/>
    <w:autoRedefine/>
    <w:qFormat/>
    <w:rsid w:val="00B23E37"/>
    <w:pPr>
      <w:spacing w:before="120" w:after="120" w:line="276" w:lineRule="auto"/>
    </w:pPr>
    <w:rPr>
      <w:sz w:val="20"/>
      <w:szCs w:val="20"/>
    </w:rPr>
  </w:style>
  <w:style w:type="character" w:customStyle="1" w:styleId="DESStypeChar">
    <w:name w:val="DES Stype Char"/>
    <w:basedOn w:val="DefaultParagraphFont"/>
    <w:link w:val="DESStype"/>
    <w:rsid w:val="000F53C5"/>
    <w:rPr>
      <w:rFonts w:ascii="Arial" w:hAnsi="Arial"/>
    </w:rPr>
  </w:style>
  <w:style w:type="character" w:customStyle="1" w:styleId="DESStyleChar">
    <w:name w:val="DES Style Char"/>
    <w:basedOn w:val="DESStypeChar"/>
    <w:link w:val="DESStyle"/>
    <w:rsid w:val="00B23E37"/>
    <w:rPr>
      <w:rFonts w:ascii="Arial" w:hAnsi="Arial"/>
      <w:sz w:val="20"/>
      <w:szCs w:val="20"/>
    </w:rPr>
  </w:style>
  <w:style w:type="table" w:styleId="TableGrid">
    <w:name w:val="Table Grid"/>
    <w:basedOn w:val="TableNormal"/>
    <w:uiPriority w:val="59"/>
    <w:rsid w:val="00906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37C0"/>
    <w:rPr>
      <w:sz w:val="16"/>
      <w:szCs w:val="16"/>
    </w:rPr>
  </w:style>
  <w:style w:type="paragraph" w:styleId="CommentText">
    <w:name w:val="annotation text"/>
    <w:basedOn w:val="Normal"/>
    <w:link w:val="CommentTextChar"/>
    <w:uiPriority w:val="99"/>
    <w:unhideWhenUsed/>
    <w:rsid w:val="00DF37C0"/>
    <w:rPr>
      <w:sz w:val="20"/>
      <w:szCs w:val="20"/>
    </w:rPr>
  </w:style>
  <w:style w:type="character" w:customStyle="1" w:styleId="CommentTextChar">
    <w:name w:val="Comment Text Char"/>
    <w:basedOn w:val="DefaultParagraphFont"/>
    <w:link w:val="CommentText"/>
    <w:uiPriority w:val="99"/>
    <w:rsid w:val="00DF37C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F37C0"/>
    <w:rPr>
      <w:b/>
      <w:bCs/>
    </w:rPr>
  </w:style>
  <w:style w:type="character" w:customStyle="1" w:styleId="CommentSubjectChar">
    <w:name w:val="Comment Subject Char"/>
    <w:basedOn w:val="CommentTextChar"/>
    <w:link w:val="CommentSubject"/>
    <w:uiPriority w:val="99"/>
    <w:semiHidden/>
    <w:rsid w:val="00DF37C0"/>
    <w:rPr>
      <w:rFonts w:ascii="Arial" w:hAnsi="Arial"/>
      <w:b/>
      <w:bCs/>
      <w:sz w:val="20"/>
      <w:szCs w:val="20"/>
    </w:rPr>
  </w:style>
  <w:style w:type="character" w:styleId="Hyperlink">
    <w:name w:val="Hyperlink"/>
    <w:uiPriority w:val="99"/>
    <w:rsid w:val="00880A69"/>
    <w:rPr>
      <w:color w:val="0000FF"/>
      <w:u w:val="single"/>
    </w:rPr>
  </w:style>
  <w:style w:type="paragraph" w:customStyle="1" w:styleId="USBQuestion">
    <w:name w:val="USB Question"/>
    <w:next w:val="Normal"/>
    <w:link w:val="USBQuestionChar"/>
    <w:uiPriority w:val="1"/>
    <w:qFormat/>
    <w:rsid w:val="00503665"/>
    <w:pPr>
      <w:keepNext/>
      <w:numPr>
        <w:numId w:val="24"/>
      </w:numPr>
      <w:spacing w:after="0" w:line="240" w:lineRule="auto"/>
    </w:pPr>
    <w:rPr>
      <w:rFonts w:ascii="Arial" w:eastAsia="Times New Roman" w:hAnsi="Arial" w:cs="Arial"/>
      <w:b/>
      <w:color w:val="0C2074"/>
      <w:sz w:val="20"/>
      <w:szCs w:val="19"/>
      <w:lang w:bidi="ar-SA"/>
    </w:rPr>
  </w:style>
  <w:style w:type="character" w:customStyle="1" w:styleId="USBQuestionChar">
    <w:name w:val="USB Question Char"/>
    <w:link w:val="USBQuestion"/>
    <w:uiPriority w:val="1"/>
    <w:rsid w:val="00503665"/>
    <w:rPr>
      <w:rFonts w:ascii="Arial" w:eastAsia="Times New Roman" w:hAnsi="Arial" w:cs="Arial"/>
      <w:b/>
      <w:color w:val="0C2074"/>
      <w:sz w:val="20"/>
      <w:szCs w:val="19"/>
      <w:lang w:bidi="ar-SA"/>
    </w:rPr>
  </w:style>
  <w:style w:type="character" w:styleId="FollowedHyperlink">
    <w:name w:val="FollowedHyperlink"/>
    <w:basedOn w:val="DefaultParagraphFont"/>
    <w:uiPriority w:val="99"/>
    <w:semiHidden/>
    <w:unhideWhenUsed/>
    <w:rsid w:val="00A30C19"/>
    <w:rPr>
      <w:color w:val="800080" w:themeColor="followedHyperlink"/>
      <w:u w:val="single"/>
    </w:rPr>
  </w:style>
  <w:style w:type="paragraph" w:styleId="Revision">
    <w:name w:val="Revision"/>
    <w:hidden/>
    <w:uiPriority w:val="99"/>
    <w:semiHidden/>
    <w:rsid w:val="000705CF"/>
    <w:pPr>
      <w:spacing w:after="0" w:line="240" w:lineRule="auto"/>
    </w:pPr>
    <w:rPr>
      <w:rFonts w:ascii="Arial" w:hAnsi="Arial"/>
    </w:rPr>
  </w:style>
  <w:style w:type="paragraph" w:customStyle="1" w:styleId="gmail-msolistparagraph">
    <w:name w:val="gmail-msolistparagraph"/>
    <w:basedOn w:val="Normal"/>
    <w:rsid w:val="006E7C4C"/>
    <w:pPr>
      <w:spacing w:before="100" w:beforeAutospacing="1" w:after="100" w:afterAutospacing="1"/>
    </w:pPr>
    <w:rPr>
      <w:rFonts w:ascii="Times New Roman" w:eastAsiaTheme="minorHAnsi"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70297">
      <w:bodyDiv w:val="1"/>
      <w:marLeft w:val="0"/>
      <w:marRight w:val="0"/>
      <w:marTop w:val="0"/>
      <w:marBottom w:val="0"/>
      <w:divBdr>
        <w:top w:val="none" w:sz="0" w:space="0" w:color="auto"/>
        <w:left w:val="none" w:sz="0" w:space="0" w:color="auto"/>
        <w:bottom w:val="none" w:sz="0" w:space="0" w:color="auto"/>
        <w:right w:val="none" w:sz="0" w:space="0" w:color="auto"/>
      </w:divBdr>
    </w:div>
    <w:div w:id="117800137">
      <w:bodyDiv w:val="1"/>
      <w:marLeft w:val="0"/>
      <w:marRight w:val="0"/>
      <w:marTop w:val="0"/>
      <w:marBottom w:val="0"/>
      <w:divBdr>
        <w:top w:val="none" w:sz="0" w:space="0" w:color="auto"/>
        <w:left w:val="none" w:sz="0" w:space="0" w:color="auto"/>
        <w:bottom w:val="none" w:sz="0" w:space="0" w:color="auto"/>
        <w:right w:val="none" w:sz="0" w:space="0" w:color="auto"/>
      </w:divBdr>
    </w:div>
    <w:div w:id="182978250">
      <w:bodyDiv w:val="1"/>
      <w:marLeft w:val="0"/>
      <w:marRight w:val="0"/>
      <w:marTop w:val="0"/>
      <w:marBottom w:val="0"/>
      <w:divBdr>
        <w:top w:val="none" w:sz="0" w:space="0" w:color="auto"/>
        <w:left w:val="none" w:sz="0" w:space="0" w:color="auto"/>
        <w:bottom w:val="none" w:sz="0" w:space="0" w:color="auto"/>
        <w:right w:val="none" w:sz="0" w:space="0" w:color="auto"/>
      </w:divBdr>
    </w:div>
    <w:div w:id="219249994">
      <w:bodyDiv w:val="1"/>
      <w:marLeft w:val="0"/>
      <w:marRight w:val="0"/>
      <w:marTop w:val="0"/>
      <w:marBottom w:val="0"/>
      <w:divBdr>
        <w:top w:val="none" w:sz="0" w:space="0" w:color="auto"/>
        <w:left w:val="none" w:sz="0" w:space="0" w:color="auto"/>
        <w:bottom w:val="none" w:sz="0" w:space="0" w:color="auto"/>
        <w:right w:val="none" w:sz="0" w:space="0" w:color="auto"/>
      </w:divBdr>
    </w:div>
    <w:div w:id="246574039">
      <w:bodyDiv w:val="1"/>
      <w:marLeft w:val="0"/>
      <w:marRight w:val="0"/>
      <w:marTop w:val="0"/>
      <w:marBottom w:val="0"/>
      <w:divBdr>
        <w:top w:val="none" w:sz="0" w:space="0" w:color="auto"/>
        <w:left w:val="none" w:sz="0" w:space="0" w:color="auto"/>
        <w:bottom w:val="none" w:sz="0" w:space="0" w:color="auto"/>
        <w:right w:val="none" w:sz="0" w:space="0" w:color="auto"/>
      </w:divBdr>
    </w:div>
    <w:div w:id="253707601">
      <w:bodyDiv w:val="1"/>
      <w:marLeft w:val="0"/>
      <w:marRight w:val="0"/>
      <w:marTop w:val="0"/>
      <w:marBottom w:val="0"/>
      <w:divBdr>
        <w:top w:val="none" w:sz="0" w:space="0" w:color="auto"/>
        <w:left w:val="none" w:sz="0" w:space="0" w:color="auto"/>
        <w:bottom w:val="none" w:sz="0" w:space="0" w:color="auto"/>
        <w:right w:val="none" w:sz="0" w:space="0" w:color="auto"/>
      </w:divBdr>
    </w:div>
    <w:div w:id="430275656">
      <w:bodyDiv w:val="1"/>
      <w:marLeft w:val="0"/>
      <w:marRight w:val="0"/>
      <w:marTop w:val="0"/>
      <w:marBottom w:val="0"/>
      <w:divBdr>
        <w:top w:val="none" w:sz="0" w:space="0" w:color="auto"/>
        <w:left w:val="none" w:sz="0" w:space="0" w:color="auto"/>
        <w:bottom w:val="none" w:sz="0" w:space="0" w:color="auto"/>
        <w:right w:val="none" w:sz="0" w:space="0" w:color="auto"/>
      </w:divBdr>
    </w:div>
    <w:div w:id="485974514">
      <w:bodyDiv w:val="1"/>
      <w:marLeft w:val="0"/>
      <w:marRight w:val="0"/>
      <w:marTop w:val="0"/>
      <w:marBottom w:val="0"/>
      <w:divBdr>
        <w:top w:val="none" w:sz="0" w:space="0" w:color="auto"/>
        <w:left w:val="none" w:sz="0" w:space="0" w:color="auto"/>
        <w:bottom w:val="none" w:sz="0" w:space="0" w:color="auto"/>
        <w:right w:val="none" w:sz="0" w:space="0" w:color="auto"/>
      </w:divBdr>
    </w:div>
    <w:div w:id="490682779">
      <w:bodyDiv w:val="1"/>
      <w:marLeft w:val="0"/>
      <w:marRight w:val="0"/>
      <w:marTop w:val="0"/>
      <w:marBottom w:val="0"/>
      <w:divBdr>
        <w:top w:val="none" w:sz="0" w:space="0" w:color="auto"/>
        <w:left w:val="none" w:sz="0" w:space="0" w:color="auto"/>
        <w:bottom w:val="none" w:sz="0" w:space="0" w:color="auto"/>
        <w:right w:val="none" w:sz="0" w:space="0" w:color="auto"/>
      </w:divBdr>
    </w:div>
    <w:div w:id="500659958">
      <w:bodyDiv w:val="1"/>
      <w:marLeft w:val="0"/>
      <w:marRight w:val="0"/>
      <w:marTop w:val="0"/>
      <w:marBottom w:val="0"/>
      <w:divBdr>
        <w:top w:val="none" w:sz="0" w:space="0" w:color="auto"/>
        <w:left w:val="none" w:sz="0" w:space="0" w:color="auto"/>
        <w:bottom w:val="none" w:sz="0" w:space="0" w:color="auto"/>
        <w:right w:val="none" w:sz="0" w:space="0" w:color="auto"/>
      </w:divBdr>
    </w:div>
    <w:div w:id="522019497">
      <w:bodyDiv w:val="1"/>
      <w:marLeft w:val="0"/>
      <w:marRight w:val="0"/>
      <w:marTop w:val="0"/>
      <w:marBottom w:val="0"/>
      <w:divBdr>
        <w:top w:val="none" w:sz="0" w:space="0" w:color="auto"/>
        <w:left w:val="none" w:sz="0" w:space="0" w:color="auto"/>
        <w:bottom w:val="none" w:sz="0" w:space="0" w:color="auto"/>
        <w:right w:val="none" w:sz="0" w:space="0" w:color="auto"/>
      </w:divBdr>
    </w:div>
    <w:div w:id="679509553">
      <w:bodyDiv w:val="1"/>
      <w:marLeft w:val="0"/>
      <w:marRight w:val="0"/>
      <w:marTop w:val="0"/>
      <w:marBottom w:val="0"/>
      <w:divBdr>
        <w:top w:val="none" w:sz="0" w:space="0" w:color="auto"/>
        <w:left w:val="none" w:sz="0" w:space="0" w:color="auto"/>
        <w:bottom w:val="none" w:sz="0" w:space="0" w:color="auto"/>
        <w:right w:val="none" w:sz="0" w:space="0" w:color="auto"/>
      </w:divBdr>
    </w:div>
    <w:div w:id="759646534">
      <w:bodyDiv w:val="1"/>
      <w:marLeft w:val="0"/>
      <w:marRight w:val="0"/>
      <w:marTop w:val="0"/>
      <w:marBottom w:val="0"/>
      <w:divBdr>
        <w:top w:val="none" w:sz="0" w:space="0" w:color="auto"/>
        <w:left w:val="none" w:sz="0" w:space="0" w:color="auto"/>
        <w:bottom w:val="none" w:sz="0" w:space="0" w:color="auto"/>
        <w:right w:val="none" w:sz="0" w:space="0" w:color="auto"/>
      </w:divBdr>
    </w:div>
    <w:div w:id="780757061">
      <w:bodyDiv w:val="1"/>
      <w:marLeft w:val="0"/>
      <w:marRight w:val="0"/>
      <w:marTop w:val="0"/>
      <w:marBottom w:val="0"/>
      <w:divBdr>
        <w:top w:val="none" w:sz="0" w:space="0" w:color="auto"/>
        <w:left w:val="none" w:sz="0" w:space="0" w:color="auto"/>
        <w:bottom w:val="none" w:sz="0" w:space="0" w:color="auto"/>
        <w:right w:val="none" w:sz="0" w:space="0" w:color="auto"/>
      </w:divBdr>
    </w:div>
    <w:div w:id="801578352">
      <w:bodyDiv w:val="1"/>
      <w:marLeft w:val="0"/>
      <w:marRight w:val="0"/>
      <w:marTop w:val="0"/>
      <w:marBottom w:val="0"/>
      <w:divBdr>
        <w:top w:val="none" w:sz="0" w:space="0" w:color="auto"/>
        <w:left w:val="none" w:sz="0" w:space="0" w:color="auto"/>
        <w:bottom w:val="none" w:sz="0" w:space="0" w:color="auto"/>
        <w:right w:val="none" w:sz="0" w:space="0" w:color="auto"/>
      </w:divBdr>
    </w:div>
    <w:div w:id="897472906">
      <w:bodyDiv w:val="1"/>
      <w:marLeft w:val="0"/>
      <w:marRight w:val="0"/>
      <w:marTop w:val="0"/>
      <w:marBottom w:val="0"/>
      <w:divBdr>
        <w:top w:val="none" w:sz="0" w:space="0" w:color="auto"/>
        <w:left w:val="none" w:sz="0" w:space="0" w:color="auto"/>
        <w:bottom w:val="none" w:sz="0" w:space="0" w:color="auto"/>
        <w:right w:val="none" w:sz="0" w:space="0" w:color="auto"/>
      </w:divBdr>
    </w:div>
    <w:div w:id="1032607145">
      <w:bodyDiv w:val="1"/>
      <w:marLeft w:val="0"/>
      <w:marRight w:val="0"/>
      <w:marTop w:val="0"/>
      <w:marBottom w:val="0"/>
      <w:divBdr>
        <w:top w:val="none" w:sz="0" w:space="0" w:color="auto"/>
        <w:left w:val="none" w:sz="0" w:space="0" w:color="auto"/>
        <w:bottom w:val="none" w:sz="0" w:space="0" w:color="auto"/>
        <w:right w:val="none" w:sz="0" w:space="0" w:color="auto"/>
      </w:divBdr>
    </w:div>
    <w:div w:id="1070270409">
      <w:bodyDiv w:val="1"/>
      <w:marLeft w:val="0"/>
      <w:marRight w:val="0"/>
      <w:marTop w:val="0"/>
      <w:marBottom w:val="0"/>
      <w:divBdr>
        <w:top w:val="none" w:sz="0" w:space="0" w:color="auto"/>
        <w:left w:val="none" w:sz="0" w:space="0" w:color="auto"/>
        <w:bottom w:val="none" w:sz="0" w:space="0" w:color="auto"/>
        <w:right w:val="none" w:sz="0" w:space="0" w:color="auto"/>
      </w:divBdr>
    </w:div>
    <w:div w:id="1098478066">
      <w:bodyDiv w:val="1"/>
      <w:marLeft w:val="0"/>
      <w:marRight w:val="0"/>
      <w:marTop w:val="0"/>
      <w:marBottom w:val="0"/>
      <w:divBdr>
        <w:top w:val="none" w:sz="0" w:space="0" w:color="auto"/>
        <w:left w:val="none" w:sz="0" w:space="0" w:color="auto"/>
        <w:bottom w:val="none" w:sz="0" w:space="0" w:color="auto"/>
        <w:right w:val="none" w:sz="0" w:space="0" w:color="auto"/>
      </w:divBdr>
    </w:div>
    <w:div w:id="1270816669">
      <w:bodyDiv w:val="1"/>
      <w:marLeft w:val="0"/>
      <w:marRight w:val="0"/>
      <w:marTop w:val="0"/>
      <w:marBottom w:val="0"/>
      <w:divBdr>
        <w:top w:val="none" w:sz="0" w:space="0" w:color="auto"/>
        <w:left w:val="none" w:sz="0" w:space="0" w:color="auto"/>
        <w:bottom w:val="none" w:sz="0" w:space="0" w:color="auto"/>
        <w:right w:val="none" w:sz="0" w:space="0" w:color="auto"/>
      </w:divBdr>
    </w:div>
    <w:div w:id="1345086106">
      <w:bodyDiv w:val="1"/>
      <w:marLeft w:val="0"/>
      <w:marRight w:val="0"/>
      <w:marTop w:val="0"/>
      <w:marBottom w:val="0"/>
      <w:divBdr>
        <w:top w:val="none" w:sz="0" w:space="0" w:color="auto"/>
        <w:left w:val="none" w:sz="0" w:space="0" w:color="auto"/>
        <w:bottom w:val="none" w:sz="0" w:space="0" w:color="auto"/>
        <w:right w:val="none" w:sz="0" w:space="0" w:color="auto"/>
      </w:divBdr>
    </w:div>
    <w:div w:id="1460613172">
      <w:bodyDiv w:val="1"/>
      <w:marLeft w:val="0"/>
      <w:marRight w:val="0"/>
      <w:marTop w:val="0"/>
      <w:marBottom w:val="0"/>
      <w:divBdr>
        <w:top w:val="none" w:sz="0" w:space="0" w:color="auto"/>
        <w:left w:val="none" w:sz="0" w:space="0" w:color="auto"/>
        <w:bottom w:val="none" w:sz="0" w:space="0" w:color="auto"/>
        <w:right w:val="none" w:sz="0" w:space="0" w:color="auto"/>
      </w:divBdr>
    </w:div>
    <w:div w:id="1598439646">
      <w:bodyDiv w:val="1"/>
      <w:marLeft w:val="0"/>
      <w:marRight w:val="0"/>
      <w:marTop w:val="0"/>
      <w:marBottom w:val="0"/>
      <w:divBdr>
        <w:top w:val="none" w:sz="0" w:space="0" w:color="auto"/>
        <w:left w:val="none" w:sz="0" w:space="0" w:color="auto"/>
        <w:bottom w:val="none" w:sz="0" w:space="0" w:color="auto"/>
        <w:right w:val="none" w:sz="0" w:space="0" w:color="auto"/>
      </w:divBdr>
    </w:div>
    <w:div w:id="1692608877">
      <w:bodyDiv w:val="1"/>
      <w:marLeft w:val="0"/>
      <w:marRight w:val="0"/>
      <w:marTop w:val="0"/>
      <w:marBottom w:val="0"/>
      <w:divBdr>
        <w:top w:val="none" w:sz="0" w:space="0" w:color="auto"/>
        <w:left w:val="none" w:sz="0" w:space="0" w:color="auto"/>
        <w:bottom w:val="none" w:sz="0" w:space="0" w:color="auto"/>
        <w:right w:val="none" w:sz="0" w:space="0" w:color="auto"/>
      </w:divBdr>
    </w:div>
    <w:div w:id="1695963181">
      <w:bodyDiv w:val="1"/>
      <w:marLeft w:val="0"/>
      <w:marRight w:val="0"/>
      <w:marTop w:val="0"/>
      <w:marBottom w:val="0"/>
      <w:divBdr>
        <w:top w:val="none" w:sz="0" w:space="0" w:color="auto"/>
        <w:left w:val="none" w:sz="0" w:space="0" w:color="auto"/>
        <w:bottom w:val="none" w:sz="0" w:space="0" w:color="auto"/>
        <w:right w:val="none" w:sz="0" w:space="0" w:color="auto"/>
      </w:divBdr>
    </w:div>
    <w:div w:id="1755279133">
      <w:bodyDiv w:val="1"/>
      <w:marLeft w:val="0"/>
      <w:marRight w:val="0"/>
      <w:marTop w:val="0"/>
      <w:marBottom w:val="0"/>
      <w:divBdr>
        <w:top w:val="none" w:sz="0" w:space="0" w:color="auto"/>
        <w:left w:val="none" w:sz="0" w:space="0" w:color="auto"/>
        <w:bottom w:val="none" w:sz="0" w:space="0" w:color="auto"/>
        <w:right w:val="none" w:sz="0" w:space="0" w:color="auto"/>
      </w:divBdr>
    </w:div>
    <w:div w:id="1771658692">
      <w:bodyDiv w:val="1"/>
      <w:marLeft w:val="0"/>
      <w:marRight w:val="0"/>
      <w:marTop w:val="0"/>
      <w:marBottom w:val="0"/>
      <w:divBdr>
        <w:top w:val="none" w:sz="0" w:space="0" w:color="auto"/>
        <w:left w:val="none" w:sz="0" w:space="0" w:color="auto"/>
        <w:bottom w:val="none" w:sz="0" w:space="0" w:color="auto"/>
        <w:right w:val="none" w:sz="0" w:space="0" w:color="auto"/>
      </w:divBdr>
    </w:div>
    <w:div w:id="1793206323">
      <w:bodyDiv w:val="1"/>
      <w:marLeft w:val="0"/>
      <w:marRight w:val="0"/>
      <w:marTop w:val="0"/>
      <w:marBottom w:val="0"/>
      <w:divBdr>
        <w:top w:val="none" w:sz="0" w:space="0" w:color="auto"/>
        <w:left w:val="none" w:sz="0" w:space="0" w:color="auto"/>
        <w:bottom w:val="none" w:sz="0" w:space="0" w:color="auto"/>
        <w:right w:val="none" w:sz="0" w:space="0" w:color="auto"/>
      </w:divBdr>
    </w:div>
    <w:div w:id="1796828593">
      <w:bodyDiv w:val="1"/>
      <w:marLeft w:val="0"/>
      <w:marRight w:val="0"/>
      <w:marTop w:val="0"/>
      <w:marBottom w:val="0"/>
      <w:divBdr>
        <w:top w:val="none" w:sz="0" w:space="0" w:color="auto"/>
        <w:left w:val="none" w:sz="0" w:space="0" w:color="auto"/>
        <w:bottom w:val="none" w:sz="0" w:space="0" w:color="auto"/>
        <w:right w:val="none" w:sz="0" w:space="0" w:color="auto"/>
      </w:divBdr>
    </w:div>
    <w:div w:id="1892307512">
      <w:bodyDiv w:val="1"/>
      <w:marLeft w:val="0"/>
      <w:marRight w:val="0"/>
      <w:marTop w:val="0"/>
      <w:marBottom w:val="0"/>
      <w:divBdr>
        <w:top w:val="none" w:sz="0" w:space="0" w:color="auto"/>
        <w:left w:val="none" w:sz="0" w:space="0" w:color="auto"/>
        <w:bottom w:val="none" w:sz="0" w:space="0" w:color="auto"/>
        <w:right w:val="none" w:sz="0" w:space="0" w:color="auto"/>
      </w:divBdr>
    </w:div>
    <w:div w:id="2133741038">
      <w:bodyDiv w:val="1"/>
      <w:marLeft w:val="0"/>
      <w:marRight w:val="0"/>
      <w:marTop w:val="0"/>
      <w:marBottom w:val="0"/>
      <w:divBdr>
        <w:top w:val="none" w:sz="0" w:space="0" w:color="auto"/>
        <w:left w:val="none" w:sz="0" w:space="0" w:color="auto"/>
        <w:bottom w:val="none" w:sz="0" w:space="0" w:color="auto"/>
        <w:right w:val="none" w:sz="0" w:space="0" w:color="auto"/>
      </w:divBdr>
    </w:div>
    <w:div w:id="213964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Category xmlns="4f5804d5-49c0-4153-b9d4-3ac3acf566d3">Template</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B848503616A74292EA15D8ED0BAC5C" ma:contentTypeVersion="2" ma:contentTypeDescription="Create a new document." ma:contentTypeScope="" ma:versionID="38172f678a002ed0da02f69984246af7">
  <xsd:schema xmlns:xsd="http://www.w3.org/2001/XMLSchema" xmlns:xs="http://www.w3.org/2001/XMLSchema" xmlns:p="http://schemas.microsoft.com/office/2006/metadata/properties" xmlns:ns1="http://schemas.microsoft.com/sharepoint/v3" xmlns:ns2="4f5804d5-49c0-4153-b9d4-3ac3acf566d3" targetNamespace="http://schemas.microsoft.com/office/2006/metadata/properties" ma:root="true" ma:fieldsID="f85d996f57db18552ee2dfeb6fb9f52f" ns1:_="" ns2:_="">
    <xsd:import namespace="http://schemas.microsoft.com/sharepoint/v3"/>
    <xsd:import namespace="4f5804d5-49c0-4153-b9d4-3ac3acf566d3"/>
    <xsd:element name="properties">
      <xsd:complexType>
        <xsd:sequence>
          <xsd:element name="documentManagement">
            <xsd:complexType>
              <xsd:all>
                <xsd:element ref="ns1:PublishingStartDate" minOccurs="0"/>
                <xsd:element ref="ns1:PublishingExpirationDat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5804d5-49c0-4153-b9d4-3ac3acf566d3" elementFormDefault="qualified">
    <xsd:import namespace="http://schemas.microsoft.com/office/2006/documentManagement/types"/>
    <xsd:import namespace="http://schemas.microsoft.com/office/infopath/2007/PartnerControls"/>
    <xsd:element name="Category" ma:index="10" nillable="true" ma:displayName="Category" ma:format="Dropdown" ma:internalName="Category">
      <xsd:simpleType>
        <xsd:restriction base="dms:Choice">
          <xsd:enumeration value="Event Fliers"/>
          <xsd:enumeration value="Fact Sheets"/>
          <xsd:enumeration value="Form"/>
          <xsd:enumeration value="Policy"/>
          <xsd:enumeration value="Presentations"/>
          <xsd:enumeration value="Procedure"/>
          <xsd:enumeration value="Publication"/>
          <xsd:enumeration value="Template"/>
          <xsd:enumeration value="Get Help"/>
          <xsd:enumeration value="Other"/>
          <xsd:enumeration value="News"/>
          <xsd:enumeration value="Newsletters"/>
          <xsd:enumeration value="Tenant Bulletins"/>
          <xsd:enumeration value="CF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A48D3B-E491-4A8E-906D-A93CC2C73B28}">
  <ds:schemaRefs>
    <ds:schemaRef ds:uri="http://purl.org/dc/elements/1.1/"/>
    <ds:schemaRef ds:uri="http://schemas.microsoft.com/office/2006/documentManagement/types"/>
    <ds:schemaRef ds:uri="http://schemas.microsoft.com/office/2006/metadata/properties"/>
    <ds:schemaRef ds:uri="http://schemas.microsoft.com/sharepoint/v3"/>
    <ds:schemaRef ds:uri="http://purl.org/dc/dcmitype/"/>
    <ds:schemaRef ds:uri="http://schemas.openxmlformats.org/package/2006/metadata/core-properties"/>
    <ds:schemaRef ds:uri="http://www.w3.org/XML/1998/namespace"/>
    <ds:schemaRef ds:uri="http://schemas.microsoft.com/office/infopath/2007/PartnerControls"/>
    <ds:schemaRef ds:uri="4f5804d5-49c0-4153-b9d4-3ac3acf566d3"/>
    <ds:schemaRef ds:uri="http://purl.org/dc/terms/"/>
  </ds:schemaRefs>
</ds:datastoreItem>
</file>

<file path=customXml/itemProps2.xml><?xml version="1.0" encoding="utf-8"?>
<ds:datastoreItem xmlns:ds="http://schemas.openxmlformats.org/officeDocument/2006/customXml" ds:itemID="{FDF8E5AF-5D2E-4E3E-B922-0826F13E6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5804d5-49c0-4153-b9d4-3ac3acf56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8AAB5F-6B02-4077-9768-D5F9E1D62234}">
  <ds:schemaRefs>
    <ds:schemaRef ds:uri="http://schemas.microsoft.com/sharepoint/v3/contenttype/forms"/>
  </ds:schemaRefs>
</ds:datastoreItem>
</file>

<file path=customXml/itemProps4.xml><?xml version="1.0" encoding="utf-8"?>
<ds:datastoreItem xmlns:ds="http://schemas.openxmlformats.org/officeDocument/2006/customXml" ds:itemID="{3A048FCD-DBDF-4EC8-8EF8-7864FC205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Fact Sheet Template</vt:lpstr>
    </vt:vector>
  </TitlesOfParts>
  <Company>State of Washington</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dc:title>
  <dc:creator>jessicam</dc:creator>
  <cp:lastModifiedBy>Field, Veronica (DES)</cp:lastModifiedBy>
  <cp:revision>4</cp:revision>
  <dcterms:created xsi:type="dcterms:W3CDTF">2019-07-18T02:48:00Z</dcterms:created>
  <dcterms:modified xsi:type="dcterms:W3CDTF">2019-07-18T03:15:00Z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0x01010058B848503616A74292EA15D8ED0BAC5C</vt:lpwstr>
  </property>
  <property fmtid="{D5CDD505-2E9C-101B-9397-08002B2CF9AE}" pid="3" name="Category">
    <vt:lpwstr>Template</vt:lpwstr>
  </property>
</Properties>
</file>