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AB6D6" w14:textId="21345115" w:rsidR="00886906" w:rsidRPr="00886906" w:rsidRDefault="00886906" w:rsidP="009C7652">
      <w:pPr>
        <w:spacing w:after="120"/>
        <w:rPr>
          <w:rFonts w:cs="Arial"/>
          <w:b/>
          <w:lang w:bidi="he-IL"/>
        </w:rPr>
      </w:pPr>
      <w:r w:rsidRPr="00886906">
        <w:rPr>
          <w:rFonts w:cs="Arial"/>
          <w:b/>
          <w:lang w:bidi="he-IL"/>
        </w:rPr>
        <w:t>Baltoro</w:t>
      </w:r>
      <w:r>
        <w:rPr>
          <w:rFonts w:cs="Arial"/>
          <w:b/>
          <w:lang w:bidi="he-IL"/>
        </w:rPr>
        <w:t xml:space="preserve"> Ink</w:t>
      </w:r>
      <w:r w:rsidR="0030117B">
        <w:rPr>
          <w:rFonts w:cs="Arial"/>
          <w:b/>
          <w:lang w:bidi="he-IL"/>
        </w:rPr>
        <w:t>j</w:t>
      </w:r>
      <w:r>
        <w:rPr>
          <w:rFonts w:cs="Arial"/>
          <w:b/>
          <w:lang w:bidi="he-IL"/>
        </w:rPr>
        <w:t xml:space="preserve">et </w:t>
      </w:r>
    </w:p>
    <w:p w14:paraId="3F8E23A6" w14:textId="7739EF9C" w:rsidR="006529F8" w:rsidRDefault="00B06FD3" w:rsidP="009C7652">
      <w:pPr>
        <w:spacing w:after="120"/>
        <w:rPr>
          <w:rFonts w:cs="Arial"/>
          <w:bCs/>
          <w:lang w:bidi="he-IL"/>
        </w:rPr>
      </w:pPr>
      <w:r>
        <w:rPr>
          <w:rFonts w:cs="Arial"/>
          <w:bCs/>
          <w:lang w:bidi="he-IL"/>
        </w:rPr>
        <w:t xml:space="preserve">Any Purchasing Entity who acquires Baltoro </w:t>
      </w:r>
      <w:r w:rsidR="00654AFF">
        <w:rPr>
          <w:rFonts w:cs="Arial"/>
          <w:bCs/>
          <w:lang w:bidi="he-IL"/>
        </w:rPr>
        <w:t>E</w:t>
      </w:r>
      <w:r>
        <w:rPr>
          <w:rFonts w:cs="Arial"/>
          <w:bCs/>
          <w:lang w:bidi="he-IL"/>
        </w:rPr>
        <w:t>quipment under the Xerox NASPO ValuePoint Master Agreement (“</w:t>
      </w:r>
      <w:r w:rsidR="00035D73">
        <w:rPr>
          <w:rFonts w:cs="Arial"/>
          <w:bCs/>
          <w:lang w:bidi="he-IL"/>
        </w:rPr>
        <w:t xml:space="preserve">Master </w:t>
      </w:r>
      <w:r>
        <w:rPr>
          <w:rFonts w:cs="Arial"/>
          <w:bCs/>
          <w:lang w:bidi="he-IL"/>
        </w:rPr>
        <w:t>Agreement”), #</w:t>
      </w:r>
      <w:r w:rsidR="00886906">
        <w:rPr>
          <w:rFonts w:cs="Arial"/>
          <w:bCs/>
          <w:lang w:bidi="he-IL"/>
        </w:rPr>
        <w:t>_______</w:t>
      </w:r>
      <w:r>
        <w:rPr>
          <w:rFonts w:cs="Arial"/>
          <w:bCs/>
          <w:lang w:bidi="he-IL"/>
        </w:rPr>
        <w:t xml:space="preserve">, shall be subject to the following terms, unless otherwise agreed to by the Participating State. </w:t>
      </w:r>
      <w:r w:rsidR="00C34B23" w:rsidRPr="00881B79">
        <w:rPr>
          <w:rFonts w:cs="Arial"/>
          <w:bCs/>
          <w:lang w:bidi="he-IL"/>
        </w:rPr>
        <w:t>Capitalized terms that are not defined in this A</w:t>
      </w:r>
      <w:r w:rsidR="00C34B23">
        <w:rPr>
          <w:rFonts w:cs="Arial"/>
          <w:bCs/>
          <w:lang w:bidi="he-IL"/>
        </w:rPr>
        <w:t xml:space="preserve">ttachment </w:t>
      </w:r>
      <w:r w:rsidR="00D44221">
        <w:rPr>
          <w:rFonts w:cs="Arial"/>
          <w:bCs/>
          <w:lang w:bidi="he-IL"/>
        </w:rPr>
        <w:t>13</w:t>
      </w:r>
      <w:r w:rsidR="00C34B23" w:rsidRPr="00881B79">
        <w:rPr>
          <w:rFonts w:cs="Arial"/>
          <w:bCs/>
          <w:lang w:bidi="he-IL"/>
        </w:rPr>
        <w:t xml:space="preserve"> shall have the same meaning assigned to them in the </w:t>
      </w:r>
      <w:r w:rsidR="00C34B23">
        <w:rPr>
          <w:rFonts w:cs="Arial"/>
          <w:bCs/>
          <w:lang w:bidi="he-IL"/>
        </w:rPr>
        <w:t xml:space="preserve">Master </w:t>
      </w:r>
      <w:r w:rsidR="00C34B23" w:rsidRPr="00881B79">
        <w:rPr>
          <w:rFonts w:cs="Arial"/>
          <w:bCs/>
          <w:lang w:bidi="he-IL"/>
        </w:rPr>
        <w:t xml:space="preserve">Agreement. </w:t>
      </w:r>
    </w:p>
    <w:p w14:paraId="4AFA6887" w14:textId="049FF02B" w:rsidR="006529F8" w:rsidRPr="0084509E" w:rsidRDefault="00035D73" w:rsidP="009C7652">
      <w:pPr>
        <w:rPr>
          <w:rFonts w:cs="Arial"/>
          <w:bCs/>
          <w:iCs/>
        </w:rPr>
      </w:pPr>
      <w:r>
        <w:rPr>
          <w:rFonts w:cs="Arial"/>
          <w:bCs/>
          <w:iCs/>
        </w:rPr>
        <w:t xml:space="preserve">For purposes of acquiring </w:t>
      </w:r>
      <w:r w:rsidR="006529F8" w:rsidRPr="0084509E">
        <w:rPr>
          <w:rFonts w:cs="Arial"/>
          <w:bCs/>
          <w:iCs/>
        </w:rPr>
        <w:t>Xerox’s Baltoro Production InkJet Equipment (“Equipment</w:t>
      </w:r>
      <w:r w:rsidR="00372282">
        <w:rPr>
          <w:rFonts w:cs="Arial"/>
          <w:bCs/>
          <w:iCs/>
        </w:rPr>
        <w:t xml:space="preserve">,” “PIJ Equipment” </w:t>
      </w:r>
      <w:r w:rsidR="006529F8" w:rsidRPr="0084509E">
        <w:rPr>
          <w:rFonts w:cs="Arial"/>
          <w:bCs/>
          <w:iCs/>
        </w:rPr>
        <w:t xml:space="preserve">or “Baltoro Equipment” as used herein) </w:t>
      </w:r>
      <w:r w:rsidR="00B06FD3">
        <w:rPr>
          <w:rFonts w:cs="Arial"/>
          <w:bCs/>
          <w:iCs/>
        </w:rPr>
        <w:t>under the</w:t>
      </w:r>
      <w:r w:rsidR="006529F8" w:rsidRPr="0084509E">
        <w:rPr>
          <w:rFonts w:cs="Arial"/>
          <w:bCs/>
          <w:iCs/>
        </w:rPr>
        <w:t xml:space="preserve"> </w:t>
      </w:r>
      <w:r>
        <w:rPr>
          <w:rFonts w:cs="Arial"/>
          <w:bCs/>
          <w:iCs/>
        </w:rPr>
        <w:t xml:space="preserve">Master </w:t>
      </w:r>
      <w:r w:rsidR="006529F8" w:rsidRPr="0084509E">
        <w:rPr>
          <w:rFonts w:cs="Arial"/>
          <w:bCs/>
          <w:iCs/>
        </w:rPr>
        <w:t xml:space="preserve">Agreement, </w:t>
      </w:r>
      <w:r w:rsidR="00654AFF">
        <w:rPr>
          <w:rFonts w:cs="Arial"/>
          <w:bCs/>
          <w:iCs/>
        </w:rPr>
        <w:t>Purchasing Entity</w:t>
      </w:r>
      <w:r w:rsidR="006529F8" w:rsidRPr="0084509E">
        <w:rPr>
          <w:rFonts w:cs="Arial"/>
          <w:bCs/>
          <w:iCs/>
        </w:rPr>
        <w:t xml:space="preserve"> agree</w:t>
      </w:r>
      <w:r w:rsidR="00654AFF">
        <w:rPr>
          <w:rFonts w:cs="Arial"/>
          <w:bCs/>
          <w:iCs/>
        </w:rPr>
        <w:t>s</w:t>
      </w:r>
      <w:r w:rsidR="00B06FD3">
        <w:rPr>
          <w:rFonts w:cs="Arial"/>
          <w:bCs/>
          <w:iCs/>
        </w:rPr>
        <w:t>,</w:t>
      </w:r>
      <w:r w:rsidR="006529F8" w:rsidRPr="0084509E">
        <w:rPr>
          <w:rFonts w:cs="Arial"/>
          <w:bCs/>
          <w:iCs/>
        </w:rPr>
        <w:t xml:space="preserve"> notwithstanding anything to the contrary</w:t>
      </w:r>
      <w:r w:rsidR="00B06FD3">
        <w:rPr>
          <w:rFonts w:cs="Arial"/>
          <w:bCs/>
          <w:iCs/>
        </w:rPr>
        <w:t>,</w:t>
      </w:r>
      <w:r w:rsidR="006529F8" w:rsidRPr="0084509E">
        <w:rPr>
          <w:rFonts w:cs="Arial"/>
          <w:bCs/>
          <w:iCs/>
        </w:rPr>
        <w:t xml:space="preserve"> </w:t>
      </w:r>
      <w:r w:rsidR="00B06FD3">
        <w:rPr>
          <w:rFonts w:cs="Arial"/>
          <w:bCs/>
          <w:iCs/>
        </w:rPr>
        <w:t xml:space="preserve">that </w:t>
      </w:r>
      <w:r w:rsidR="006529F8" w:rsidRPr="0084509E">
        <w:rPr>
          <w:rFonts w:cs="Arial"/>
          <w:bCs/>
          <w:iCs/>
        </w:rPr>
        <w:t xml:space="preserve">the following provisions are applicable to the PIJ Equipment and such provisions are in addition to those in the </w:t>
      </w:r>
      <w:r>
        <w:rPr>
          <w:rFonts w:cs="Arial"/>
          <w:bCs/>
          <w:iCs/>
        </w:rPr>
        <w:t xml:space="preserve">Master </w:t>
      </w:r>
      <w:r w:rsidR="006529F8" w:rsidRPr="0084509E">
        <w:rPr>
          <w:rFonts w:cs="Arial"/>
          <w:bCs/>
          <w:iCs/>
        </w:rPr>
        <w:t>Agreement</w:t>
      </w:r>
      <w:r w:rsidR="00203140">
        <w:rPr>
          <w:rFonts w:cs="Arial"/>
          <w:bCs/>
          <w:iCs/>
        </w:rPr>
        <w:t>.</w:t>
      </w:r>
      <w:r w:rsidR="00C34B23" w:rsidRPr="000C2278">
        <w:rPr>
          <w:rFonts w:cs="Arial"/>
          <w:bCs/>
          <w:iCs/>
        </w:rPr>
        <w:t xml:space="preserve"> </w:t>
      </w:r>
      <w:r w:rsidR="006B6455">
        <w:rPr>
          <w:rFonts w:cs="Arial"/>
          <w:bCs/>
          <w:iCs/>
        </w:rPr>
        <w:t xml:space="preserve">With exception </w:t>
      </w:r>
      <w:r w:rsidR="001540FB">
        <w:rPr>
          <w:rFonts w:cs="Arial"/>
          <w:bCs/>
          <w:iCs/>
        </w:rPr>
        <w:t xml:space="preserve">of the Supplies and Supplies Pricing section 5 below, </w:t>
      </w:r>
      <w:r w:rsidR="006B6455">
        <w:rPr>
          <w:rFonts w:cs="Arial"/>
          <w:bCs/>
          <w:iCs/>
        </w:rPr>
        <w:t>t</w:t>
      </w:r>
      <w:r w:rsidR="00C34B23" w:rsidRPr="000C2278">
        <w:rPr>
          <w:rFonts w:cs="Arial"/>
          <w:bCs/>
          <w:iCs/>
        </w:rPr>
        <w:t xml:space="preserve">o the extent that the terms and conditions set forth below are contrary to those in the Master Agreement, </w:t>
      </w:r>
      <w:r w:rsidR="00203140">
        <w:rPr>
          <w:rFonts w:cs="Arial"/>
          <w:bCs/>
          <w:iCs/>
        </w:rPr>
        <w:t xml:space="preserve">the Master </w:t>
      </w:r>
      <w:r w:rsidR="00C929DE">
        <w:rPr>
          <w:rFonts w:cs="Arial"/>
          <w:bCs/>
          <w:iCs/>
        </w:rPr>
        <w:t>Agreement</w:t>
      </w:r>
      <w:r w:rsidR="00A44B08">
        <w:rPr>
          <w:rFonts w:cs="Arial"/>
          <w:bCs/>
          <w:iCs/>
        </w:rPr>
        <w:t xml:space="preserve"> </w:t>
      </w:r>
      <w:r w:rsidR="00372282">
        <w:rPr>
          <w:rFonts w:cs="Arial"/>
          <w:bCs/>
          <w:iCs/>
        </w:rPr>
        <w:t>shall</w:t>
      </w:r>
      <w:r w:rsidR="00A44B08">
        <w:rPr>
          <w:rFonts w:cs="Arial"/>
          <w:bCs/>
          <w:iCs/>
        </w:rPr>
        <w:t xml:space="preserve"> control</w:t>
      </w:r>
      <w:r w:rsidR="00372282">
        <w:rPr>
          <w:rFonts w:cs="Arial"/>
          <w:bCs/>
          <w:iCs/>
        </w:rPr>
        <w:t>.</w:t>
      </w:r>
      <w:r w:rsidR="00203140" w:rsidRPr="0084509E">
        <w:rPr>
          <w:rFonts w:cs="Arial"/>
          <w:bCs/>
          <w:iCs/>
        </w:rPr>
        <w:t xml:space="preserve"> </w:t>
      </w:r>
    </w:p>
    <w:p w14:paraId="33F92280" w14:textId="77777777" w:rsidR="006529F8" w:rsidRPr="002C32C8" w:rsidRDefault="006529F8" w:rsidP="009C7652">
      <w:pPr>
        <w:rPr>
          <w:rFonts w:cs="Arial"/>
          <w:bCs/>
          <w:iCs/>
        </w:rPr>
      </w:pPr>
    </w:p>
    <w:p w14:paraId="6C300D1D" w14:textId="75D792E7" w:rsidR="004E6D61" w:rsidRPr="002C32C8" w:rsidRDefault="006529F8" w:rsidP="009C7652">
      <w:pPr>
        <w:pStyle w:val="ListParagraph"/>
        <w:numPr>
          <w:ilvl w:val="0"/>
          <w:numId w:val="1"/>
        </w:numPr>
        <w:jc w:val="both"/>
        <w:rPr>
          <w:rFonts w:ascii="Arial" w:hAnsi="Arial" w:cs="Arial"/>
          <w:bCs/>
          <w:iCs/>
          <w:sz w:val="20"/>
          <w:szCs w:val="20"/>
        </w:rPr>
      </w:pPr>
      <w:r w:rsidRPr="002C32C8">
        <w:rPr>
          <w:rFonts w:ascii="Arial" w:hAnsi="Arial" w:cs="Arial"/>
          <w:bCs/>
          <w:iCs/>
          <w:sz w:val="20"/>
          <w:szCs w:val="20"/>
        </w:rPr>
        <w:t xml:space="preserve">COMMENCEMENT &amp; TERM. The Term for each unit of Equipment will commence upon the installation of Xerox-installable Equipment as confirmed by </w:t>
      </w:r>
      <w:r w:rsidR="00654AFF" w:rsidRPr="002C32C8">
        <w:rPr>
          <w:rFonts w:ascii="Arial" w:hAnsi="Arial" w:cs="Arial"/>
          <w:bCs/>
          <w:iCs/>
          <w:sz w:val="20"/>
          <w:szCs w:val="20"/>
        </w:rPr>
        <w:t>the</w:t>
      </w:r>
      <w:r w:rsidRPr="002C32C8">
        <w:rPr>
          <w:rFonts w:ascii="Arial" w:hAnsi="Arial" w:cs="Arial"/>
          <w:bCs/>
          <w:iCs/>
          <w:sz w:val="20"/>
          <w:szCs w:val="20"/>
        </w:rPr>
        <w:t xml:space="preserve"> authorized </w:t>
      </w:r>
      <w:r w:rsidR="00654AFF" w:rsidRPr="002C32C8">
        <w:rPr>
          <w:rFonts w:ascii="Arial" w:hAnsi="Arial" w:cs="Arial"/>
          <w:bCs/>
          <w:iCs/>
          <w:sz w:val="20"/>
          <w:szCs w:val="20"/>
        </w:rPr>
        <w:t xml:space="preserve">Purchasing Entity </w:t>
      </w:r>
      <w:r w:rsidRPr="002C32C8">
        <w:rPr>
          <w:rFonts w:ascii="Arial" w:hAnsi="Arial" w:cs="Arial"/>
          <w:bCs/>
          <w:iCs/>
          <w:sz w:val="20"/>
          <w:szCs w:val="20"/>
        </w:rPr>
        <w:t xml:space="preserve">representative signing </w:t>
      </w:r>
      <w:r w:rsidR="00C34B23" w:rsidRPr="002C32C8">
        <w:rPr>
          <w:rFonts w:ascii="Arial" w:hAnsi="Arial" w:cs="Arial"/>
          <w:bCs/>
          <w:iCs/>
          <w:sz w:val="20"/>
          <w:szCs w:val="20"/>
        </w:rPr>
        <w:t xml:space="preserve">the Customer Acceptance Sign-off part of </w:t>
      </w:r>
      <w:r w:rsidR="00AC36E1" w:rsidRPr="002C32C8">
        <w:rPr>
          <w:rFonts w:ascii="Arial" w:hAnsi="Arial" w:cs="Arial"/>
          <w:bCs/>
          <w:iCs/>
          <w:sz w:val="20"/>
          <w:szCs w:val="20"/>
        </w:rPr>
        <w:t xml:space="preserve">Attachment </w:t>
      </w:r>
      <w:r w:rsidR="00D44221">
        <w:rPr>
          <w:rFonts w:ascii="Arial" w:hAnsi="Arial" w:cs="Arial"/>
          <w:bCs/>
          <w:iCs/>
          <w:sz w:val="20"/>
          <w:szCs w:val="20"/>
        </w:rPr>
        <w:t>15</w:t>
      </w:r>
      <w:r w:rsidR="00AC36E1" w:rsidRPr="002C32C8">
        <w:rPr>
          <w:rFonts w:ascii="Arial" w:hAnsi="Arial" w:cs="Arial"/>
          <w:bCs/>
          <w:iCs/>
          <w:sz w:val="20"/>
          <w:szCs w:val="20"/>
        </w:rPr>
        <w:t xml:space="preserve"> (Baltoro Customer Acceptan</w:t>
      </w:r>
      <w:r w:rsidR="00DD0767" w:rsidRPr="002C32C8">
        <w:rPr>
          <w:rFonts w:ascii="Arial" w:hAnsi="Arial" w:cs="Arial"/>
          <w:bCs/>
          <w:iCs/>
          <w:sz w:val="20"/>
          <w:szCs w:val="20"/>
        </w:rPr>
        <w:t>ce Form)</w:t>
      </w:r>
      <w:r w:rsidR="00C34B23" w:rsidRPr="002C32C8">
        <w:rPr>
          <w:rFonts w:ascii="Arial" w:hAnsi="Arial" w:cs="Arial"/>
          <w:bCs/>
          <w:iCs/>
          <w:sz w:val="20"/>
          <w:szCs w:val="20"/>
        </w:rPr>
        <w:t xml:space="preserve">, which is attached to and made part of this Order, to indicate that Acceptance (as described in the Section “Acceptance” below) has occurred (”Commencement Date”). </w:t>
      </w:r>
      <w:r w:rsidR="00AC36E1" w:rsidRPr="002C32C8">
        <w:rPr>
          <w:rFonts w:ascii="Arial" w:hAnsi="Arial" w:cs="Arial"/>
          <w:bCs/>
          <w:iCs/>
          <w:sz w:val="20"/>
          <w:szCs w:val="20"/>
        </w:rPr>
        <w:t xml:space="preserve"> </w:t>
      </w:r>
      <w:r w:rsidR="00654AFF" w:rsidRPr="002C32C8">
        <w:rPr>
          <w:rFonts w:ascii="Arial" w:hAnsi="Arial" w:cs="Arial"/>
          <w:bCs/>
          <w:iCs/>
          <w:sz w:val="20"/>
          <w:szCs w:val="20"/>
        </w:rPr>
        <w:t xml:space="preserve">Purchasing Entity </w:t>
      </w:r>
      <w:r w:rsidR="00AC36E1" w:rsidRPr="002C32C8">
        <w:rPr>
          <w:rFonts w:ascii="Arial" w:hAnsi="Arial" w:cs="Arial"/>
          <w:bCs/>
          <w:iCs/>
          <w:sz w:val="20"/>
          <w:szCs w:val="20"/>
        </w:rPr>
        <w:t xml:space="preserve">shall be provided with a copy of </w:t>
      </w:r>
      <w:r w:rsidR="00DD0767" w:rsidRPr="002C32C8">
        <w:rPr>
          <w:rFonts w:ascii="Arial" w:hAnsi="Arial" w:cs="Arial"/>
          <w:bCs/>
          <w:iCs/>
          <w:sz w:val="20"/>
          <w:szCs w:val="20"/>
        </w:rPr>
        <w:t xml:space="preserve">a completed and mutually agreed to </w:t>
      </w:r>
      <w:r w:rsidR="00AC36E1" w:rsidRPr="002C32C8">
        <w:rPr>
          <w:rFonts w:ascii="Arial" w:hAnsi="Arial" w:cs="Arial"/>
          <w:bCs/>
          <w:iCs/>
          <w:sz w:val="20"/>
          <w:szCs w:val="20"/>
        </w:rPr>
        <w:t xml:space="preserve">Attachment </w:t>
      </w:r>
      <w:r w:rsidR="00D44221">
        <w:rPr>
          <w:rFonts w:ascii="Arial" w:hAnsi="Arial" w:cs="Arial"/>
          <w:bCs/>
          <w:iCs/>
          <w:sz w:val="20"/>
          <w:szCs w:val="20"/>
        </w:rPr>
        <w:t>14</w:t>
      </w:r>
      <w:r w:rsidR="00AC36E1" w:rsidRPr="002C32C8">
        <w:rPr>
          <w:rFonts w:ascii="Arial" w:hAnsi="Arial" w:cs="Arial"/>
          <w:bCs/>
          <w:iCs/>
          <w:sz w:val="20"/>
          <w:szCs w:val="20"/>
        </w:rPr>
        <w:t xml:space="preserve"> (</w:t>
      </w:r>
      <w:r w:rsidR="00DD0767" w:rsidRPr="002C32C8">
        <w:rPr>
          <w:rFonts w:ascii="Arial" w:hAnsi="Arial" w:cs="Arial"/>
          <w:bCs/>
          <w:iCs/>
          <w:sz w:val="20"/>
          <w:szCs w:val="20"/>
        </w:rPr>
        <w:t xml:space="preserve">Sample </w:t>
      </w:r>
      <w:r w:rsidR="00AC36E1" w:rsidRPr="002C32C8">
        <w:rPr>
          <w:rFonts w:ascii="Arial" w:hAnsi="Arial" w:cs="Arial"/>
          <w:bCs/>
          <w:iCs/>
          <w:sz w:val="20"/>
          <w:szCs w:val="20"/>
        </w:rPr>
        <w:t xml:space="preserve">Baltoro Customer Expectations Document), as well as a completed, and mutually agreed to Attachment </w:t>
      </w:r>
      <w:r w:rsidR="00D44221">
        <w:rPr>
          <w:rFonts w:ascii="Arial" w:hAnsi="Arial" w:cs="Arial"/>
          <w:bCs/>
          <w:iCs/>
          <w:sz w:val="20"/>
          <w:szCs w:val="20"/>
        </w:rPr>
        <w:t>16</w:t>
      </w:r>
      <w:r w:rsidR="00AC36E1" w:rsidRPr="002C32C8">
        <w:rPr>
          <w:rFonts w:ascii="Arial" w:hAnsi="Arial" w:cs="Arial"/>
          <w:bCs/>
          <w:iCs/>
          <w:sz w:val="20"/>
          <w:szCs w:val="20"/>
        </w:rPr>
        <w:t xml:space="preserve"> (Baltoro SOW), prior to execution of any Order</w:t>
      </w:r>
      <w:r w:rsidR="00203140" w:rsidRPr="002C32C8">
        <w:rPr>
          <w:rFonts w:ascii="Arial" w:hAnsi="Arial" w:cs="Arial"/>
          <w:bCs/>
          <w:iCs/>
          <w:sz w:val="20"/>
          <w:szCs w:val="20"/>
        </w:rPr>
        <w:t>. In addition,</w:t>
      </w:r>
      <w:r w:rsidR="00C34B23" w:rsidRPr="002C32C8">
        <w:rPr>
          <w:rFonts w:ascii="Arial" w:hAnsi="Arial" w:cs="Arial"/>
          <w:bCs/>
          <w:iCs/>
          <w:sz w:val="20"/>
          <w:szCs w:val="20"/>
        </w:rPr>
        <w:t xml:space="preserve"> Purchasing Entity will sign both Attachment </w:t>
      </w:r>
      <w:r w:rsidR="00D44221">
        <w:rPr>
          <w:rFonts w:ascii="Arial" w:hAnsi="Arial" w:cs="Arial"/>
          <w:bCs/>
          <w:iCs/>
          <w:sz w:val="20"/>
          <w:szCs w:val="20"/>
        </w:rPr>
        <w:t>14</w:t>
      </w:r>
      <w:r w:rsidR="00C34B23" w:rsidRPr="002C32C8">
        <w:rPr>
          <w:rFonts w:ascii="Arial" w:hAnsi="Arial" w:cs="Arial"/>
          <w:bCs/>
          <w:iCs/>
          <w:sz w:val="20"/>
          <w:szCs w:val="20"/>
        </w:rPr>
        <w:t xml:space="preserve"> and Attachment </w:t>
      </w:r>
      <w:r w:rsidR="00D44221">
        <w:rPr>
          <w:rFonts w:ascii="Arial" w:hAnsi="Arial" w:cs="Arial"/>
          <w:bCs/>
          <w:iCs/>
          <w:sz w:val="20"/>
          <w:szCs w:val="20"/>
        </w:rPr>
        <w:t>16</w:t>
      </w:r>
      <w:r w:rsidR="00C34B23" w:rsidRPr="002C32C8">
        <w:rPr>
          <w:rFonts w:ascii="Arial" w:hAnsi="Arial" w:cs="Arial"/>
          <w:bCs/>
          <w:iCs/>
          <w:sz w:val="20"/>
          <w:szCs w:val="20"/>
        </w:rPr>
        <w:t xml:space="preserve"> prior to execution of any Order and both documents will be attached to and made part of the Order.  </w:t>
      </w:r>
      <w:r w:rsidR="00C34B23" w:rsidRPr="002C32C8">
        <w:rPr>
          <w:rFonts w:ascii="Arial" w:hAnsi="Arial" w:cs="Arial"/>
          <w:bCs/>
          <w:sz w:val="20"/>
          <w:szCs w:val="20"/>
        </w:rPr>
        <w:t xml:space="preserve">Once the Purchasing Entity signs Attachment </w:t>
      </w:r>
      <w:r w:rsidR="00D44221">
        <w:rPr>
          <w:rFonts w:ascii="Arial" w:hAnsi="Arial" w:cs="Arial"/>
          <w:bCs/>
          <w:sz w:val="20"/>
          <w:szCs w:val="20"/>
        </w:rPr>
        <w:t>14</w:t>
      </w:r>
      <w:r w:rsidR="00C34B23" w:rsidRPr="002C32C8">
        <w:rPr>
          <w:rFonts w:ascii="Arial" w:hAnsi="Arial" w:cs="Arial"/>
          <w:bCs/>
          <w:sz w:val="20"/>
          <w:szCs w:val="20"/>
        </w:rPr>
        <w:t xml:space="preserve">, the date will be indicated on the “Pre-Sales Activities” portion of Attachment </w:t>
      </w:r>
      <w:r w:rsidR="00D44221">
        <w:rPr>
          <w:rFonts w:ascii="Arial" w:hAnsi="Arial" w:cs="Arial"/>
          <w:bCs/>
          <w:sz w:val="20"/>
          <w:szCs w:val="20"/>
        </w:rPr>
        <w:t>15</w:t>
      </w:r>
      <w:r w:rsidR="00C34B23" w:rsidRPr="002C32C8">
        <w:rPr>
          <w:rFonts w:ascii="Arial" w:hAnsi="Arial" w:cs="Arial"/>
          <w:bCs/>
          <w:sz w:val="20"/>
          <w:szCs w:val="20"/>
        </w:rPr>
        <w:t xml:space="preserve">. </w:t>
      </w:r>
      <w:r w:rsidR="00C34B23" w:rsidRPr="002C32C8">
        <w:rPr>
          <w:rFonts w:ascii="Arial" w:hAnsi="Arial" w:cs="Arial"/>
          <w:bCs/>
          <w:iCs/>
          <w:sz w:val="20"/>
          <w:szCs w:val="20"/>
        </w:rPr>
        <w:t xml:space="preserve"> The initial Term of the Order will continue from the Commencement Date</w:t>
      </w:r>
      <w:r w:rsidR="00C34B23" w:rsidRPr="002C32C8">
        <w:rPr>
          <w:bCs/>
        </w:rPr>
        <w:t xml:space="preserve"> </w:t>
      </w:r>
      <w:r w:rsidR="00C34B23" w:rsidRPr="002C32C8">
        <w:rPr>
          <w:rFonts w:ascii="Arial" w:hAnsi="Arial" w:cs="Arial"/>
          <w:bCs/>
          <w:iCs/>
          <w:sz w:val="20"/>
          <w:szCs w:val="20"/>
        </w:rPr>
        <w:t>for the number of full calendar months shown as "Term" on the face of the Order.</w:t>
      </w:r>
      <w:r w:rsidR="003168EA" w:rsidRPr="002C32C8">
        <w:rPr>
          <w:rFonts w:ascii="Arial" w:hAnsi="Arial" w:cs="Arial"/>
          <w:bCs/>
          <w:iCs/>
          <w:sz w:val="20"/>
          <w:szCs w:val="20"/>
        </w:rPr>
        <w:t xml:space="preserve"> </w:t>
      </w:r>
      <w:r w:rsidRPr="002C32C8">
        <w:rPr>
          <w:rFonts w:ascii="Arial" w:hAnsi="Arial" w:cs="Arial"/>
          <w:bCs/>
          <w:iCs/>
          <w:sz w:val="20"/>
          <w:szCs w:val="20"/>
        </w:rPr>
        <w:t>Any partial month in the Term will be billed on a pro rata basis, based on a 30</w:t>
      </w:r>
      <w:r w:rsidR="00AC36E1" w:rsidRPr="002C32C8">
        <w:rPr>
          <w:rFonts w:ascii="Arial" w:hAnsi="Arial" w:cs="Arial"/>
          <w:bCs/>
          <w:iCs/>
          <w:sz w:val="20"/>
          <w:szCs w:val="20"/>
        </w:rPr>
        <w:t>-</w:t>
      </w:r>
      <w:r w:rsidRPr="002C32C8">
        <w:rPr>
          <w:rFonts w:ascii="Arial" w:hAnsi="Arial" w:cs="Arial"/>
          <w:bCs/>
          <w:iCs/>
          <w:sz w:val="20"/>
          <w:szCs w:val="20"/>
        </w:rPr>
        <w:t xml:space="preserve">day month. Upon termination, </w:t>
      </w:r>
      <w:r w:rsidR="00654AFF" w:rsidRPr="002C32C8">
        <w:rPr>
          <w:rFonts w:ascii="Arial" w:hAnsi="Arial" w:cs="Arial"/>
          <w:bCs/>
          <w:iCs/>
          <w:sz w:val="20"/>
          <w:szCs w:val="20"/>
        </w:rPr>
        <w:t>Purchasing Entity</w:t>
      </w:r>
      <w:r w:rsidRPr="002C32C8">
        <w:rPr>
          <w:rFonts w:ascii="Arial" w:hAnsi="Arial" w:cs="Arial"/>
          <w:bCs/>
          <w:iCs/>
          <w:sz w:val="20"/>
          <w:szCs w:val="20"/>
        </w:rPr>
        <w:t xml:space="preserve"> will make the </w:t>
      </w:r>
      <w:r w:rsidR="00654AFF" w:rsidRPr="002C32C8">
        <w:rPr>
          <w:rFonts w:ascii="Arial" w:hAnsi="Arial" w:cs="Arial"/>
          <w:bCs/>
          <w:iCs/>
          <w:sz w:val="20"/>
          <w:szCs w:val="20"/>
        </w:rPr>
        <w:t>Equipment</w:t>
      </w:r>
      <w:r w:rsidRPr="002C32C8">
        <w:rPr>
          <w:rFonts w:ascii="Arial" w:hAnsi="Arial" w:cs="Arial"/>
          <w:bCs/>
          <w:iCs/>
          <w:sz w:val="20"/>
          <w:szCs w:val="20"/>
        </w:rPr>
        <w:t xml:space="preserve"> available for removal by Xerox. At the time of removal, the Equipment will be in the same condition as when delivered (reasonable wear and tear excepted).  </w:t>
      </w:r>
    </w:p>
    <w:p w14:paraId="1D1F589E" w14:textId="77777777" w:rsidR="003168EA" w:rsidRPr="003168EA" w:rsidRDefault="003168EA" w:rsidP="009C7652">
      <w:pPr>
        <w:pStyle w:val="ListParagraph"/>
        <w:ind w:left="360"/>
        <w:jc w:val="both"/>
        <w:rPr>
          <w:rFonts w:ascii="Arial" w:hAnsi="Arial" w:cs="Arial"/>
          <w:bCs/>
          <w:iCs/>
          <w:sz w:val="20"/>
          <w:szCs w:val="20"/>
        </w:rPr>
      </w:pPr>
    </w:p>
    <w:p w14:paraId="1E246733" w14:textId="1A750522" w:rsidR="00CE6013" w:rsidRPr="00CE6013" w:rsidRDefault="006529F8" w:rsidP="009C7652">
      <w:pPr>
        <w:pStyle w:val="ListParagraph"/>
        <w:numPr>
          <w:ilvl w:val="0"/>
          <w:numId w:val="1"/>
        </w:numPr>
        <w:jc w:val="both"/>
        <w:rPr>
          <w:rFonts w:ascii="Arial" w:hAnsi="Arial" w:cs="Arial"/>
        </w:rPr>
      </w:pPr>
      <w:r w:rsidRPr="004B24A2">
        <w:rPr>
          <w:rFonts w:ascii="Arial" w:hAnsi="Arial" w:cs="Arial"/>
          <w:b/>
          <w:bCs/>
          <w:iCs/>
          <w:sz w:val="20"/>
          <w:szCs w:val="20"/>
        </w:rPr>
        <w:t>RESPONSIBILITY FOR MEETING CERTAIN CED REQUIREMENTS.</w:t>
      </w:r>
      <w:r w:rsidRPr="00343578">
        <w:rPr>
          <w:rFonts w:ascii="Arial" w:hAnsi="Arial" w:cs="Arial"/>
          <w:bCs/>
          <w:iCs/>
          <w:sz w:val="20"/>
          <w:szCs w:val="20"/>
        </w:rPr>
        <w:t xml:space="preserve"> The P</w:t>
      </w:r>
      <w:r w:rsidR="00AC36E1" w:rsidRPr="00343578">
        <w:rPr>
          <w:rFonts w:ascii="Arial" w:hAnsi="Arial" w:cs="Arial"/>
          <w:bCs/>
          <w:iCs/>
          <w:sz w:val="20"/>
          <w:szCs w:val="20"/>
        </w:rPr>
        <w:t>urchasing</w:t>
      </w:r>
      <w:r w:rsidRPr="00343578">
        <w:rPr>
          <w:rFonts w:ascii="Arial" w:hAnsi="Arial" w:cs="Arial"/>
          <w:bCs/>
          <w:iCs/>
          <w:sz w:val="20"/>
          <w:szCs w:val="20"/>
        </w:rPr>
        <w:t xml:space="preserve"> Entity is solely responsible for fulfilling all of the “customer” obligations set forth in </w:t>
      </w:r>
      <w:r w:rsidR="004B24A2">
        <w:rPr>
          <w:rFonts w:ascii="Arial" w:hAnsi="Arial" w:cs="Arial"/>
          <w:bCs/>
          <w:iCs/>
          <w:sz w:val="20"/>
          <w:szCs w:val="20"/>
        </w:rPr>
        <w:t xml:space="preserve">Attachment </w:t>
      </w:r>
      <w:r w:rsidR="00D44221">
        <w:rPr>
          <w:rFonts w:ascii="Arial" w:hAnsi="Arial" w:cs="Arial"/>
          <w:bCs/>
          <w:iCs/>
          <w:sz w:val="20"/>
          <w:szCs w:val="20"/>
        </w:rPr>
        <w:t>14</w:t>
      </w:r>
      <w:r w:rsidR="004B24A2">
        <w:rPr>
          <w:rFonts w:ascii="Arial" w:hAnsi="Arial" w:cs="Arial"/>
          <w:bCs/>
          <w:iCs/>
          <w:sz w:val="20"/>
          <w:szCs w:val="20"/>
        </w:rPr>
        <w:t xml:space="preserve"> (</w:t>
      </w:r>
      <w:r w:rsidR="002424B0">
        <w:rPr>
          <w:rFonts w:ascii="Arial" w:hAnsi="Arial" w:cs="Arial"/>
          <w:bCs/>
          <w:iCs/>
          <w:sz w:val="20"/>
          <w:szCs w:val="20"/>
        </w:rPr>
        <w:t>Sample</w:t>
      </w:r>
      <w:r w:rsidR="00323A4D">
        <w:rPr>
          <w:rFonts w:ascii="Arial" w:hAnsi="Arial" w:cs="Arial"/>
          <w:bCs/>
          <w:iCs/>
          <w:sz w:val="20"/>
          <w:szCs w:val="20"/>
        </w:rPr>
        <w:t xml:space="preserve"> </w:t>
      </w:r>
      <w:r w:rsidR="004B24A2">
        <w:rPr>
          <w:rFonts w:ascii="Arial" w:hAnsi="Arial" w:cs="Arial"/>
          <w:bCs/>
          <w:iCs/>
          <w:sz w:val="20"/>
          <w:szCs w:val="20"/>
        </w:rPr>
        <w:t>Baltoro Customer Expectations Document), hereinafter “CED,”</w:t>
      </w:r>
      <w:r w:rsidR="00AC36E1" w:rsidRPr="00343578">
        <w:rPr>
          <w:rFonts w:ascii="Arial" w:hAnsi="Arial" w:cs="Arial"/>
          <w:bCs/>
          <w:iCs/>
          <w:sz w:val="20"/>
          <w:szCs w:val="20"/>
        </w:rPr>
        <w:t xml:space="preserve"> which </w:t>
      </w:r>
      <w:r w:rsidRPr="00343578">
        <w:rPr>
          <w:rFonts w:ascii="Arial" w:hAnsi="Arial" w:cs="Arial"/>
          <w:bCs/>
          <w:iCs/>
          <w:sz w:val="20"/>
          <w:szCs w:val="20"/>
        </w:rPr>
        <w:t>includ</w:t>
      </w:r>
      <w:r w:rsidR="004B24A2">
        <w:rPr>
          <w:rFonts w:ascii="Arial" w:hAnsi="Arial" w:cs="Arial"/>
          <w:bCs/>
          <w:iCs/>
          <w:sz w:val="20"/>
          <w:szCs w:val="20"/>
        </w:rPr>
        <w:t>e</w:t>
      </w:r>
      <w:r w:rsidRPr="00343578">
        <w:rPr>
          <w:rFonts w:ascii="Arial" w:hAnsi="Arial" w:cs="Arial"/>
          <w:bCs/>
          <w:iCs/>
          <w:sz w:val="20"/>
          <w:szCs w:val="20"/>
        </w:rPr>
        <w:t xml:space="preserve">, but </w:t>
      </w:r>
      <w:r w:rsidR="004B24A2">
        <w:rPr>
          <w:rFonts w:ascii="Arial" w:hAnsi="Arial" w:cs="Arial"/>
          <w:bCs/>
          <w:iCs/>
          <w:sz w:val="20"/>
          <w:szCs w:val="20"/>
        </w:rPr>
        <w:t xml:space="preserve">are </w:t>
      </w:r>
      <w:r w:rsidRPr="00343578">
        <w:rPr>
          <w:rFonts w:ascii="Arial" w:hAnsi="Arial" w:cs="Arial"/>
          <w:bCs/>
          <w:iCs/>
          <w:sz w:val="20"/>
          <w:szCs w:val="20"/>
        </w:rPr>
        <w:t>not limited to, meeting all environmental, product space and power, and network connectivity requirements.  In addition, the CED and User Guide (“Guide”) set forth certain operator maintenance activities that P</w:t>
      </w:r>
      <w:r w:rsidR="00AC36E1" w:rsidRPr="00343578">
        <w:rPr>
          <w:rFonts w:ascii="Arial" w:hAnsi="Arial" w:cs="Arial"/>
          <w:bCs/>
          <w:iCs/>
          <w:sz w:val="20"/>
          <w:szCs w:val="20"/>
        </w:rPr>
        <w:t>urchasing</w:t>
      </w:r>
      <w:r w:rsidRPr="00343578">
        <w:rPr>
          <w:rFonts w:ascii="Arial" w:hAnsi="Arial" w:cs="Arial"/>
          <w:bCs/>
          <w:iCs/>
          <w:sz w:val="20"/>
          <w:szCs w:val="20"/>
        </w:rPr>
        <w:t xml:space="preserve"> Entity is responsible for performing at the intervals indicated therein.  The </w:t>
      </w:r>
      <w:r w:rsidR="00AC36E1" w:rsidRPr="00343578">
        <w:rPr>
          <w:rFonts w:ascii="Arial" w:hAnsi="Arial" w:cs="Arial"/>
          <w:bCs/>
          <w:iCs/>
          <w:sz w:val="20"/>
          <w:szCs w:val="20"/>
        </w:rPr>
        <w:t>Purchasing</w:t>
      </w:r>
      <w:r w:rsidRPr="00343578">
        <w:rPr>
          <w:rFonts w:ascii="Arial" w:hAnsi="Arial" w:cs="Arial"/>
          <w:bCs/>
          <w:iCs/>
          <w:sz w:val="20"/>
          <w:szCs w:val="20"/>
        </w:rPr>
        <w:t xml:space="preserve"> Entity</w:t>
      </w:r>
      <w:r w:rsidR="003168EA">
        <w:rPr>
          <w:rFonts w:ascii="Arial" w:hAnsi="Arial" w:cs="Arial"/>
          <w:bCs/>
          <w:iCs/>
          <w:sz w:val="20"/>
          <w:szCs w:val="20"/>
        </w:rPr>
        <w:t xml:space="preserve"> </w:t>
      </w:r>
      <w:r w:rsidRPr="00343578">
        <w:rPr>
          <w:rFonts w:ascii="Arial" w:hAnsi="Arial" w:cs="Arial"/>
          <w:bCs/>
          <w:iCs/>
          <w:sz w:val="20"/>
          <w:szCs w:val="20"/>
        </w:rPr>
        <w:t xml:space="preserve">may have </w:t>
      </w:r>
      <w:r w:rsidR="004B24A2">
        <w:rPr>
          <w:rFonts w:ascii="Arial" w:hAnsi="Arial" w:cs="Arial"/>
          <w:bCs/>
          <w:iCs/>
          <w:sz w:val="20"/>
          <w:szCs w:val="20"/>
        </w:rPr>
        <w:t>Xerox</w:t>
      </w:r>
      <w:r w:rsidRPr="00343578">
        <w:rPr>
          <w:rFonts w:ascii="Arial" w:hAnsi="Arial" w:cs="Arial"/>
          <w:bCs/>
          <w:iCs/>
          <w:sz w:val="20"/>
          <w:szCs w:val="20"/>
        </w:rPr>
        <w:t xml:space="preserve"> perform, or assist in the performance of, any of these operator maintenance activities, subject to the availability of </w:t>
      </w:r>
      <w:r w:rsidR="004B24A2">
        <w:rPr>
          <w:rFonts w:ascii="Arial" w:hAnsi="Arial" w:cs="Arial"/>
          <w:bCs/>
          <w:iCs/>
          <w:sz w:val="20"/>
          <w:szCs w:val="20"/>
        </w:rPr>
        <w:t>Xerox</w:t>
      </w:r>
      <w:r w:rsidRPr="00343578">
        <w:rPr>
          <w:rFonts w:ascii="Arial" w:hAnsi="Arial" w:cs="Arial"/>
          <w:bCs/>
          <w:iCs/>
          <w:sz w:val="20"/>
          <w:szCs w:val="20"/>
        </w:rPr>
        <w:t xml:space="preserve"> certified technicians, </w:t>
      </w:r>
      <w:r w:rsidR="00AC36E1" w:rsidRPr="00343578">
        <w:rPr>
          <w:rFonts w:ascii="Arial" w:hAnsi="Arial" w:cs="Arial"/>
          <w:bCs/>
          <w:iCs/>
          <w:sz w:val="20"/>
          <w:szCs w:val="20"/>
        </w:rPr>
        <w:t xml:space="preserve">and </w:t>
      </w:r>
      <w:r w:rsidRPr="00343578">
        <w:rPr>
          <w:rFonts w:ascii="Arial" w:hAnsi="Arial" w:cs="Arial"/>
          <w:bCs/>
          <w:iCs/>
          <w:sz w:val="20"/>
          <w:szCs w:val="20"/>
        </w:rPr>
        <w:t xml:space="preserve">upon the </w:t>
      </w:r>
      <w:r w:rsidR="00AC36E1" w:rsidRPr="00343578">
        <w:rPr>
          <w:rFonts w:ascii="Arial" w:hAnsi="Arial" w:cs="Arial"/>
          <w:bCs/>
          <w:iCs/>
          <w:sz w:val="20"/>
          <w:szCs w:val="20"/>
        </w:rPr>
        <w:t>Purchasing</w:t>
      </w:r>
      <w:r w:rsidRPr="00343578">
        <w:rPr>
          <w:rFonts w:ascii="Arial" w:hAnsi="Arial" w:cs="Arial"/>
          <w:bCs/>
          <w:iCs/>
          <w:sz w:val="20"/>
          <w:szCs w:val="20"/>
        </w:rPr>
        <w:t xml:space="preserve"> Entity’s agreement to pay </w:t>
      </w:r>
      <w:r w:rsidR="004B24A2">
        <w:rPr>
          <w:rFonts w:ascii="Arial" w:hAnsi="Arial" w:cs="Arial"/>
          <w:bCs/>
          <w:iCs/>
          <w:sz w:val="20"/>
          <w:szCs w:val="20"/>
        </w:rPr>
        <w:t>Xerox</w:t>
      </w:r>
      <w:r w:rsidRPr="00343578">
        <w:rPr>
          <w:rFonts w:ascii="Arial" w:hAnsi="Arial" w:cs="Arial"/>
          <w:bCs/>
          <w:iCs/>
          <w:sz w:val="20"/>
          <w:szCs w:val="20"/>
        </w:rPr>
        <w:t>’s service call rates</w:t>
      </w:r>
      <w:r w:rsidR="00AC36E1" w:rsidRPr="00343578">
        <w:rPr>
          <w:rFonts w:ascii="Arial" w:hAnsi="Arial" w:cs="Arial"/>
          <w:bCs/>
          <w:iCs/>
          <w:sz w:val="20"/>
          <w:szCs w:val="20"/>
        </w:rPr>
        <w:t>, as specified in the Master Agreement Price List</w:t>
      </w:r>
      <w:r w:rsidRPr="00343578">
        <w:rPr>
          <w:rFonts w:ascii="Arial" w:hAnsi="Arial" w:cs="Arial"/>
          <w:bCs/>
          <w:iCs/>
          <w:sz w:val="20"/>
          <w:szCs w:val="20"/>
        </w:rPr>
        <w:t>.</w:t>
      </w:r>
    </w:p>
    <w:p w14:paraId="33DDA2F2" w14:textId="77777777" w:rsidR="00CE6013" w:rsidRPr="00CE6013" w:rsidRDefault="00CE6013" w:rsidP="009C7652">
      <w:pPr>
        <w:pStyle w:val="ListParagraph"/>
        <w:jc w:val="both"/>
        <w:rPr>
          <w:rFonts w:ascii="Arial" w:hAnsi="Arial" w:cs="Arial"/>
          <w:bCs/>
          <w:iCs/>
          <w:sz w:val="20"/>
          <w:szCs w:val="20"/>
        </w:rPr>
      </w:pPr>
    </w:p>
    <w:p w14:paraId="6FA4FE65" w14:textId="1A5C3AAA" w:rsidR="004D4D2B" w:rsidRPr="00ED4957" w:rsidRDefault="004D4D2B" w:rsidP="009C7652">
      <w:pPr>
        <w:pStyle w:val="ListParagraph"/>
        <w:ind w:left="360"/>
        <w:jc w:val="both"/>
        <w:rPr>
          <w:rFonts w:ascii="Arial" w:hAnsi="Arial" w:cs="Arial"/>
          <w:sz w:val="20"/>
          <w:szCs w:val="20"/>
        </w:rPr>
      </w:pPr>
      <w:r w:rsidRPr="00ED4957">
        <w:rPr>
          <w:rFonts w:ascii="Arial" w:hAnsi="Arial" w:cs="Arial"/>
          <w:sz w:val="20"/>
          <w:szCs w:val="20"/>
        </w:rPr>
        <w:t>Notwithstanding the foregoing, the following</w:t>
      </w:r>
      <w:r w:rsidR="009B0E0B" w:rsidRPr="00ED4957">
        <w:rPr>
          <w:rFonts w:ascii="Arial" w:hAnsi="Arial" w:cs="Arial"/>
          <w:sz w:val="20"/>
          <w:szCs w:val="20"/>
        </w:rPr>
        <w:t xml:space="preserve"> shall clarify and/or modify</w:t>
      </w:r>
      <w:r w:rsidR="00ED4957" w:rsidRPr="00ED4957">
        <w:rPr>
          <w:rFonts w:ascii="Arial" w:hAnsi="Arial" w:cs="Arial"/>
          <w:sz w:val="20"/>
          <w:szCs w:val="20"/>
        </w:rPr>
        <w:t xml:space="preserve"> </w:t>
      </w:r>
      <w:r w:rsidR="00AA07CC" w:rsidRPr="00ED4957">
        <w:rPr>
          <w:rFonts w:ascii="Arial" w:hAnsi="Arial" w:cs="Arial"/>
          <w:sz w:val="20"/>
          <w:szCs w:val="20"/>
        </w:rPr>
        <w:t xml:space="preserve">language in </w:t>
      </w:r>
      <w:r w:rsidRPr="00ED4957">
        <w:rPr>
          <w:rFonts w:ascii="Arial" w:hAnsi="Arial" w:cs="Arial"/>
          <w:sz w:val="20"/>
          <w:szCs w:val="20"/>
        </w:rPr>
        <w:t xml:space="preserve">the CED </w:t>
      </w:r>
      <w:r w:rsidR="009B0E0B" w:rsidRPr="00ED4957">
        <w:rPr>
          <w:rFonts w:ascii="Arial" w:hAnsi="Arial" w:cs="Arial"/>
          <w:sz w:val="20"/>
          <w:szCs w:val="20"/>
        </w:rPr>
        <w:t>as follows:</w:t>
      </w:r>
    </w:p>
    <w:p w14:paraId="08AC287A" w14:textId="77777777" w:rsidR="004D4D2B" w:rsidRPr="0008510E" w:rsidRDefault="004D4D2B" w:rsidP="009C7652">
      <w:pPr>
        <w:pStyle w:val="ListParagraph"/>
        <w:ind w:left="360"/>
        <w:jc w:val="both"/>
        <w:rPr>
          <w:rFonts w:ascii="Arial" w:hAnsi="Arial" w:cs="Arial"/>
          <w:color w:val="0070C0"/>
          <w:sz w:val="20"/>
          <w:szCs w:val="20"/>
        </w:rPr>
      </w:pPr>
    </w:p>
    <w:p w14:paraId="5A9B078F" w14:textId="77777777" w:rsidR="009B0E0B" w:rsidRPr="00ED4957" w:rsidRDefault="00AA07CC" w:rsidP="009C7652">
      <w:pPr>
        <w:pStyle w:val="ListParagraph"/>
        <w:spacing w:after="60"/>
        <w:ind w:left="360"/>
        <w:jc w:val="both"/>
        <w:rPr>
          <w:rFonts w:ascii="Arial" w:hAnsi="Arial" w:cs="Arial"/>
          <w:sz w:val="20"/>
          <w:szCs w:val="20"/>
        </w:rPr>
      </w:pPr>
      <w:r w:rsidRPr="00ED4957">
        <w:rPr>
          <w:rFonts w:ascii="Arial" w:hAnsi="Arial" w:cs="Arial"/>
          <w:sz w:val="20"/>
          <w:szCs w:val="20"/>
        </w:rPr>
        <w:t xml:space="preserve">Under the </w:t>
      </w:r>
      <w:r w:rsidRPr="00ED4957">
        <w:rPr>
          <w:rFonts w:ascii="Arial" w:hAnsi="Arial" w:cs="Arial"/>
          <w:b/>
          <w:sz w:val="20"/>
          <w:szCs w:val="20"/>
        </w:rPr>
        <w:t>Introduction</w:t>
      </w:r>
      <w:r w:rsidRPr="00ED4957">
        <w:rPr>
          <w:rFonts w:ascii="Arial" w:hAnsi="Arial" w:cs="Arial"/>
          <w:sz w:val="20"/>
          <w:szCs w:val="20"/>
        </w:rPr>
        <w:t xml:space="preserve"> Section</w:t>
      </w:r>
      <w:r w:rsidR="009B0E0B" w:rsidRPr="00ED4957">
        <w:rPr>
          <w:rFonts w:ascii="Arial" w:hAnsi="Arial" w:cs="Arial"/>
          <w:sz w:val="20"/>
          <w:szCs w:val="20"/>
        </w:rPr>
        <w:t>:</w:t>
      </w:r>
    </w:p>
    <w:p w14:paraId="63C739E7" w14:textId="43A71258" w:rsidR="00AA07CC" w:rsidRPr="00ED4957" w:rsidRDefault="009B0E0B" w:rsidP="009C7652">
      <w:pPr>
        <w:pStyle w:val="ListParagraph"/>
        <w:ind w:left="360"/>
        <w:jc w:val="both"/>
        <w:rPr>
          <w:rFonts w:ascii="Arial" w:hAnsi="Arial" w:cs="Arial"/>
          <w:sz w:val="20"/>
          <w:szCs w:val="20"/>
        </w:rPr>
      </w:pPr>
      <w:r w:rsidRPr="00ED4957">
        <w:rPr>
          <w:rFonts w:ascii="Arial" w:hAnsi="Arial" w:cs="Arial"/>
          <w:sz w:val="20"/>
          <w:szCs w:val="20"/>
        </w:rPr>
        <w:t xml:space="preserve">The sentence </w:t>
      </w:r>
      <w:r w:rsidRPr="00ED4957">
        <w:rPr>
          <w:rFonts w:ascii="Arial" w:hAnsi="Arial" w:cs="Arial"/>
          <w:i/>
          <w:sz w:val="20"/>
          <w:szCs w:val="20"/>
        </w:rPr>
        <w:t xml:space="preserve">“We expect you as our valued customer to use all reasonable efforts to safeguard the document, to not disclose its contents to third parties, and to only circulate it within the organization on a need to know basis” </w:t>
      </w:r>
      <w:r w:rsidRPr="00ED4957">
        <w:rPr>
          <w:rFonts w:ascii="Arial" w:hAnsi="Arial" w:cs="Arial"/>
          <w:sz w:val="20"/>
          <w:szCs w:val="20"/>
        </w:rPr>
        <w:t xml:space="preserve">shall only apply to the </w:t>
      </w:r>
      <w:r w:rsidRPr="00ED4957">
        <w:rPr>
          <w:rFonts w:ascii="Arial" w:hAnsi="Arial" w:cs="Arial"/>
          <w:sz w:val="20"/>
          <w:szCs w:val="20"/>
          <w:u w:val="single"/>
        </w:rPr>
        <w:t xml:space="preserve">completed </w:t>
      </w:r>
      <w:r w:rsidR="00CA75B3" w:rsidRPr="00ED4957">
        <w:rPr>
          <w:rFonts w:ascii="Arial" w:hAnsi="Arial" w:cs="Arial"/>
          <w:sz w:val="20"/>
          <w:szCs w:val="20"/>
          <w:u w:val="single"/>
        </w:rPr>
        <w:t xml:space="preserve">Order </w:t>
      </w:r>
      <w:r w:rsidRPr="00ED4957">
        <w:rPr>
          <w:rFonts w:ascii="Arial" w:hAnsi="Arial" w:cs="Arial"/>
          <w:sz w:val="20"/>
          <w:szCs w:val="20"/>
        </w:rPr>
        <w:t>document</w:t>
      </w:r>
      <w:r w:rsidR="00CA75B3" w:rsidRPr="00ED4957">
        <w:rPr>
          <w:rFonts w:ascii="Arial" w:hAnsi="Arial" w:cs="Arial"/>
          <w:sz w:val="20"/>
          <w:szCs w:val="20"/>
        </w:rPr>
        <w:t>s</w:t>
      </w:r>
      <w:r w:rsidRPr="00ED4957">
        <w:rPr>
          <w:rFonts w:ascii="Arial" w:hAnsi="Arial" w:cs="Arial"/>
          <w:sz w:val="20"/>
          <w:szCs w:val="20"/>
        </w:rPr>
        <w:t xml:space="preserve"> (i.e. the finalized</w:t>
      </w:r>
      <w:r w:rsidR="0041457C" w:rsidRPr="00ED4957">
        <w:rPr>
          <w:rFonts w:ascii="Arial" w:hAnsi="Arial" w:cs="Arial"/>
          <w:sz w:val="20"/>
          <w:szCs w:val="20"/>
        </w:rPr>
        <w:t xml:space="preserve"> and signed</w:t>
      </w:r>
      <w:r w:rsidRPr="00ED4957">
        <w:rPr>
          <w:rFonts w:ascii="Arial" w:hAnsi="Arial" w:cs="Arial"/>
          <w:sz w:val="20"/>
          <w:szCs w:val="20"/>
        </w:rPr>
        <w:t xml:space="preserve"> CED</w:t>
      </w:r>
      <w:r w:rsidR="0041457C" w:rsidRPr="00ED4957">
        <w:rPr>
          <w:rFonts w:ascii="Arial" w:hAnsi="Arial" w:cs="Arial"/>
          <w:sz w:val="20"/>
          <w:szCs w:val="20"/>
        </w:rPr>
        <w:t xml:space="preserve"> and </w:t>
      </w:r>
      <w:r w:rsidRPr="00ED4957">
        <w:rPr>
          <w:rFonts w:ascii="Arial" w:hAnsi="Arial" w:cs="Arial"/>
          <w:sz w:val="20"/>
          <w:szCs w:val="20"/>
        </w:rPr>
        <w:t>SOW between the Purchasing Entity and Xerox) and not the CED “</w:t>
      </w:r>
      <w:r w:rsidRPr="00ED4957">
        <w:rPr>
          <w:rFonts w:ascii="Arial" w:hAnsi="Arial" w:cs="Arial"/>
          <w:i/>
          <w:sz w:val="20"/>
          <w:szCs w:val="20"/>
        </w:rPr>
        <w:t>template</w:t>
      </w:r>
      <w:r w:rsidRPr="00ED4957">
        <w:rPr>
          <w:rFonts w:ascii="Arial" w:hAnsi="Arial" w:cs="Arial"/>
          <w:sz w:val="20"/>
          <w:szCs w:val="20"/>
        </w:rPr>
        <w:t xml:space="preserve">,” which is incorporated into the Master Agreement as Attachment </w:t>
      </w:r>
      <w:r w:rsidR="00D44221">
        <w:rPr>
          <w:rFonts w:ascii="Arial" w:hAnsi="Arial" w:cs="Arial"/>
          <w:sz w:val="20"/>
          <w:szCs w:val="20"/>
        </w:rPr>
        <w:t>14</w:t>
      </w:r>
      <w:r w:rsidRPr="00ED4957">
        <w:rPr>
          <w:rFonts w:ascii="Arial" w:hAnsi="Arial" w:cs="Arial"/>
          <w:sz w:val="20"/>
          <w:szCs w:val="20"/>
        </w:rPr>
        <w:t>).</w:t>
      </w:r>
      <w:r w:rsidR="00AA07CC" w:rsidRPr="00ED4957">
        <w:rPr>
          <w:rFonts w:ascii="Arial" w:hAnsi="Arial" w:cs="Arial"/>
          <w:sz w:val="20"/>
          <w:szCs w:val="20"/>
        </w:rPr>
        <w:t xml:space="preserve"> </w:t>
      </w:r>
      <w:r w:rsidR="00CA75B3" w:rsidRPr="00ED4957">
        <w:rPr>
          <w:rFonts w:ascii="Arial" w:hAnsi="Arial" w:cs="Arial"/>
          <w:sz w:val="20"/>
          <w:szCs w:val="20"/>
        </w:rPr>
        <w:t>Further all references to “Xerox Confidential” or “Xerox Confidential, Do Not Distribute” shall only apply to the completed</w:t>
      </w:r>
      <w:r w:rsidR="00ED4957" w:rsidRPr="00ED4957">
        <w:rPr>
          <w:rFonts w:ascii="Arial" w:hAnsi="Arial" w:cs="Arial"/>
          <w:sz w:val="20"/>
          <w:szCs w:val="20"/>
        </w:rPr>
        <w:t xml:space="preserve"> Baltoro CED and </w:t>
      </w:r>
      <w:r w:rsidR="00DD0767">
        <w:rPr>
          <w:rFonts w:ascii="Arial" w:hAnsi="Arial" w:cs="Arial"/>
          <w:sz w:val="20"/>
          <w:szCs w:val="20"/>
        </w:rPr>
        <w:t xml:space="preserve">completed </w:t>
      </w:r>
      <w:r w:rsidR="00ED4957" w:rsidRPr="00ED4957">
        <w:rPr>
          <w:rFonts w:ascii="Arial" w:hAnsi="Arial" w:cs="Arial"/>
          <w:sz w:val="20"/>
          <w:szCs w:val="20"/>
        </w:rPr>
        <w:t>Baltoro SOW</w:t>
      </w:r>
      <w:r w:rsidR="00CA75B3" w:rsidRPr="00ED4957">
        <w:rPr>
          <w:rFonts w:ascii="Arial" w:hAnsi="Arial" w:cs="Arial"/>
          <w:sz w:val="20"/>
          <w:szCs w:val="20"/>
        </w:rPr>
        <w:t xml:space="preserve"> Order documents</w:t>
      </w:r>
      <w:r w:rsidR="0041457C" w:rsidRPr="00ED4957">
        <w:rPr>
          <w:rFonts w:ascii="Arial" w:hAnsi="Arial" w:cs="Arial"/>
          <w:sz w:val="20"/>
          <w:szCs w:val="20"/>
        </w:rPr>
        <w:t>.</w:t>
      </w:r>
    </w:p>
    <w:p w14:paraId="20B345BF" w14:textId="77777777" w:rsidR="009B0E0B" w:rsidRPr="009B0E0B" w:rsidRDefault="009B0E0B" w:rsidP="009C7652">
      <w:pPr>
        <w:pStyle w:val="ListParagraph"/>
        <w:ind w:left="360"/>
        <w:jc w:val="both"/>
        <w:rPr>
          <w:rFonts w:ascii="Arial" w:hAnsi="Arial" w:cs="Arial"/>
          <w:color w:val="0070C0"/>
          <w:sz w:val="20"/>
          <w:szCs w:val="20"/>
        </w:rPr>
      </w:pPr>
    </w:p>
    <w:p w14:paraId="7A364FF4" w14:textId="0A2B078C" w:rsidR="001E432C" w:rsidRDefault="009B0E0B" w:rsidP="009C7652">
      <w:pPr>
        <w:pStyle w:val="ListParagraph"/>
        <w:ind w:left="360"/>
        <w:jc w:val="both"/>
        <w:rPr>
          <w:rFonts w:ascii="Arial" w:hAnsi="Arial" w:cs="Arial"/>
          <w:sz w:val="20"/>
          <w:szCs w:val="20"/>
        </w:rPr>
      </w:pPr>
      <w:r w:rsidRPr="00ED4957">
        <w:rPr>
          <w:rFonts w:ascii="Arial" w:hAnsi="Arial" w:cs="Arial"/>
          <w:sz w:val="20"/>
          <w:szCs w:val="20"/>
        </w:rPr>
        <w:t xml:space="preserve">The </w:t>
      </w:r>
      <w:r w:rsidR="00966BCA" w:rsidRPr="00ED4957">
        <w:rPr>
          <w:rFonts w:ascii="Arial" w:hAnsi="Arial" w:cs="Arial"/>
          <w:sz w:val="20"/>
          <w:szCs w:val="20"/>
        </w:rPr>
        <w:t>following language</w:t>
      </w:r>
      <w:r w:rsidR="00AB3A8C" w:rsidRPr="00ED4957">
        <w:rPr>
          <w:rFonts w:ascii="Arial" w:hAnsi="Arial" w:cs="Arial"/>
          <w:sz w:val="20"/>
          <w:szCs w:val="20"/>
        </w:rPr>
        <w:t>:</w:t>
      </w:r>
      <w:r w:rsidR="00966BCA" w:rsidRPr="00ED4957">
        <w:rPr>
          <w:rFonts w:ascii="Arial" w:hAnsi="Arial" w:cs="Arial"/>
          <w:sz w:val="20"/>
          <w:szCs w:val="20"/>
        </w:rPr>
        <w:t xml:space="preserve"> </w:t>
      </w:r>
      <w:r w:rsidR="00AA07CC" w:rsidRPr="00ED4957">
        <w:rPr>
          <w:rFonts w:ascii="Arial" w:hAnsi="Arial" w:cs="Arial"/>
          <w:sz w:val="20"/>
          <w:szCs w:val="20"/>
        </w:rPr>
        <w:t>“</w:t>
      </w:r>
      <w:r w:rsidR="004D4D2B" w:rsidRPr="00ED4957">
        <w:rPr>
          <w:rFonts w:ascii="Arial" w:hAnsi="Arial" w:cs="Arial"/>
          <w:i/>
          <w:sz w:val="20"/>
          <w:szCs w:val="20"/>
        </w:rPr>
        <w:t xml:space="preserve">In the event of any conflict between the statements made in this Customer Expectations Document (“CED”) and any terms in the sale, lease, rental and/or service agreement or Statement of Work (“SOW”) between you and Xerox (or the Xerox authorized reseller) including, but not limited to, maintenance or functionality of the Baltoro HF System, the order of precedence will be as follows: (1) the terms contained in this CED, and then (2) the terms contained in such sale, lease, rental and/or service agreement, including any Statements of Work. However, notwithstanding the foregoing, Customer’s responsibility to make any payment to any Xerox financing company under a lease or rental agreement will be absolute in accordance with its terms and not negated by anything </w:t>
      </w:r>
      <w:r w:rsidR="004D4D2B" w:rsidRPr="00DD0767">
        <w:rPr>
          <w:rFonts w:ascii="Arial" w:hAnsi="Arial" w:cs="Arial"/>
          <w:i/>
          <w:sz w:val="20"/>
          <w:szCs w:val="20"/>
        </w:rPr>
        <w:t>contained in this CED”</w:t>
      </w:r>
      <w:r w:rsidR="00966BCA" w:rsidRPr="00DD0767">
        <w:rPr>
          <w:rFonts w:ascii="Arial" w:hAnsi="Arial" w:cs="Arial"/>
          <w:sz w:val="20"/>
          <w:szCs w:val="20"/>
        </w:rPr>
        <w:t xml:space="preserve"> shall be null and void.</w:t>
      </w:r>
      <w:r w:rsidR="002424B0" w:rsidRPr="00DD0767">
        <w:rPr>
          <w:rFonts w:ascii="Arial" w:hAnsi="Arial" w:cs="Arial"/>
          <w:sz w:val="20"/>
          <w:szCs w:val="20"/>
        </w:rPr>
        <w:t xml:space="preserve"> Further, any language in any other version of the CED that is utilized under the NASPO </w:t>
      </w:r>
      <w:r w:rsidR="002424B0" w:rsidRPr="00DD0767">
        <w:rPr>
          <w:rFonts w:ascii="Arial" w:hAnsi="Arial" w:cs="Arial"/>
          <w:sz w:val="20"/>
          <w:szCs w:val="20"/>
        </w:rPr>
        <w:lastRenderedPageBreak/>
        <w:t>Master Agreement</w:t>
      </w:r>
      <w:r w:rsidR="00294ADD" w:rsidRPr="00DD0767">
        <w:rPr>
          <w:rFonts w:ascii="Arial" w:hAnsi="Arial" w:cs="Arial"/>
          <w:sz w:val="20"/>
          <w:szCs w:val="20"/>
        </w:rPr>
        <w:t>, and which contradicts the terms and conditions of either the Master Agreement or a State’s Participating Addendum, shall also be null and void.</w:t>
      </w:r>
    </w:p>
    <w:p w14:paraId="2FCD4DB8" w14:textId="77777777" w:rsidR="00DD0767" w:rsidRDefault="00DD0767" w:rsidP="009C7652">
      <w:pPr>
        <w:pStyle w:val="ListParagraph"/>
        <w:ind w:left="360"/>
        <w:jc w:val="both"/>
        <w:rPr>
          <w:rFonts w:ascii="Arial" w:hAnsi="Arial" w:cs="Arial"/>
          <w:color w:val="0070C0"/>
          <w:sz w:val="20"/>
          <w:szCs w:val="20"/>
        </w:rPr>
      </w:pPr>
    </w:p>
    <w:p w14:paraId="0CE50C3F" w14:textId="68275C29" w:rsidR="00AB3A8C" w:rsidRPr="00AB3A8C" w:rsidRDefault="006529F8" w:rsidP="009C7652">
      <w:pPr>
        <w:pStyle w:val="ListParagraph"/>
        <w:numPr>
          <w:ilvl w:val="0"/>
          <w:numId w:val="1"/>
        </w:numPr>
        <w:spacing w:after="120"/>
        <w:jc w:val="both"/>
        <w:rPr>
          <w:rFonts w:ascii="Arial" w:hAnsi="Arial" w:cs="Arial"/>
          <w:bCs/>
          <w:iCs/>
          <w:sz w:val="20"/>
          <w:szCs w:val="20"/>
        </w:rPr>
      </w:pPr>
      <w:r w:rsidRPr="00AB3A8C">
        <w:rPr>
          <w:rFonts w:ascii="Arial" w:hAnsi="Arial" w:cs="Arial"/>
          <w:b/>
          <w:bCs/>
          <w:iCs/>
          <w:sz w:val="20"/>
          <w:szCs w:val="20"/>
        </w:rPr>
        <w:t>BALTORO BREAK-FIX SERVIC</w:t>
      </w:r>
      <w:r w:rsidR="00CE6013" w:rsidRPr="00AB3A8C">
        <w:rPr>
          <w:rFonts w:ascii="Arial" w:hAnsi="Arial" w:cs="Arial"/>
          <w:b/>
          <w:bCs/>
          <w:iCs/>
          <w:sz w:val="20"/>
          <w:szCs w:val="20"/>
        </w:rPr>
        <w:t>ES AND PRINTHEAD REQUIREMENTS.</w:t>
      </w:r>
      <w:r w:rsidR="00CE6013">
        <w:rPr>
          <w:rFonts w:ascii="Arial" w:hAnsi="Arial" w:cs="Arial"/>
          <w:bCs/>
          <w:iCs/>
          <w:sz w:val="20"/>
          <w:szCs w:val="20"/>
        </w:rPr>
        <w:t xml:space="preserve"> </w:t>
      </w:r>
      <w:r w:rsidRPr="0084509E">
        <w:rPr>
          <w:rFonts w:ascii="Arial" w:hAnsi="Arial" w:cs="Arial"/>
          <w:bCs/>
          <w:iCs/>
          <w:sz w:val="20"/>
          <w:szCs w:val="20"/>
        </w:rPr>
        <w:t xml:space="preserve"> </w:t>
      </w:r>
      <w:r w:rsidR="00FE5326" w:rsidRPr="0084509E">
        <w:rPr>
          <w:rFonts w:ascii="Arial" w:hAnsi="Arial" w:cs="Arial"/>
          <w:bCs/>
          <w:iCs/>
          <w:sz w:val="20"/>
          <w:szCs w:val="20"/>
        </w:rPr>
        <w:t xml:space="preserve">For the Baltoro </w:t>
      </w:r>
      <w:r w:rsidR="00FE5326">
        <w:rPr>
          <w:rFonts w:ascii="Arial" w:hAnsi="Arial" w:cs="Arial"/>
          <w:bCs/>
          <w:iCs/>
          <w:sz w:val="20"/>
          <w:szCs w:val="20"/>
        </w:rPr>
        <w:t xml:space="preserve">Equipment </w:t>
      </w:r>
      <w:r w:rsidR="00FE5326" w:rsidRPr="0084509E">
        <w:rPr>
          <w:rFonts w:ascii="Arial" w:hAnsi="Arial" w:cs="Arial"/>
          <w:bCs/>
          <w:iCs/>
          <w:sz w:val="20"/>
          <w:szCs w:val="20"/>
        </w:rPr>
        <w:t xml:space="preserve">included in this </w:t>
      </w:r>
      <w:r w:rsidR="00FE5326">
        <w:rPr>
          <w:rFonts w:ascii="Arial" w:hAnsi="Arial" w:cs="Arial"/>
          <w:bCs/>
          <w:iCs/>
          <w:sz w:val="20"/>
          <w:szCs w:val="20"/>
        </w:rPr>
        <w:t>O</w:t>
      </w:r>
      <w:r w:rsidR="00FE5326" w:rsidRPr="0084509E">
        <w:rPr>
          <w:rFonts w:ascii="Arial" w:hAnsi="Arial" w:cs="Arial"/>
          <w:bCs/>
          <w:iCs/>
          <w:sz w:val="20"/>
          <w:szCs w:val="20"/>
        </w:rPr>
        <w:t xml:space="preserve">rder, this provision </w:t>
      </w:r>
      <w:r w:rsidR="00FE5326">
        <w:rPr>
          <w:rFonts w:ascii="Arial" w:hAnsi="Arial" w:cs="Arial"/>
          <w:bCs/>
          <w:iCs/>
          <w:sz w:val="20"/>
          <w:szCs w:val="20"/>
        </w:rPr>
        <w:t xml:space="preserve">is in addition to </w:t>
      </w:r>
      <w:bookmarkStart w:id="0" w:name="_Hlk69293794"/>
      <w:r w:rsidR="00FE5326">
        <w:rPr>
          <w:rFonts w:ascii="Arial" w:hAnsi="Arial" w:cs="Arial"/>
          <w:bCs/>
          <w:iCs/>
          <w:sz w:val="20"/>
          <w:szCs w:val="20"/>
        </w:rPr>
        <w:t xml:space="preserve">Section 3 (Maintenance Services) of Attachment </w:t>
      </w:r>
      <w:r w:rsidR="00D44221">
        <w:rPr>
          <w:rFonts w:ascii="Arial" w:hAnsi="Arial" w:cs="Arial"/>
          <w:bCs/>
          <w:iCs/>
          <w:sz w:val="20"/>
          <w:szCs w:val="20"/>
        </w:rPr>
        <w:t>6</w:t>
      </w:r>
      <w:r w:rsidR="00FE5326">
        <w:rPr>
          <w:rFonts w:ascii="Arial" w:hAnsi="Arial" w:cs="Arial"/>
          <w:bCs/>
          <w:iCs/>
          <w:sz w:val="20"/>
          <w:szCs w:val="20"/>
        </w:rPr>
        <w:t xml:space="preserve"> of the Master Agreement (Xerox Maintenance Agreement Terms and Conditions)</w:t>
      </w:r>
      <w:bookmarkEnd w:id="0"/>
      <w:r w:rsidR="00FE5326" w:rsidRPr="0084509E">
        <w:rPr>
          <w:rFonts w:ascii="Arial" w:hAnsi="Arial" w:cs="Arial"/>
          <w:bCs/>
          <w:iCs/>
          <w:sz w:val="20"/>
          <w:szCs w:val="20"/>
        </w:rPr>
        <w:t>.</w:t>
      </w:r>
      <w:r w:rsidR="00CE6013">
        <w:rPr>
          <w:rFonts w:ascii="Arial" w:hAnsi="Arial" w:cs="Arial"/>
          <w:bCs/>
          <w:iCs/>
          <w:sz w:val="20"/>
          <w:szCs w:val="20"/>
        </w:rPr>
        <w:t xml:space="preserve"> </w:t>
      </w:r>
      <w:r w:rsidR="00FE5326">
        <w:rPr>
          <w:rFonts w:ascii="Arial" w:hAnsi="Arial" w:cs="Arial"/>
          <w:bCs/>
          <w:iCs/>
          <w:sz w:val="20"/>
          <w:szCs w:val="20"/>
        </w:rPr>
        <w:t xml:space="preserve">In addition to the other exclusions listed in </w:t>
      </w:r>
      <w:r w:rsidR="00DD0767">
        <w:rPr>
          <w:rFonts w:ascii="Arial" w:hAnsi="Arial" w:cs="Arial"/>
          <w:bCs/>
          <w:iCs/>
          <w:sz w:val="20"/>
          <w:szCs w:val="20"/>
        </w:rPr>
        <w:t>Section 3</w:t>
      </w:r>
      <w:r w:rsidR="00FE5326" w:rsidRPr="00E536CC">
        <w:rPr>
          <w:rFonts w:ascii="Arial" w:hAnsi="Arial" w:cs="Arial"/>
          <w:bCs/>
          <w:iCs/>
          <w:sz w:val="20"/>
          <w:szCs w:val="20"/>
        </w:rPr>
        <w:t xml:space="preserve"> of Attachment </w:t>
      </w:r>
      <w:r w:rsidR="00D44221">
        <w:rPr>
          <w:rFonts w:ascii="Arial" w:hAnsi="Arial" w:cs="Arial"/>
          <w:bCs/>
          <w:iCs/>
          <w:sz w:val="20"/>
          <w:szCs w:val="20"/>
        </w:rPr>
        <w:t>6</w:t>
      </w:r>
      <w:r w:rsidR="00FE5326" w:rsidRPr="00E536CC">
        <w:rPr>
          <w:rFonts w:ascii="Arial" w:hAnsi="Arial" w:cs="Arial"/>
          <w:bCs/>
          <w:iCs/>
          <w:sz w:val="20"/>
          <w:szCs w:val="20"/>
        </w:rPr>
        <w:t xml:space="preserve"> of the Mas</w:t>
      </w:r>
      <w:r w:rsidR="00DD0767">
        <w:rPr>
          <w:rFonts w:ascii="Arial" w:hAnsi="Arial" w:cs="Arial"/>
          <w:bCs/>
          <w:iCs/>
          <w:sz w:val="20"/>
          <w:szCs w:val="20"/>
        </w:rPr>
        <w:t>ter Agreement</w:t>
      </w:r>
      <w:r w:rsidR="00FE5326">
        <w:rPr>
          <w:rFonts w:ascii="Arial" w:hAnsi="Arial" w:cs="Arial"/>
          <w:bCs/>
          <w:iCs/>
          <w:sz w:val="20"/>
          <w:szCs w:val="20"/>
        </w:rPr>
        <w:t xml:space="preserve">, </w:t>
      </w:r>
      <w:r w:rsidRPr="0084509E">
        <w:rPr>
          <w:rFonts w:ascii="Arial" w:hAnsi="Arial" w:cs="Arial"/>
          <w:bCs/>
          <w:iCs/>
          <w:sz w:val="20"/>
          <w:szCs w:val="20"/>
        </w:rPr>
        <w:t xml:space="preserve"> Maintenance Services excludes repairs due to:</w:t>
      </w:r>
      <w:r w:rsidR="00FE5326">
        <w:rPr>
          <w:rFonts w:ascii="Arial" w:hAnsi="Arial" w:cs="Arial"/>
          <w:bCs/>
          <w:iCs/>
          <w:sz w:val="20"/>
          <w:szCs w:val="20"/>
        </w:rPr>
        <w:t xml:space="preserve"> Purchasing Entity</w:t>
      </w:r>
      <w:r w:rsidRPr="0084509E">
        <w:rPr>
          <w:rFonts w:ascii="Arial" w:hAnsi="Arial" w:cs="Arial"/>
          <w:bCs/>
          <w:iCs/>
          <w:sz w:val="20"/>
          <w:szCs w:val="20"/>
        </w:rPr>
        <w:t xml:space="preserve"> </w:t>
      </w:r>
      <w:r w:rsidRPr="00DD0767">
        <w:rPr>
          <w:rFonts w:ascii="Arial" w:hAnsi="Arial" w:cs="Arial"/>
          <w:b/>
          <w:bCs/>
          <w:iCs/>
          <w:sz w:val="20"/>
          <w:szCs w:val="20"/>
        </w:rPr>
        <w:t>(</w:t>
      </w:r>
      <w:r w:rsidR="00FE5326" w:rsidRPr="00DD0767">
        <w:rPr>
          <w:rFonts w:ascii="Arial" w:hAnsi="Arial" w:cs="Arial"/>
          <w:b/>
          <w:bCs/>
          <w:iCs/>
          <w:sz w:val="20"/>
          <w:szCs w:val="20"/>
        </w:rPr>
        <w:t>i</w:t>
      </w:r>
      <w:r w:rsidRPr="00DD0767">
        <w:rPr>
          <w:rFonts w:ascii="Arial" w:hAnsi="Arial" w:cs="Arial"/>
          <w:b/>
          <w:bCs/>
          <w:iCs/>
          <w:sz w:val="20"/>
          <w:szCs w:val="20"/>
        </w:rPr>
        <w:t>)</w:t>
      </w:r>
      <w:r w:rsidRPr="0084509E">
        <w:rPr>
          <w:rFonts w:ascii="Arial" w:hAnsi="Arial" w:cs="Arial"/>
          <w:bCs/>
          <w:iCs/>
          <w:sz w:val="20"/>
          <w:szCs w:val="20"/>
        </w:rPr>
        <w:t xml:space="preserve"> allow</w:t>
      </w:r>
      <w:r w:rsidR="00FE5326">
        <w:rPr>
          <w:rFonts w:ascii="Arial" w:hAnsi="Arial" w:cs="Arial"/>
          <w:bCs/>
          <w:iCs/>
          <w:sz w:val="20"/>
          <w:szCs w:val="20"/>
        </w:rPr>
        <w:t>ing</w:t>
      </w:r>
      <w:r w:rsidRPr="0084509E">
        <w:rPr>
          <w:rFonts w:ascii="Arial" w:hAnsi="Arial" w:cs="Arial"/>
          <w:bCs/>
          <w:iCs/>
          <w:sz w:val="20"/>
          <w:szCs w:val="20"/>
        </w:rPr>
        <w:t xml:space="preserve"> the </w:t>
      </w:r>
      <w:r w:rsidR="00A85784">
        <w:rPr>
          <w:rFonts w:ascii="Arial" w:hAnsi="Arial" w:cs="Arial"/>
          <w:bCs/>
          <w:iCs/>
          <w:sz w:val="20"/>
          <w:szCs w:val="20"/>
        </w:rPr>
        <w:t>E</w:t>
      </w:r>
      <w:r w:rsidRPr="0084509E">
        <w:rPr>
          <w:rFonts w:ascii="Arial" w:hAnsi="Arial" w:cs="Arial"/>
          <w:bCs/>
          <w:iCs/>
          <w:sz w:val="20"/>
          <w:szCs w:val="20"/>
        </w:rPr>
        <w:t xml:space="preserve">quipment to be operated by employees that have not received Contractor training; or </w:t>
      </w:r>
      <w:r w:rsidRPr="00DD0767">
        <w:rPr>
          <w:rFonts w:ascii="Arial" w:hAnsi="Arial" w:cs="Arial"/>
          <w:b/>
          <w:bCs/>
          <w:iCs/>
          <w:sz w:val="20"/>
          <w:szCs w:val="20"/>
        </w:rPr>
        <w:t>(</w:t>
      </w:r>
      <w:r w:rsidR="00FE5326" w:rsidRPr="00DD0767">
        <w:rPr>
          <w:rFonts w:ascii="Arial" w:hAnsi="Arial" w:cs="Arial"/>
          <w:b/>
          <w:bCs/>
          <w:iCs/>
          <w:sz w:val="20"/>
          <w:szCs w:val="20"/>
        </w:rPr>
        <w:t>i</w:t>
      </w:r>
      <w:r w:rsidRPr="00DD0767">
        <w:rPr>
          <w:rFonts w:ascii="Arial" w:hAnsi="Arial" w:cs="Arial"/>
          <w:b/>
          <w:bCs/>
          <w:iCs/>
          <w:sz w:val="20"/>
          <w:szCs w:val="20"/>
        </w:rPr>
        <w:t>i)</w:t>
      </w:r>
      <w:r w:rsidRPr="0084509E">
        <w:rPr>
          <w:rFonts w:ascii="Arial" w:hAnsi="Arial" w:cs="Arial"/>
          <w:bCs/>
          <w:iCs/>
          <w:sz w:val="20"/>
          <w:szCs w:val="20"/>
        </w:rPr>
        <w:t xml:space="preserve"> fail</w:t>
      </w:r>
      <w:r w:rsidR="00FE5326">
        <w:rPr>
          <w:rFonts w:ascii="Arial" w:hAnsi="Arial" w:cs="Arial"/>
          <w:bCs/>
          <w:iCs/>
          <w:sz w:val="20"/>
          <w:szCs w:val="20"/>
        </w:rPr>
        <w:t>ing</w:t>
      </w:r>
      <w:r w:rsidRPr="0084509E">
        <w:rPr>
          <w:rFonts w:ascii="Arial" w:hAnsi="Arial" w:cs="Arial"/>
          <w:bCs/>
          <w:iCs/>
          <w:sz w:val="20"/>
          <w:szCs w:val="20"/>
        </w:rPr>
        <w:t xml:space="preserve"> to perform operator maintenance procedures identified in operator manuals</w:t>
      </w:r>
      <w:r w:rsidR="000C2278">
        <w:rPr>
          <w:rFonts w:ascii="Arial" w:hAnsi="Arial" w:cs="Arial"/>
          <w:bCs/>
          <w:iCs/>
          <w:sz w:val="20"/>
          <w:szCs w:val="20"/>
        </w:rPr>
        <w:t>. If Contract</w:t>
      </w:r>
      <w:r w:rsidR="0045309D">
        <w:rPr>
          <w:rFonts w:ascii="Arial" w:hAnsi="Arial" w:cs="Arial"/>
          <w:bCs/>
          <w:iCs/>
          <w:sz w:val="20"/>
          <w:szCs w:val="20"/>
        </w:rPr>
        <w:t>or is unable to keep a unit of E</w:t>
      </w:r>
      <w:r w:rsidR="000C2278">
        <w:rPr>
          <w:rFonts w:ascii="Arial" w:hAnsi="Arial" w:cs="Arial"/>
          <w:bCs/>
          <w:iCs/>
          <w:sz w:val="20"/>
          <w:szCs w:val="20"/>
        </w:rPr>
        <w:t xml:space="preserve">quipment in good working </w:t>
      </w:r>
      <w:r w:rsidR="000C2278" w:rsidRPr="00C33B88">
        <w:rPr>
          <w:rFonts w:ascii="Arial" w:hAnsi="Arial" w:cs="Arial"/>
          <w:bCs/>
          <w:iCs/>
          <w:sz w:val="20"/>
          <w:szCs w:val="20"/>
        </w:rPr>
        <w:t>order after the initial term of the Order, either party may terminate Maintenance Services for that unit without any penalties or early termination charges upon not less than 30 days’ written notice to the other party</w:t>
      </w:r>
      <w:r w:rsidR="000C2278">
        <w:rPr>
          <w:rFonts w:ascii="Arial" w:hAnsi="Arial" w:cs="Arial"/>
          <w:bCs/>
          <w:iCs/>
          <w:sz w:val="20"/>
          <w:szCs w:val="20"/>
        </w:rPr>
        <w:t xml:space="preserve">. </w:t>
      </w:r>
      <w:r w:rsidR="00623B82">
        <w:rPr>
          <w:rFonts w:ascii="Arial" w:hAnsi="Arial" w:cs="Arial"/>
          <w:bCs/>
          <w:iCs/>
          <w:sz w:val="20"/>
          <w:szCs w:val="20"/>
        </w:rPr>
        <w:t xml:space="preserve"> </w:t>
      </w:r>
    </w:p>
    <w:p w14:paraId="07C05428" w14:textId="5CF155DA" w:rsidR="006529F8" w:rsidRPr="00D728B6" w:rsidRDefault="006529F8" w:rsidP="009C7652">
      <w:pPr>
        <w:pStyle w:val="ListParagraph"/>
        <w:spacing w:after="120"/>
        <w:ind w:left="360"/>
        <w:jc w:val="both"/>
        <w:rPr>
          <w:rFonts w:cs="Arial"/>
          <w:bCs/>
          <w:iCs/>
        </w:rPr>
      </w:pPr>
      <w:r w:rsidRPr="008F018F">
        <w:rPr>
          <w:rFonts w:ascii="Arial" w:hAnsi="Arial" w:cs="Arial"/>
          <w:bCs/>
          <w:iCs/>
          <w:sz w:val="20"/>
          <w:szCs w:val="20"/>
        </w:rPr>
        <w:t>P</w:t>
      </w:r>
      <w:r w:rsidR="00D54AE8" w:rsidRPr="008F018F">
        <w:rPr>
          <w:rFonts w:ascii="Arial" w:hAnsi="Arial" w:cs="Arial"/>
          <w:bCs/>
          <w:iCs/>
          <w:sz w:val="20"/>
          <w:szCs w:val="20"/>
        </w:rPr>
        <w:t>urchasing</w:t>
      </w:r>
      <w:r w:rsidRPr="008F018F">
        <w:rPr>
          <w:rFonts w:ascii="Arial" w:hAnsi="Arial" w:cs="Arial"/>
          <w:bCs/>
          <w:iCs/>
          <w:sz w:val="20"/>
          <w:szCs w:val="20"/>
        </w:rPr>
        <w:t xml:space="preserve"> Entity is liable for any and all damage, including all repairs, arising out of incorrect loading of ink or from the failure to properly perform operator maintenance in a timely manner.  </w:t>
      </w:r>
    </w:p>
    <w:p w14:paraId="78693EB2" w14:textId="555851B7" w:rsidR="006529F8" w:rsidRPr="0084509E" w:rsidRDefault="006529F8" w:rsidP="009C7652">
      <w:pPr>
        <w:spacing w:after="120"/>
        <w:ind w:left="360"/>
        <w:rPr>
          <w:rFonts w:cs="Arial"/>
          <w:bCs/>
          <w:iCs/>
        </w:rPr>
      </w:pPr>
      <w:r w:rsidRPr="0084509E">
        <w:rPr>
          <w:rFonts w:cs="Arial"/>
          <w:bCs/>
          <w:iCs/>
        </w:rPr>
        <w:t xml:space="preserve">Routine refurbishment and replacement of print heads is covered under this </w:t>
      </w:r>
      <w:r w:rsidR="00654AFF">
        <w:rPr>
          <w:rFonts w:cs="Arial"/>
          <w:bCs/>
          <w:iCs/>
        </w:rPr>
        <w:t>O</w:t>
      </w:r>
      <w:r w:rsidRPr="0084509E">
        <w:rPr>
          <w:rFonts w:cs="Arial"/>
          <w:bCs/>
          <w:iCs/>
        </w:rPr>
        <w:t>rder at no additional charge to P</w:t>
      </w:r>
      <w:r w:rsidR="00D27636">
        <w:rPr>
          <w:rFonts w:cs="Arial"/>
          <w:bCs/>
          <w:iCs/>
        </w:rPr>
        <w:t>urchasing</w:t>
      </w:r>
      <w:r w:rsidRPr="0084509E">
        <w:rPr>
          <w:rFonts w:cs="Arial"/>
          <w:bCs/>
          <w:iCs/>
        </w:rPr>
        <w:t xml:space="preserve"> Entity.  Contractor's refurbishment and replacement obligations can be voided if P</w:t>
      </w:r>
      <w:r w:rsidR="00D27636">
        <w:rPr>
          <w:rFonts w:cs="Arial"/>
          <w:bCs/>
          <w:iCs/>
        </w:rPr>
        <w:t>urchasing</w:t>
      </w:r>
      <w:r w:rsidRPr="0084509E">
        <w:rPr>
          <w:rFonts w:cs="Arial"/>
          <w:bCs/>
          <w:iCs/>
        </w:rPr>
        <w:t xml:space="preserve"> Entity: </w:t>
      </w:r>
      <w:r w:rsidRPr="00DD0767">
        <w:rPr>
          <w:rFonts w:cs="Arial"/>
          <w:b/>
          <w:bCs/>
          <w:iCs/>
        </w:rPr>
        <w:t>(a)</w:t>
      </w:r>
      <w:r w:rsidRPr="0084509E">
        <w:rPr>
          <w:rFonts w:cs="Arial"/>
          <w:bCs/>
          <w:iCs/>
        </w:rPr>
        <w:t xml:space="preserve"> fails to perform routine maintenance as specified by Contractor; </w:t>
      </w:r>
      <w:r w:rsidRPr="00DD0767">
        <w:rPr>
          <w:rFonts w:cs="Arial"/>
          <w:b/>
          <w:bCs/>
          <w:iCs/>
        </w:rPr>
        <w:t>(b)</w:t>
      </w:r>
      <w:r w:rsidRPr="0084509E">
        <w:rPr>
          <w:rFonts w:cs="Arial"/>
          <w:bCs/>
          <w:iCs/>
        </w:rPr>
        <w:t xml:space="preserve"> uses inks, consumables (including paper) or spare parts, which do not meet Contractor’s specifications; </w:t>
      </w:r>
      <w:r w:rsidRPr="00DD0767">
        <w:rPr>
          <w:rFonts w:cs="Arial"/>
          <w:b/>
          <w:bCs/>
          <w:iCs/>
        </w:rPr>
        <w:t>(c)</w:t>
      </w:r>
      <w:r w:rsidRPr="0084509E">
        <w:rPr>
          <w:rFonts w:cs="Arial"/>
          <w:bCs/>
          <w:iCs/>
        </w:rPr>
        <w:t xml:space="preserve"> allows or causes the changing or handling of a print head by anyone other than a Contractor certified service representative; </w:t>
      </w:r>
      <w:r w:rsidRPr="00DD0767">
        <w:rPr>
          <w:rFonts w:cs="Arial"/>
          <w:b/>
          <w:bCs/>
          <w:iCs/>
        </w:rPr>
        <w:t>(d)</w:t>
      </w:r>
      <w:r w:rsidRPr="0084509E">
        <w:rPr>
          <w:rFonts w:cs="Arial"/>
          <w:bCs/>
          <w:iCs/>
        </w:rPr>
        <w:t xml:space="preserve"> allows the repair of the </w:t>
      </w:r>
      <w:r w:rsidR="00A85784">
        <w:rPr>
          <w:rFonts w:cs="Arial"/>
          <w:bCs/>
          <w:iCs/>
        </w:rPr>
        <w:t>E</w:t>
      </w:r>
      <w:r w:rsidRPr="0084509E">
        <w:rPr>
          <w:rFonts w:cs="Arial"/>
          <w:bCs/>
          <w:iCs/>
        </w:rPr>
        <w:t>quipment or a print head by anyone other than a Contractor certified service representative; (</w:t>
      </w:r>
      <w:r w:rsidRPr="00DD0767">
        <w:rPr>
          <w:rFonts w:cs="Arial"/>
          <w:b/>
          <w:bCs/>
          <w:iCs/>
        </w:rPr>
        <w:t>e)</w:t>
      </w:r>
      <w:r w:rsidRPr="0084509E">
        <w:rPr>
          <w:rFonts w:cs="Arial"/>
          <w:bCs/>
          <w:iCs/>
        </w:rPr>
        <w:t xml:space="preserve"> fails to maintain the environmental specifications required by Contractor including but not limited to specifications for humidity and/or temperature during operation of the </w:t>
      </w:r>
      <w:r w:rsidR="00A85784">
        <w:rPr>
          <w:rFonts w:cs="Arial"/>
          <w:bCs/>
          <w:iCs/>
        </w:rPr>
        <w:t>E</w:t>
      </w:r>
      <w:r w:rsidRPr="0084509E">
        <w:rPr>
          <w:rFonts w:cs="Arial"/>
          <w:bCs/>
          <w:iCs/>
        </w:rPr>
        <w:t xml:space="preserve">quipment; </w:t>
      </w:r>
      <w:r w:rsidRPr="00DD0767">
        <w:rPr>
          <w:rFonts w:cs="Arial"/>
          <w:b/>
          <w:bCs/>
          <w:iCs/>
        </w:rPr>
        <w:t>(f)</w:t>
      </w:r>
      <w:r w:rsidRPr="0084509E">
        <w:rPr>
          <w:rFonts w:cs="Arial"/>
          <w:bCs/>
          <w:iCs/>
        </w:rPr>
        <w:t xml:space="preserve"> fails to follow Contractor’s operating procedures while operating the </w:t>
      </w:r>
      <w:r w:rsidR="00A85784">
        <w:rPr>
          <w:rFonts w:cs="Arial"/>
          <w:bCs/>
          <w:iCs/>
        </w:rPr>
        <w:t>E</w:t>
      </w:r>
      <w:r w:rsidRPr="0084509E">
        <w:rPr>
          <w:rFonts w:cs="Arial"/>
          <w:bCs/>
          <w:iCs/>
        </w:rPr>
        <w:t xml:space="preserve">quipment; or </w:t>
      </w:r>
      <w:r w:rsidRPr="00DD0767">
        <w:rPr>
          <w:rFonts w:cs="Arial"/>
          <w:b/>
          <w:bCs/>
          <w:iCs/>
        </w:rPr>
        <w:t>(g)</w:t>
      </w:r>
      <w:r w:rsidRPr="0084509E">
        <w:rPr>
          <w:rFonts w:cs="Arial"/>
          <w:bCs/>
          <w:iCs/>
        </w:rPr>
        <w:t xml:space="preserve"> allows the </w:t>
      </w:r>
      <w:r w:rsidR="00A85784">
        <w:rPr>
          <w:rFonts w:cs="Arial"/>
          <w:bCs/>
          <w:iCs/>
        </w:rPr>
        <w:t>E</w:t>
      </w:r>
      <w:r w:rsidRPr="0084509E">
        <w:rPr>
          <w:rFonts w:cs="Arial"/>
          <w:bCs/>
          <w:iCs/>
        </w:rPr>
        <w:t>quipment to be operated by employees that have not received Contractor training.</w:t>
      </w:r>
    </w:p>
    <w:p w14:paraId="78972D65" w14:textId="0BDC8129" w:rsidR="006529F8" w:rsidRPr="0084509E" w:rsidRDefault="006529F8" w:rsidP="009C7652">
      <w:pPr>
        <w:spacing w:after="120"/>
        <w:ind w:left="360"/>
        <w:rPr>
          <w:rFonts w:cs="Arial"/>
          <w:bCs/>
          <w:iCs/>
        </w:rPr>
      </w:pPr>
      <w:r w:rsidRPr="0084509E">
        <w:rPr>
          <w:rFonts w:cs="Arial"/>
          <w:bCs/>
          <w:iCs/>
        </w:rPr>
        <w:t>Contractor will not be required to repair or replace a print head if the cause of the subject failure is covered by any of the specific causes listed above or any other exclusion set forth in the</w:t>
      </w:r>
      <w:r w:rsidR="00035D73">
        <w:rPr>
          <w:rFonts w:cs="Arial"/>
          <w:bCs/>
          <w:iCs/>
        </w:rPr>
        <w:t xml:space="preserve"> Master</w:t>
      </w:r>
      <w:r w:rsidRPr="0084509E">
        <w:rPr>
          <w:rFonts w:cs="Arial"/>
          <w:bCs/>
          <w:iCs/>
        </w:rPr>
        <w:t xml:space="preserve"> </w:t>
      </w:r>
      <w:r w:rsidR="00A85784">
        <w:rPr>
          <w:rFonts w:cs="Arial"/>
          <w:bCs/>
          <w:iCs/>
        </w:rPr>
        <w:t>Agreement</w:t>
      </w:r>
      <w:r w:rsidRPr="0084509E">
        <w:rPr>
          <w:rFonts w:cs="Arial"/>
          <w:bCs/>
          <w:iCs/>
        </w:rPr>
        <w:t xml:space="preserve"> or the applicable CED or Guide, and P</w:t>
      </w:r>
      <w:r w:rsidR="00D54AE8">
        <w:rPr>
          <w:rFonts w:cs="Arial"/>
          <w:bCs/>
          <w:iCs/>
        </w:rPr>
        <w:t>urchasing</w:t>
      </w:r>
      <w:r w:rsidRPr="0084509E">
        <w:rPr>
          <w:rFonts w:cs="Arial"/>
          <w:bCs/>
          <w:iCs/>
        </w:rPr>
        <w:t xml:space="preserve"> Entity will be required to pay for the repairs to the</w:t>
      </w:r>
      <w:r w:rsidR="00D54AE8">
        <w:rPr>
          <w:rFonts w:cs="Arial"/>
          <w:bCs/>
          <w:iCs/>
        </w:rPr>
        <w:t xml:space="preserve"> print head</w:t>
      </w:r>
      <w:r w:rsidRPr="0084509E">
        <w:rPr>
          <w:rFonts w:cs="Arial"/>
          <w:bCs/>
          <w:iCs/>
        </w:rPr>
        <w:t>, or to purc</w:t>
      </w:r>
      <w:r w:rsidR="00DD0767">
        <w:rPr>
          <w:rFonts w:cs="Arial"/>
          <w:bCs/>
          <w:iCs/>
        </w:rPr>
        <w:t xml:space="preserve">hase a replacement print head. </w:t>
      </w:r>
      <w:r w:rsidRPr="0084509E">
        <w:rPr>
          <w:rFonts w:cs="Arial"/>
          <w:bCs/>
          <w:iCs/>
        </w:rPr>
        <w:t>P</w:t>
      </w:r>
      <w:r w:rsidR="00D54AE8">
        <w:rPr>
          <w:rFonts w:cs="Arial"/>
          <w:bCs/>
          <w:iCs/>
        </w:rPr>
        <w:t>urchasing</w:t>
      </w:r>
      <w:r w:rsidRPr="0084509E">
        <w:rPr>
          <w:rFonts w:cs="Arial"/>
          <w:bCs/>
          <w:iCs/>
        </w:rPr>
        <w:t xml:space="preserve"> Entity agrees to perform all maintenance tasks when directed to do so by the status messages on the </w:t>
      </w:r>
      <w:r w:rsidR="00A85784">
        <w:rPr>
          <w:rFonts w:cs="Arial"/>
          <w:bCs/>
          <w:iCs/>
        </w:rPr>
        <w:t>E</w:t>
      </w:r>
      <w:r w:rsidRPr="0084509E">
        <w:rPr>
          <w:rFonts w:cs="Arial"/>
          <w:bCs/>
          <w:iCs/>
        </w:rPr>
        <w:t xml:space="preserve">quipment's interface window and/or as outlined in the </w:t>
      </w:r>
      <w:r w:rsidR="00A85784">
        <w:rPr>
          <w:rFonts w:cs="Arial"/>
          <w:bCs/>
          <w:iCs/>
        </w:rPr>
        <w:t>E</w:t>
      </w:r>
      <w:r w:rsidRPr="0084509E">
        <w:rPr>
          <w:rFonts w:cs="Arial"/>
          <w:bCs/>
          <w:iCs/>
        </w:rPr>
        <w:t>quipment's CED or Guide.</w:t>
      </w:r>
    </w:p>
    <w:p w14:paraId="5AB569E9" w14:textId="791A072F" w:rsidR="006529F8" w:rsidRPr="0084509E" w:rsidRDefault="006529F8" w:rsidP="009C7652">
      <w:pPr>
        <w:spacing w:after="120"/>
        <w:ind w:left="360"/>
        <w:rPr>
          <w:rFonts w:cs="Arial"/>
          <w:bCs/>
          <w:iCs/>
        </w:rPr>
      </w:pPr>
      <w:r w:rsidRPr="0084509E">
        <w:rPr>
          <w:rFonts w:cs="Arial"/>
          <w:bCs/>
          <w:iCs/>
        </w:rPr>
        <w:t>In the event of the failure of a print head, P</w:t>
      </w:r>
      <w:r w:rsidR="00D54AE8">
        <w:rPr>
          <w:rFonts w:cs="Arial"/>
          <w:bCs/>
          <w:iCs/>
        </w:rPr>
        <w:t>urchasing</w:t>
      </w:r>
      <w:r w:rsidRPr="0084509E">
        <w:rPr>
          <w:rFonts w:cs="Arial"/>
          <w:bCs/>
          <w:iCs/>
        </w:rPr>
        <w:t xml:space="preserve"> Entity and Contractor will jointly review the maintenance history, and any other relevant data.  If P</w:t>
      </w:r>
      <w:r w:rsidR="00D54AE8">
        <w:rPr>
          <w:rFonts w:cs="Arial"/>
          <w:bCs/>
          <w:iCs/>
        </w:rPr>
        <w:t>urchasing</w:t>
      </w:r>
      <w:r w:rsidRPr="0084509E">
        <w:rPr>
          <w:rFonts w:cs="Arial"/>
          <w:bCs/>
          <w:iCs/>
        </w:rPr>
        <w:t xml:space="preserve"> Entity has complied with the foregoing requirements, as demonstrated by the </w:t>
      </w:r>
      <w:r w:rsidR="00A85784">
        <w:rPr>
          <w:rFonts w:cs="Arial"/>
          <w:bCs/>
          <w:iCs/>
        </w:rPr>
        <w:t>E</w:t>
      </w:r>
      <w:r w:rsidRPr="0084509E">
        <w:rPr>
          <w:rFonts w:cs="Arial"/>
          <w:bCs/>
          <w:iCs/>
        </w:rPr>
        <w:t xml:space="preserve">quipment and/or in the </w:t>
      </w:r>
      <w:r w:rsidR="00A85784">
        <w:rPr>
          <w:rFonts w:cs="Arial"/>
          <w:bCs/>
          <w:iCs/>
        </w:rPr>
        <w:t>E</w:t>
      </w:r>
      <w:r w:rsidRPr="0084509E">
        <w:rPr>
          <w:rFonts w:cs="Arial"/>
          <w:bCs/>
          <w:iCs/>
        </w:rPr>
        <w:t>quipment’s CED and Guide and any other relevant data, Contractor will replace the failed print head in accordance with this Section at no charge to P</w:t>
      </w:r>
      <w:r w:rsidR="00D54AE8">
        <w:rPr>
          <w:rFonts w:cs="Arial"/>
          <w:bCs/>
          <w:iCs/>
        </w:rPr>
        <w:t>urchasing</w:t>
      </w:r>
      <w:r w:rsidRPr="0084509E">
        <w:rPr>
          <w:rFonts w:cs="Arial"/>
          <w:bCs/>
          <w:iCs/>
        </w:rPr>
        <w:t xml:space="preserve"> Entity.</w:t>
      </w:r>
    </w:p>
    <w:p w14:paraId="7CACF0F9" w14:textId="3AE91EAA" w:rsidR="006529F8" w:rsidRPr="0084509E" w:rsidRDefault="006529F8" w:rsidP="009C7652">
      <w:pPr>
        <w:spacing w:after="120"/>
        <w:ind w:left="360"/>
        <w:rPr>
          <w:rFonts w:cs="Arial"/>
          <w:bCs/>
          <w:iCs/>
        </w:rPr>
      </w:pPr>
      <w:r w:rsidRPr="0084509E">
        <w:rPr>
          <w:rFonts w:cs="Arial"/>
          <w:bCs/>
          <w:iCs/>
        </w:rPr>
        <w:t>In the event P</w:t>
      </w:r>
      <w:r w:rsidR="00D54AE8">
        <w:rPr>
          <w:rFonts w:cs="Arial"/>
          <w:bCs/>
          <w:iCs/>
        </w:rPr>
        <w:t>urchasing</w:t>
      </w:r>
      <w:r w:rsidRPr="0084509E">
        <w:rPr>
          <w:rFonts w:cs="Arial"/>
          <w:bCs/>
          <w:iCs/>
        </w:rPr>
        <w:t xml:space="preserve"> Entity has failed to perform the maintenance tasks as directed to do so by the </w:t>
      </w:r>
      <w:r w:rsidR="00A85784">
        <w:rPr>
          <w:rFonts w:cs="Arial"/>
          <w:bCs/>
          <w:iCs/>
        </w:rPr>
        <w:t>E</w:t>
      </w:r>
      <w:r w:rsidRPr="0084509E">
        <w:rPr>
          <w:rFonts w:cs="Arial"/>
          <w:bCs/>
          <w:iCs/>
        </w:rPr>
        <w:t xml:space="preserve">quipment’s interface window and/ or as outlined in the </w:t>
      </w:r>
      <w:r w:rsidR="00A85784">
        <w:rPr>
          <w:rFonts w:cs="Arial"/>
          <w:bCs/>
          <w:iCs/>
        </w:rPr>
        <w:t>E</w:t>
      </w:r>
      <w:r w:rsidRPr="0084509E">
        <w:rPr>
          <w:rFonts w:cs="Arial"/>
          <w:bCs/>
          <w:iCs/>
        </w:rPr>
        <w:t>quipment’s CED and Guide, or any other relevant data demonstrates that P</w:t>
      </w:r>
      <w:r w:rsidR="00D54AE8">
        <w:rPr>
          <w:rFonts w:cs="Arial"/>
          <w:bCs/>
          <w:iCs/>
        </w:rPr>
        <w:t>urchasing</w:t>
      </w:r>
      <w:r w:rsidRPr="0084509E">
        <w:rPr>
          <w:rFonts w:cs="Arial"/>
          <w:bCs/>
          <w:iCs/>
        </w:rPr>
        <w:t xml:space="preserve"> Entity has failed to adhere to the requirements set out in the CED or Guide, P</w:t>
      </w:r>
      <w:r w:rsidR="00D54AE8">
        <w:rPr>
          <w:rFonts w:cs="Arial"/>
          <w:bCs/>
          <w:iCs/>
        </w:rPr>
        <w:t>urchasing</w:t>
      </w:r>
      <w:r w:rsidRPr="0084509E">
        <w:rPr>
          <w:rFonts w:cs="Arial"/>
          <w:bCs/>
          <w:iCs/>
        </w:rPr>
        <w:t xml:space="preserve"> Entity will return the damaged print head to Contractor in accordance with the process that is communicated to P</w:t>
      </w:r>
      <w:r w:rsidR="00D54AE8">
        <w:rPr>
          <w:rFonts w:cs="Arial"/>
          <w:bCs/>
          <w:iCs/>
        </w:rPr>
        <w:t>urchasing</w:t>
      </w:r>
      <w:r w:rsidRPr="0084509E">
        <w:rPr>
          <w:rFonts w:cs="Arial"/>
          <w:bCs/>
          <w:iCs/>
        </w:rPr>
        <w:t xml:space="preserve"> Entity and managed by the Contractor certified service representative.  The determination of P</w:t>
      </w:r>
      <w:r w:rsidR="009F766A">
        <w:rPr>
          <w:rFonts w:cs="Arial"/>
          <w:bCs/>
          <w:iCs/>
        </w:rPr>
        <w:t>urchasing</w:t>
      </w:r>
      <w:r w:rsidRPr="0084509E">
        <w:rPr>
          <w:rFonts w:cs="Arial"/>
          <w:bCs/>
          <w:iCs/>
        </w:rPr>
        <w:t xml:space="preserve"> Entity’s liability or non-liability must be made in each instance</w:t>
      </w:r>
      <w:r w:rsidR="009F766A">
        <w:rPr>
          <w:rFonts w:cs="Arial"/>
          <w:bCs/>
          <w:iCs/>
        </w:rPr>
        <w:t>, and mutually agreed upon by Contractor and Purchasing Entity,</w:t>
      </w:r>
      <w:r w:rsidRPr="0084509E">
        <w:rPr>
          <w:rFonts w:cs="Arial"/>
          <w:bCs/>
          <w:iCs/>
        </w:rPr>
        <w:t xml:space="preserve"> prior to P</w:t>
      </w:r>
      <w:r w:rsidR="009F766A">
        <w:rPr>
          <w:rFonts w:cs="Arial"/>
          <w:bCs/>
          <w:iCs/>
        </w:rPr>
        <w:t>urchasing</w:t>
      </w:r>
      <w:r w:rsidRPr="0084509E">
        <w:rPr>
          <w:rFonts w:cs="Arial"/>
          <w:bCs/>
          <w:iCs/>
        </w:rPr>
        <w:t xml:space="preserve"> Entity’s returning the damaged print head to Contractor.</w:t>
      </w:r>
    </w:p>
    <w:p w14:paraId="11A57ECA" w14:textId="50A6B627" w:rsidR="006529F8" w:rsidRPr="0084509E" w:rsidRDefault="006529F8" w:rsidP="009C7652">
      <w:pPr>
        <w:spacing w:after="120"/>
        <w:ind w:left="360"/>
        <w:rPr>
          <w:rFonts w:cs="Arial"/>
          <w:bCs/>
          <w:iCs/>
        </w:rPr>
      </w:pPr>
      <w:r w:rsidRPr="0084509E">
        <w:rPr>
          <w:rFonts w:cs="Arial"/>
          <w:bCs/>
          <w:iCs/>
        </w:rPr>
        <w:t>In a case where P</w:t>
      </w:r>
      <w:r w:rsidR="009F766A">
        <w:rPr>
          <w:rFonts w:cs="Arial"/>
          <w:bCs/>
          <w:iCs/>
        </w:rPr>
        <w:t>urchasing</w:t>
      </w:r>
      <w:r w:rsidRPr="0084509E">
        <w:rPr>
          <w:rFonts w:cs="Arial"/>
          <w:bCs/>
          <w:iCs/>
        </w:rPr>
        <w:t xml:space="preserve"> Entity’s liability for repair or replacement has been agreed to, following return of a print head, Contractor will</w:t>
      </w:r>
      <w:r w:rsidR="00FF70CE">
        <w:rPr>
          <w:rFonts w:cs="Arial"/>
          <w:bCs/>
          <w:iCs/>
        </w:rPr>
        <w:t>,</w:t>
      </w:r>
      <w:r w:rsidRPr="0084509E">
        <w:rPr>
          <w:rFonts w:cs="Arial"/>
          <w:bCs/>
          <w:iCs/>
        </w:rPr>
        <w:t xml:space="preserve"> in good faith</w:t>
      </w:r>
      <w:r w:rsidR="00FF70CE">
        <w:rPr>
          <w:rFonts w:cs="Arial"/>
          <w:bCs/>
          <w:iCs/>
        </w:rPr>
        <w:t>,</w:t>
      </w:r>
      <w:r w:rsidRPr="0084509E">
        <w:rPr>
          <w:rFonts w:cs="Arial"/>
          <w:bCs/>
          <w:iCs/>
        </w:rPr>
        <w:t xml:space="preserve"> determine if the print head can be repaired or must be replaced.  Contractor will c</w:t>
      </w:r>
      <w:r w:rsidR="00A85784">
        <w:rPr>
          <w:rFonts w:cs="Arial"/>
          <w:bCs/>
          <w:iCs/>
        </w:rPr>
        <w:t>ommunicate its determination to</w:t>
      </w:r>
      <w:r w:rsidR="00FC4063">
        <w:rPr>
          <w:rFonts w:cs="Arial"/>
          <w:bCs/>
          <w:iCs/>
        </w:rPr>
        <w:t xml:space="preserve"> </w:t>
      </w:r>
      <w:r w:rsidRPr="0084509E">
        <w:rPr>
          <w:rFonts w:cs="Arial"/>
          <w:bCs/>
          <w:iCs/>
        </w:rPr>
        <w:t>P</w:t>
      </w:r>
      <w:r w:rsidR="009F766A">
        <w:rPr>
          <w:rFonts w:cs="Arial"/>
          <w:bCs/>
          <w:iCs/>
        </w:rPr>
        <w:t>urchasing</w:t>
      </w:r>
      <w:r w:rsidRPr="0084509E">
        <w:rPr>
          <w:rFonts w:cs="Arial"/>
          <w:bCs/>
          <w:iCs/>
        </w:rPr>
        <w:t xml:space="preserve"> Entity promptly and provide at such time its good faith estimate of the cost of the remedial action to be undertaken.</w:t>
      </w:r>
    </w:p>
    <w:p w14:paraId="14FDC874" w14:textId="11A7B41B" w:rsidR="006529F8" w:rsidRDefault="006529F8" w:rsidP="009C7652">
      <w:pPr>
        <w:ind w:left="360"/>
        <w:rPr>
          <w:rFonts w:cs="Arial"/>
          <w:bCs/>
          <w:iCs/>
        </w:rPr>
      </w:pPr>
      <w:r w:rsidRPr="0084509E">
        <w:rPr>
          <w:rFonts w:cs="Arial"/>
          <w:bCs/>
          <w:iCs/>
        </w:rPr>
        <w:t>In a case where P</w:t>
      </w:r>
      <w:r w:rsidR="009F766A">
        <w:rPr>
          <w:rFonts w:cs="Arial"/>
          <w:bCs/>
          <w:iCs/>
        </w:rPr>
        <w:t>urchasing</w:t>
      </w:r>
      <w:r w:rsidRPr="0084509E">
        <w:rPr>
          <w:rFonts w:cs="Arial"/>
          <w:bCs/>
          <w:iCs/>
        </w:rPr>
        <w:t xml:space="preserve"> Entity’s liability for repair or replacement has been agreed to, P</w:t>
      </w:r>
      <w:r w:rsidR="009F766A">
        <w:rPr>
          <w:rFonts w:cs="Arial"/>
          <w:bCs/>
          <w:iCs/>
        </w:rPr>
        <w:t>urchasing</w:t>
      </w:r>
      <w:r w:rsidRPr="0084509E">
        <w:rPr>
          <w:rFonts w:cs="Arial"/>
          <w:bCs/>
          <w:iCs/>
        </w:rPr>
        <w:t xml:space="preserve"> Entity will pay the amount invoiced by Contractor for the materials, </w:t>
      </w:r>
      <w:r w:rsidR="009F766A">
        <w:rPr>
          <w:rFonts w:cs="Arial"/>
          <w:bCs/>
          <w:iCs/>
        </w:rPr>
        <w:t xml:space="preserve">and </w:t>
      </w:r>
      <w:r w:rsidRPr="0084509E">
        <w:rPr>
          <w:rFonts w:cs="Arial"/>
          <w:bCs/>
          <w:iCs/>
        </w:rPr>
        <w:t xml:space="preserve">associated work to repair or replace the subject print head.  The amount to be invoiced shall </w:t>
      </w:r>
      <w:r w:rsidR="009F766A">
        <w:rPr>
          <w:rFonts w:cs="Arial"/>
          <w:bCs/>
          <w:iCs/>
        </w:rPr>
        <w:t>not exceed Master Agreement pricing.</w:t>
      </w:r>
    </w:p>
    <w:p w14:paraId="69B53963" w14:textId="77777777" w:rsidR="009C7652" w:rsidRDefault="009C7652" w:rsidP="009C7652">
      <w:pPr>
        <w:ind w:left="360"/>
        <w:rPr>
          <w:rFonts w:cs="Arial"/>
          <w:bCs/>
          <w:iCs/>
        </w:rPr>
      </w:pPr>
    </w:p>
    <w:p w14:paraId="2E03BE29" w14:textId="0AAEB368" w:rsidR="004E6D61" w:rsidRDefault="006529F8" w:rsidP="009C7652">
      <w:pPr>
        <w:pStyle w:val="ListParagraph"/>
        <w:numPr>
          <w:ilvl w:val="0"/>
          <w:numId w:val="1"/>
        </w:numPr>
        <w:jc w:val="both"/>
        <w:rPr>
          <w:rFonts w:ascii="Arial" w:hAnsi="Arial" w:cs="Arial"/>
          <w:sz w:val="20"/>
          <w:szCs w:val="20"/>
        </w:rPr>
      </w:pPr>
      <w:r w:rsidRPr="00AB3A8C">
        <w:rPr>
          <w:rFonts w:ascii="Arial" w:hAnsi="Arial" w:cs="Arial"/>
          <w:b/>
          <w:bCs/>
          <w:iCs/>
          <w:sz w:val="20"/>
          <w:szCs w:val="20"/>
        </w:rPr>
        <w:t>ACCEPTANCE</w:t>
      </w:r>
      <w:r w:rsidRPr="00AB3A8C">
        <w:rPr>
          <w:rFonts w:ascii="Arial" w:hAnsi="Arial" w:cs="Arial"/>
          <w:b/>
          <w:sz w:val="20"/>
          <w:szCs w:val="20"/>
        </w:rPr>
        <w:t>.</w:t>
      </w:r>
      <w:r w:rsidRPr="0084509E">
        <w:rPr>
          <w:rFonts w:ascii="Arial" w:hAnsi="Arial" w:cs="Arial"/>
          <w:sz w:val="20"/>
          <w:szCs w:val="20"/>
        </w:rPr>
        <w:t xml:space="preserve">  </w:t>
      </w:r>
      <w:r w:rsidR="00A85784">
        <w:rPr>
          <w:rFonts w:ascii="Arial" w:hAnsi="Arial" w:cs="Arial"/>
          <w:sz w:val="20"/>
          <w:szCs w:val="20"/>
        </w:rPr>
        <w:t>F</w:t>
      </w:r>
      <w:r w:rsidRPr="0084509E">
        <w:rPr>
          <w:rFonts w:ascii="Arial" w:hAnsi="Arial" w:cs="Arial"/>
          <w:sz w:val="20"/>
          <w:szCs w:val="20"/>
        </w:rPr>
        <w:t xml:space="preserve">ollowing delivery and installation of </w:t>
      </w:r>
      <w:r w:rsidR="00A85784">
        <w:rPr>
          <w:rFonts w:ascii="Arial" w:hAnsi="Arial" w:cs="Arial"/>
          <w:sz w:val="20"/>
          <w:szCs w:val="20"/>
        </w:rPr>
        <w:t>the</w:t>
      </w:r>
      <w:r w:rsidRPr="0084509E">
        <w:rPr>
          <w:rFonts w:ascii="Arial" w:hAnsi="Arial" w:cs="Arial"/>
          <w:sz w:val="20"/>
          <w:szCs w:val="20"/>
        </w:rPr>
        <w:t xml:space="preserve"> </w:t>
      </w:r>
      <w:r w:rsidR="00A85784">
        <w:rPr>
          <w:rFonts w:ascii="Arial" w:hAnsi="Arial" w:cs="Arial"/>
          <w:sz w:val="20"/>
          <w:szCs w:val="20"/>
        </w:rPr>
        <w:t>E</w:t>
      </w:r>
      <w:r w:rsidRPr="0084509E">
        <w:rPr>
          <w:rFonts w:ascii="Arial" w:hAnsi="Arial" w:cs="Arial"/>
          <w:sz w:val="20"/>
          <w:szCs w:val="20"/>
        </w:rPr>
        <w:t xml:space="preserve">quipment, </w:t>
      </w:r>
      <w:r w:rsidR="00337397" w:rsidRPr="00104263">
        <w:rPr>
          <w:rFonts w:ascii="Arial" w:hAnsi="Arial" w:cs="Arial"/>
          <w:sz w:val="20"/>
          <w:szCs w:val="20"/>
        </w:rPr>
        <w:t xml:space="preserve">the date for the completion of the “Installation Activities” portion of Attachment </w:t>
      </w:r>
      <w:r w:rsidR="00A50FF2">
        <w:rPr>
          <w:rFonts w:ascii="Arial" w:hAnsi="Arial" w:cs="Arial"/>
          <w:sz w:val="20"/>
          <w:szCs w:val="20"/>
        </w:rPr>
        <w:t>15</w:t>
      </w:r>
      <w:r w:rsidR="00337397" w:rsidRPr="00104263">
        <w:rPr>
          <w:rFonts w:ascii="Arial" w:hAnsi="Arial" w:cs="Arial"/>
          <w:sz w:val="20"/>
          <w:szCs w:val="20"/>
        </w:rPr>
        <w:t xml:space="preserve"> will be </w:t>
      </w:r>
      <w:r w:rsidR="00FC4063">
        <w:rPr>
          <w:rFonts w:ascii="Arial" w:hAnsi="Arial" w:cs="Arial"/>
          <w:sz w:val="20"/>
          <w:szCs w:val="20"/>
        </w:rPr>
        <w:t>mutually agreed upon with the Purchasing Entity</w:t>
      </w:r>
      <w:r w:rsidR="00337397">
        <w:rPr>
          <w:rFonts w:ascii="Arial" w:hAnsi="Arial" w:cs="Arial"/>
          <w:sz w:val="20"/>
          <w:szCs w:val="20"/>
        </w:rPr>
        <w:t xml:space="preserve">. </w:t>
      </w:r>
      <w:r w:rsidR="009F766A">
        <w:rPr>
          <w:rFonts w:ascii="Arial" w:hAnsi="Arial" w:cs="Arial"/>
          <w:sz w:val="20"/>
          <w:szCs w:val="20"/>
        </w:rPr>
        <w:t>Contractor</w:t>
      </w:r>
      <w:r w:rsidRPr="0084509E">
        <w:rPr>
          <w:rFonts w:ascii="Arial" w:hAnsi="Arial" w:cs="Arial"/>
          <w:sz w:val="20"/>
          <w:szCs w:val="20"/>
        </w:rPr>
        <w:t xml:space="preserve"> will</w:t>
      </w:r>
      <w:r w:rsidR="00337397">
        <w:rPr>
          <w:rFonts w:ascii="Arial" w:hAnsi="Arial" w:cs="Arial"/>
          <w:sz w:val="20"/>
          <w:szCs w:val="20"/>
        </w:rPr>
        <w:t xml:space="preserve"> then</w:t>
      </w:r>
      <w:r w:rsidRPr="0084509E">
        <w:rPr>
          <w:rFonts w:ascii="Arial" w:hAnsi="Arial" w:cs="Arial"/>
          <w:sz w:val="20"/>
          <w:szCs w:val="20"/>
        </w:rPr>
        <w:t xml:space="preserve"> provide the</w:t>
      </w:r>
      <w:r w:rsidR="00FC4063">
        <w:rPr>
          <w:rFonts w:ascii="Arial" w:hAnsi="Arial" w:cs="Arial"/>
          <w:sz w:val="20"/>
          <w:szCs w:val="20"/>
        </w:rPr>
        <w:t xml:space="preserve"> </w:t>
      </w:r>
      <w:r w:rsidRPr="0084509E">
        <w:rPr>
          <w:rFonts w:ascii="Arial" w:hAnsi="Arial" w:cs="Arial"/>
          <w:sz w:val="20"/>
          <w:szCs w:val="20"/>
        </w:rPr>
        <w:t xml:space="preserve">Services specified in </w:t>
      </w:r>
      <w:r w:rsidR="009F766A">
        <w:rPr>
          <w:rFonts w:ascii="Arial" w:hAnsi="Arial" w:cs="Arial"/>
          <w:sz w:val="20"/>
          <w:szCs w:val="20"/>
        </w:rPr>
        <w:t xml:space="preserve">Attachment </w:t>
      </w:r>
      <w:r w:rsidR="00A50FF2">
        <w:rPr>
          <w:rFonts w:ascii="Arial" w:hAnsi="Arial" w:cs="Arial"/>
          <w:sz w:val="20"/>
          <w:szCs w:val="20"/>
        </w:rPr>
        <w:t>16</w:t>
      </w:r>
      <w:r w:rsidR="009F766A">
        <w:rPr>
          <w:rFonts w:ascii="Arial" w:hAnsi="Arial" w:cs="Arial"/>
          <w:sz w:val="20"/>
          <w:szCs w:val="20"/>
        </w:rPr>
        <w:t xml:space="preserve"> (Baltoro </w:t>
      </w:r>
      <w:r w:rsidR="00FC4063">
        <w:rPr>
          <w:rFonts w:ascii="Arial" w:hAnsi="Arial" w:cs="Arial"/>
          <w:sz w:val="20"/>
          <w:szCs w:val="20"/>
        </w:rPr>
        <w:t>S</w:t>
      </w:r>
      <w:r w:rsidR="009F766A">
        <w:rPr>
          <w:rFonts w:ascii="Arial" w:hAnsi="Arial" w:cs="Arial"/>
          <w:sz w:val="20"/>
          <w:szCs w:val="20"/>
        </w:rPr>
        <w:t>OW)</w:t>
      </w:r>
      <w:r w:rsidR="00337397">
        <w:rPr>
          <w:rFonts w:ascii="Arial" w:hAnsi="Arial" w:cs="Arial"/>
          <w:sz w:val="20"/>
          <w:szCs w:val="20"/>
        </w:rPr>
        <w:t xml:space="preserve"> </w:t>
      </w:r>
      <w:r w:rsidR="00337397" w:rsidRPr="00104263">
        <w:rPr>
          <w:rFonts w:ascii="Arial" w:hAnsi="Arial" w:cs="Arial"/>
          <w:sz w:val="20"/>
          <w:szCs w:val="20"/>
        </w:rPr>
        <w:t xml:space="preserve">and when Contractor has completed the training of Purchasing Entity’s operators in Attachment </w:t>
      </w:r>
      <w:r w:rsidR="00A50FF2">
        <w:rPr>
          <w:rFonts w:ascii="Arial" w:hAnsi="Arial" w:cs="Arial"/>
          <w:sz w:val="20"/>
          <w:szCs w:val="20"/>
        </w:rPr>
        <w:t>16</w:t>
      </w:r>
      <w:r w:rsidR="00337397" w:rsidRPr="00104263">
        <w:rPr>
          <w:rFonts w:ascii="Arial" w:hAnsi="Arial" w:cs="Arial"/>
          <w:sz w:val="20"/>
          <w:szCs w:val="20"/>
        </w:rPr>
        <w:t xml:space="preserve">, the completion date will be entered for the “Training Activities” portion of Attachment </w:t>
      </w:r>
      <w:r w:rsidR="00A50FF2">
        <w:rPr>
          <w:rFonts w:ascii="Arial" w:hAnsi="Arial" w:cs="Arial"/>
          <w:sz w:val="20"/>
          <w:szCs w:val="20"/>
        </w:rPr>
        <w:t>15</w:t>
      </w:r>
      <w:r w:rsidR="00337397" w:rsidRPr="00104263">
        <w:rPr>
          <w:rFonts w:ascii="Arial" w:hAnsi="Arial" w:cs="Arial"/>
          <w:sz w:val="20"/>
          <w:szCs w:val="20"/>
        </w:rPr>
        <w:t>.</w:t>
      </w:r>
      <w:r w:rsidR="00FC4063">
        <w:rPr>
          <w:rFonts w:ascii="Arial" w:hAnsi="Arial" w:cs="Arial"/>
          <w:sz w:val="20"/>
          <w:szCs w:val="20"/>
        </w:rPr>
        <w:t xml:space="preserve"> </w:t>
      </w:r>
      <w:r w:rsidR="00992AF6">
        <w:rPr>
          <w:rFonts w:ascii="Arial" w:hAnsi="Arial" w:cs="Arial"/>
          <w:sz w:val="20"/>
          <w:szCs w:val="20"/>
        </w:rPr>
        <w:t xml:space="preserve">Lastly, </w:t>
      </w:r>
      <w:r w:rsidR="00FF70CE">
        <w:rPr>
          <w:rFonts w:ascii="Arial" w:hAnsi="Arial" w:cs="Arial"/>
          <w:sz w:val="20"/>
          <w:szCs w:val="20"/>
        </w:rPr>
        <w:t>upon completion of all Implementation Activities (i.e. Pre-Sales Activities, Installation Activities, and Training Activities)</w:t>
      </w:r>
      <w:r w:rsidR="00337397">
        <w:rPr>
          <w:rFonts w:ascii="Arial" w:hAnsi="Arial" w:cs="Arial"/>
          <w:sz w:val="20"/>
          <w:szCs w:val="20"/>
        </w:rPr>
        <w:t xml:space="preserve"> </w:t>
      </w:r>
      <w:r w:rsidR="00337397" w:rsidRPr="00104263">
        <w:rPr>
          <w:rFonts w:ascii="Arial" w:hAnsi="Arial" w:cs="Arial"/>
          <w:sz w:val="20"/>
          <w:szCs w:val="20"/>
        </w:rPr>
        <w:t xml:space="preserve">and the successful testing of the Purchasing Entity’s files as set forth on the first page of Attachment </w:t>
      </w:r>
      <w:r w:rsidR="00A50FF2">
        <w:rPr>
          <w:rFonts w:ascii="Arial" w:hAnsi="Arial" w:cs="Arial"/>
          <w:sz w:val="20"/>
          <w:szCs w:val="20"/>
        </w:rPr>
        <w:t>15</w:t>
      </w:r>
      <w:r w:rsidR="00337397" w:rsidRPr="00104263">
        <w:rPr>
          <w:rFonts w:ascii="Arial" w:hAnsi="Arial" w:cs="Arial"/>
          <w:sz w:val="20"/>
          <w:szCs w:val="20"/>
        </w:rPr>
        <w:t xml:space="preserve"> and </w:t>
      </w:r>
      <w:r w:rsidR="00337397" w:rsidRPr="00104263">
        <w:rPr>
          <w:rFonts w:ascii="Arial" w:hAnsi="Arial" w:cs="Arial"/>
          <w:sz w:val="20"/>
          <w:szCs w:val="20"/>
        </w:rPr>
        <w:lastRenderedPageBreak/>
        <w:t xml:space="preserve">indicated in Attachment </w:t>
      </w:r>
      <w:r w:rsidR="00A50FF2">
        <w:rPr>
          <w:rFonts w:ascii="Arial" w:hAnsi="Arial" w:cs="Arial"/>
          <w:sz w:val="20"/>
          <w:szCs w:val="20"/>
        </w:rPr>
        <w:t>16</w:t>
      </w:r>
      <w:r w:rsidR="00FF70CE">
        <w:rPr>
          <w:rFonts w:ascii="Arial" w:hAnsi="Arial" w:cs="Arial"/>
          <w:sz w:val="20"/>
          <w:szCs w:val="20"/>
        </w:rPr>
        <w:t xml:space="preserve">, Purchasing Entity shall sign the “Customer Acceptance portion of Attachment </w:t>
      </w:r>
      <w:r w:rsidR="00A50FF2">
        <w:rPr>
          <w:rFonts w:ascii="Arial" w:hAnsi="Arial" w:cs="Arial"/>
          <w:sz w:val="20"/>
          <w:szCs w:val="20"/>
        </w:rPr>
        <w:t>15</w:t>
      </w:r>
      <w:r w:rsidR="00FF70CE">
        <w:rPr>
          <w:rFonts w:ascii="Arial" w:hAnsi="Arial" w:cs="Arial"/>
          <w:sz w:val="20"/>
          <w:szCs w:val="20"/>
        </w:rPr>
        <w:t xml:space="preserve">. </w:t>
      </w:r>
      <w:r w:rsidRPr="0084509E">
        <w:rPr>
          <w:rFonts w:ascii="Arial" w:hAnsi="Arial" w:cs="Arial"/>
          <w:sz w:val="20"/>
          <w:szCs w:val="20"/>
        </w:rPr>
        <w:t xml:space="preserve">The completion of this process shall constitute “Acceptance” (as such term is used through the </w:t>
      </w:r>
      <w:r w:rsidR="00A85784">
        <w:rPr>
          <w:rFonts w:ascii="Arial" w:hAnsi="Arial" w:cs="Arial"/>
          <w:sz w:val="20"/>
          <w:szCs w:val="20"/>
        </w:rPr>
        <w:t xml:space="preserve">Master </w:t>
      </w:r>
      <w:r w:rsidR="00FF70CE">
        <w:rPr>
          <w:rFonts w:ascii="Arial" w:hAnsi="Arial" w:cs="Arial"/>
          <w:sz w:val="20"/>
          <w:szCs w:val="20"/>
        </w:rPr>
        <w:t>Agreement</w:t>
      </w:r>
      <w:r w:rsidRPr="0084509E">
        <w:rPr>
          <w:rFonts w:ascii="Arial" w:hAnsi="Arial" w:cs="Arial"/>
          <w:sz w:val="20"/>
          <w:szCs w:val="20"/>
        </w:rPr>
        <w:t>) of the Equipment and the initial Term will commence for Maintenance Services.</w:t>
      </w:r>
    </w:p>
    <w:p w14:paraId="68AA7690" w14:textId="77777777" w:rsidR="00DD0767" w:rsidRPr="00102B8C" w:rsidRDefault="00DD0767" w:rsidP="00DD0767">
      <w:pPr>
        <w:pStyle w:val="ListParagraph"/>
        <w:ind w:left="360"/>
        <w:jc w:val="both"/>
        <w:rPr>
          <w:rFonts w:ascii="Arial" w:hAnsi="Arial" w:cs="Arial"/>
          <w:sz w:val="20"/>
          <w:szCs w:val="20"/>
        </w:rPr>
      </w:pPr>
    </w:p>
    <w:p w14:paraId="6D18AAB3" w14:textId="38873636" w:rsidR="006529F8" w:rsidRPr="00AB3A8C" w:rsidRDefault="006529F8" w:rsidP="009C7652">
      <w:pPr>
        <w:pStyle w:val="ListParagraph"/>
        <w:numPr>
          <w:ilvl w:val="0"/>
          <w:numId w:val="1"/>
        </w:numPr>
        <w:jc w:val="both"/>
        <w:rPr>
          <w:rFonts w:ascii="Arial" w:hAnsi="Arial" w:cs="Arial"/>
          <w:sz w:val="20"/>
          <w:szCs w:val="20"/>
        </w:rPr>
      </w:pPr>
      <w:r w:rsidRPr="00AB3A8C">
        <w:rPr>
          <w:rFonts w:ascii="Arial" w:hAnsi="Arial" w:cs="Arial"/>
          <w:b/>
          <w:bCs/>
          <w:iCs/>
          <w:sz w:val="20"/>
          <w:szCs w:val="20"/>
        </w:rPr>
        <w:t>SUPPLIES</w:t>
      </w:r>
      <w:r w:rsidRPr="00AB3A8C">
        <w:rPr>
          <w:rFonts w:ascii="Arial" w:hAnsi="Arial" w:cs="Arial"/>
          <w:b/>
          <w:sz w:val="20"/>
          <w:szCs w:val="20"/>
        </w:rPr>
        <w:t xml:space="preserve"> AND SUPPLIES PRICING</w:t>
      </w:r>
      <w:r w:rsidRPr="0084509E">
        <w:rPr>
          <w:rFonts w:ascii="Arial" w:hAnsi="Arial" w:cs="Arial"/>
          <w:sz w:val="20"/>
          <w:szCs w:val="20"/>
        </w:rPr>
        <w:t xml:space="preserve">.  </w:t>
      </w:r>
      <w:r w:rsidR="00F45300" w:rsidRPr="00DD0767">
        <w:rPr>
          <w:rFonts w:ascii="Arial" w:hAnsi="Arial" w:cs="Arial"/>
          <w:sz w:val="20"/>
          <w:szCs w:val="20"/>
        </w:rPr>
        <w:t>This Section applies to Baltoro Equipment</w:t>
      </w:r>
      <w:r w:rsidR="00F95A81" w:rsidRPr="00DD0767">
        <w:rPr>
          <w:rFonts w:ascii="Arial" w:hAnsi="Arial" w:cs="Arial"/>
          <w:sz w:val="20"/>
          <w:szCs w:val="20"/>
        </w:rPr>
        <w:t xml:space="preserve"> only and shall replace Section 2 and 3 of </w:t>
      </w:r>
      <w:r w:rsidR="00DD0767">
        <w:rPr>
          <w:rFonts w:ascii="Arial" w:hAnsi="Arial" w:cs="Arial"/>
          <w:b/>
          <w:sz w:val="20"/>
          <w:szCs w:val="20"/>
        </w:rPr>
        <w:t xml:space="preserve">Attachment </w:t>
      </w:r>
      <w:r w:rsidR="00A50FF2">
        <w:rPr>
          <w:rFonts w:ascii="Arial" w:hAnsi="Arial" w:cs="Arial"/>
          <w:b/>
          <w:sz w:val="20"/>
          <w:szCs w:val="20"/>
        </w:rPr>
        <w:t>1</w:t>
      </w:r>
      <w:r w:rsidR="00DD0767">
        <w:rPr>
          <w:rFonts w:ascii="Arial" w:hAnsi="Arial" w:cs="Arial"/>
          <w:b/>
          <w:sz w:val="20"/>
          <w:szCs w:val="20"/>
        </w:rPr>
        <w:t xml:space="preserve"> (</w:t>
      </w:r>
      <w:r w:rsidR="00F95A81" w:rsidRPr="00DD0767">
        <w:rPr>
          <w:rFonts w:ascii="Arial" w:hAnsi="Arial" w:cs="Arial"/>
          <w:b/>
          <w:sz w:val="20"/>
          <w:szCs w:val="20"/>
        </w:rPr>
        <w:t>Xerox General Terms</w:t>
      </w:r>
      <w:r w:rsidR="00DD0767">
        <w:rPr>
          <w:rFonts w:ascii="Arial" w:hAnsi="Arial" w:cs="Arial"/>
          <w:b/>
          <w:sz w:val="20"/>
          <w:szCs w:val="20"/>
        </w:rPr>
        <w:t>)</w:t>
      </w:r>
      <w:r w:rsidR="00372282" w:rsidRPr="00DD0767">
        <w:rPr>
          <w:rFonts w:ascii="Arial" w:hAnsi="Arial" w:cs="Arial"/>
          <w:sz w:val="20"/>
          <w:szCs w:val="20"/>
        </w:rPr>
        <w:t>, to the Master Agreement.</w:t>
      </w:r>
      <w:r w:rsidR="009C7652" w:rsidRPr="00DD0767">
        <w:rPr>
          <w:rFonts w:ascii="Arial" w:hAnsi="Arial" w:cs="Arial"/>
          <w:sz w:val="20"/>
          <w:szCs w:val="20"/>
        </w:rPr>
        <w:t xml:space="preserve"> </w:t>
      </w:r>
      <w:r w:rsidR="00FF70CE" w:rsidRPr="00DD0767">
        <w:rPr>
          <w:rFonts w:ascii="Arial" w:hAnsi="Arial" w:cs="Arial"/>
          <w:sz w:val="20"/>
          <w:szCs w:val="20"/>
        </w:rPr>
        <w:t>Supplies</w:t>
      </w:r>
      <w:r w:rsidR="00FF70CE" w:rsidRPr="00AB3A8C">
        <w:rPr>
          <w:rFonts w:ascii="Arial" w:hAnsi="Arial" w:cs="Arial"/>
          <w:sz w:val="20"/>
          <w:szCs w:val="20"/>
        </w:rPr>
        <w:t xml:space="preserve"> are not included in the cost </w:t>
      </w:r>
      <w:r w:rsidR="00A85784" w:rsidRPr="00AB3A8C">
        <w:rPr>
          <w:rFonts w:ascii="Arial" w:hAnsi="Arial" w:cs="Arial"/>
          <w:sz w:val="20"/>
          <w:szCs w:val="20"/>
        </w:rPr>
        <w:t xml:space="preserve">of the </w:t>
      </w:r>
      <w:r w:rsidRPr="00AB3A8C">
        <w:rPr>
          <w:rFonts w:ascii="Arial" w:hAnsi="Arial" w:cs="Arial"/>
          <w:sz w:val="20"/>
          <w:szCs w:val="20"/>
        </w:rPr>
        <w:t>Equipment</w:t>
      </w:r>
      <w:r w:rsidR="00FF70CE" w:rsidRPr="00AB3A8C">
        <w:rPr>
          <w:rFonts w:ascii="Arial" w:hAnsi="Arial" w:cs="Arial"/>
          <w:sz w:val="20"/>
          <w:szCs w:val="20"/>
        </w:rPr>
        <w:t xml:space="preserve">; Purchasing Entity will need to place a separate </w:t>
      </w:r>
      <w:r w:rsidR="00654AFF" w:rsidRPr="00AB3A8C">
        <w:rPr>
          <w:rFonts w:ascii="Arial" w:hAnsi="Arial" w:cs="Arial"/>
          <w:sz w:val="20"/>
          <w:szCs w:val="20"/>
        </w:rPr>
        <w:t>O</w:t>
      </w:r>
      <w:r w:rsidR="00FF70CE" w:rsidRPr="00AB3A8C">
        <w:rPr>
          <w:rFonts w:ascii="Arial" w:hAnsi="Arial" w:cs="Arial"/>
          <w:sz w:val="20"/>
          <w:szCs w:val="20"/>
        </w:rPr>
        <w:t xml:space="preserve">rder for these supplies, whose pricing </w:t>
      </w:r>
      <w:r w:rsidR="00A37742" w:rsidRPr="00AB3A8C">
        <w:rPr>
          <w:rFonts w:ascii="Arial" w:hAnsi="Arial" w:cs="Arial"/>
          <w:sz w:val="20"/>
          <w:szCs w:val="20"/>
        </w:rPr>
        <w:t xml:space="preserve">and applicable terms and conditions </w:t>
      </w:r>
      <w:r w:rsidR="00FF70CE" w:rsidRPr="00AB3A8C">
        <w:rPr>
          <w:rFonts w:ascii="Arial" w:hAnsi="Arial" w:cs="Arial"/>
          <w:sz w:val="20"/>
          <w:szCs w:val="20"/>
        </w:rPr>
        <w:t>can be found in the Master Agreement Price List.</w:t>
      </w:r>
      <w:r w:rsidR="009575C9" w:rsidRPr="00AB3A8C">
        <w:rPr>
          <w:rFonts w:ascii="Arial" w:hAnsi="Arial" w:cs="Arial"/>
          <w:sz w:val="20"/>
          <w:szCs w:val="20"/>
        </w:rPr>
        <w:t xml:space="preserve"> Purchasing Entity will order such Supplies using the “Customer Number” to be provided to the Purchasing Entity at the time such entity places an Order for the Baltoro Equipment.</w:t>
      </w:r>
      <w:r w:rsidR="002840AC" w:rsidRPr="00AB3A8C">
        <w:rPr>
          <w:rFonts w:ascii="Arial" w:hAnsi="Arial" w:cs="Arial"/>
          <w:sz w:val="20"/>
          <w:szCs w:val="20"/>
        </w:rPr>
        <w:t xml:space="preserve"> </w:t>
      </w:r>
      <w:r w:rsidR="006B1076">
        <w:rPr>
          <w:rFonts w:ascii="Arial" w:hAnsi="Arial" w:cs="Arial"/>
          <w:sz w:val="20"/>
          <w:szCs w:val="20"/>
        </w:rPr>
        <w:t>Supplies</w:t>
      </w:r>
      <w:r w:rsidR="00546A51">
        <w:rPr>
          <w:rFonts w:ascii="Arial" w:hAnsi="Arial" w:cs="Arial"/>
          <w:sz w:val="20"/>
          <w:szCs w:val="20"/>
        </w:rPr>
        <w:t xml:space="preserve"> excludes </w:t>
      </w:r>
      <w:r w:rsidR="00546A51" w:rsidRPr="00ED4957">
        <w:rPr>
          <w:rFonts w:ascii="Arial" w:hAnsi="Arial" w:cs="Arial"/>
          <w:sz w:val="20"/>
          <w:szCs w:val="20"/>
        </w:rPr>
        <w:t>safety goggles and nitrile gloves</w:t>
      </w:r>
      <w:r w:rsidR="00F63F2E" w:rsidRPr="00ED4957">
        <w:rPr>
          <w:rFonts w:ascii="Arial" w:hAnsi="Arial" w:cs="Arial"/>
          <w:sz w:val="20"/>
          <w:szCs w:val="20"/>
        </w:rPr>
        <w:t xml:space="preserve"> and are not available under the Master Agreement</w:t>
      </w:r>
      <w:r w:rsidR="00DD0767">
        <w:rPr>
          <w:rFonts w:ascii="Arial" w:hAnsi="Arial" w:cs="Arial"/>
          <w:sz w:val="20"/>
          <w:szCs w:val="20"/>
        </w:rPr>
        <w:t>.</w:t>
      </w:r>
    </w:p>
    <w:p w14:paraId="400231D0" w14:textId="2F3DD686" w:rsidR="00F45300" w:rsidRDefault="00F45300" w:rsidP="009C7652">
      <w:pPr>
        <w:pStyle w:val="ListParagraph"/>
        <w:ind w:left="360"/>
        <w:jc w:val="both"/>
        <w:rPr>
          <w:rFonts w:ascii="Arial" w:hAnsi="Arial" w:cs="Arial"/>
          <w:sz w:val="20"/>
          <w:szCs w:val="20"/>
        </w:rPr>
      </w:pPr>
    </w:p>
    <w:p w14:paraId="3AF92719" w14:textId="656591EB" w:rsidR="00A37742" w:rsidRDefault="00A37742" w:rsidP="009C7652">
      <w:pPr>
        <w:pStyle w:val="ListParagraph"/>
        <w:numPr>
          <w:ilvl w:val="0"/>
          <w:numId w:val="1"/>
        </w:numPr>
        <w:jc w:val="both"/>
        <w:rPr>
          <w:rFonts w:ascii="Arial" w:hAnsi="Arial" w:cs="Arial"/>
          <w:sz w:val="20"/>
          <w:szCs w:val="20"/>
        </w:rPr>
      </w:pPr>
      <w:r w:rsidRPr="00AB3A8C">
        <w:rPr>
          <w:rFonts w:ascii="Arial" w:hAnsi="Arial" w:cs="Arial"/>
          <w:b/>
          <w:sz w:val="20"/>
          <w:szCs w:val="20"/>
        </w:rPr>
        <w:t>WARRANTY AND GUARANTEE DISCLAIMER</w:t>
      </w:r>
      <w:r w:rsidRPr="00102B8C">
        <w:rPr>
          <w:rFonts w:ascii="Arial" w:hAnsi="Arial" w:cs="Arial"/>
          <w:sz w:val="20"/>
          <w:szCs w:val="20"/>
        </w:rPr>
        <w:t xml:space="preserve">. IN ADDITION TO THE DISCLAIMER </w:t>
      </w:r>
      <w:r w:rsidR="009C7652">
        <w:rPr>
          <w:rFonts w:ascii="Arial" w:hAnsi="Arial" w:cs="Arial"/>
          <w:sz w:val="20"/>
          <w:szCs w:val="20"/>
        </w:rPr>
        <w:t xml:space="preserve">IN SECTION 14 OF </w:t>
      </w:r>
      <w:r w:rsidR="009C7652" w:rsidRPr="00DD0767">
        <w:rPr>
          <w:rFonts w:ascii="Arial" w:hAnsi="Arial" w:cs="Arial"/>
          <w:b/>
          <w:sz w:val="20"/>
          <w:szCs w:val="20"/>
        </w:rPr>
        <w:t xml:space="preserve">ATTACHMENT </w:t>
      </w:r>
      <w:r w:rsidR="00A50FF2">
        <w:rPr>
          <w:rFonts w:ascii="Arial" w:hAnsi="Arial" w:cs="Arial"/>
          <w:b/>
          <w:sz w:val="20"/>
          <w:szCs w:val="20"/>
        </w:rPr>
        <w:t>2</w:t>
      </w:r>
      <w:r w:rsidR="009C7652">
        <w:rPr>
          <w:rFonts w:ascii="Arial" w:hAnsi="Arial" w:cs="Arial"/>
          <w:sz w:val="20"/>
          <w:szCs w:val="20"/>
        </w:rPr>
        <w:t xml:space="preserve"> TO</w:t>
      </w:r>
      <w:r w:rsidRPr="00102B8C">
        <w:rPr>
          <w:rFonts w:ascii="Arial" w:hAnsi="Arial" w:cs="Arial"/>
          <w:sz w:val="20"/>
          <w:szCs w:val="20"/>
        </w:rPr>
        <w:t xml:space="preserve"> THE MASTER AGREEMENT </w:t>
      </w:r>
      <w:r w:rsidRPr="00DD0767">
        <w:rPr>
          <w:rFonts w:ascii="Arial" w:hAnsi="Arial" w:cs="Arial"/>
          <w:b/>
          <w:sz w:val="20"/>
          <w:szCs w:val="20"/>
        </w:rPr>
        <w:t>(XEROX LEASE AGREEMENT TERMS AND CONDITIONS)</w:t>
      </w:r>
      <w:r w:rsidRPr="00102B8C">
        <w:rPr>
          <w:rFonts w:ascii="Arial" w:hAnsi="Arial" w:cs="Arial"/>
          <w:sz w:val="20"/>
          <w:szCs w:val="20"/>
        </w:rPr>
        <w:t xml:space="preserve">, THE BALTORO EQUIPMENT IS </w:t>
      </w:r>
      <w:r w:rsidRPr="00DD0767">
        <w:rPr>
          <w:rFonts w:ascii="Arial" w:hAnsi="Arial" w:cs="Arial"/>
          <w:b/>
          <w:sz w:val="20"/>
          <w:szCs w:val="20"/>
        </w:rPr>
        <w:t>(A)</w:t>
      </w:r>
      <w:r w:rsidRPr="00102B8C">
        <w:rPr>
          <w:rFonts w:ascii="Arial" w:hAnsi="Arial" w:cs="Arial"/>
          <w:sz w:val="20"/>
          <w:szCs w:val="20"/>
        </w:rPr>
        <w:t xml:space="preserve"> A PRODUCT NOT SUBJECT TO THE EQUIPMENT GUARANTEE AS NOTED IN SECTION </w:t>
      </w:r>
      <w:r w:rsidR="004F0D79">
        <w:rPr>
          <w:rFonts w:ascii="Arial" w:hAnsi="Arial" w:cs="Arial"/>
          <w:sz w:val="20"/>
          <w:szCs w:val="20"/>
        </w:rPr>
        <w:t>X.10.2</w:t>
      </w:r>
      <w:r w:rsidRPr="00102B8C">
        <w:rPr>
          <w:rFonts w:ascii="Arial" w:hAnsi="Arial" w:cs="Arial"/>
          <w:sz w:val="20"/>
          <w:szCs w:val="20"/>
        </w:rPr>
        <w:t xml:space="preserve"> </w:t>
      </w:r>
      <w:r w:rsidR="00A50FF2">
        <w:rPr>
          <w:rFonts w:ascii="Arial" w:hAnsi="Arial" w:cs="Arial"/>
          <w:sz w:val="20"/>
          <w:szCs w:val="20"/>
        </w:rPr>
        <w:t xml:space="preserve">OF THE MASTER AGREEMENT </w:t>
      </w:r>
      <w:r w:rsidRPr="00102B8C">
        <w:rPr>
          <w:rFonts w:ascii="Arial" w:hAnsi="Arial" w:cs="Arial"/>
          <w:sz w:val="20"/>
          <w:szCs w:val="20"/>
        </w:rPr>
        <w:t xml:space="preserve">AND </w:t>
      </w:r>
      <w:r w:rsidRPr="00DD0767">
        <w:rPr>
          <w:rFonts w:ascii="Arial" w:hAnsi="Arial" w:cs="Arial"/>
          <w:b/>
          <w:sz w:val="20"/>
          <w:szCs w:val="20"/>
        </w:rPr>
        <w:t>(B)</w:t>
      </w:r>
      <w:r w:rsidRPr="00102B8C">
        <w:rPr>
          <w:rFonts w:ascii="Arial" w:hAnsi="Arial" w:cs="Arial"/>
          <w:sz w:val="20"/>
          <w:szCs w:val="20"/>
        </w:rPr>
        <w:t xml:space="preserve"> IS A PRODUCTION DEVICE THAT FALLS INTO GROUP C </w:t>
      </w:r>
      <w:r w:rsidR="00ED7E70">
        <w:rPr>
          <w:rFonts w:ascii="Arial" w:hAnsi="Arial" w:cs="Arial"/>
          <w:sz w:val="20"/>
          <w:szCs w:val="20"/>
        </w:rPr>
        <w:t>EQUIPMENT</w:t>
      </w:r>
      <w:r w:rsidRPr="00102B8C">
        <w:rPr>
          <w:rFonts w:ascii="Arial" w:hAnsi="Arial" w:cs="Arial"/>
          <w:sz w:val="20"/>
          <w:szCs w:val="20"/>
        </w:rPr>
        <w:t xml:space="preserve"> IN THE </w:t>
      </w:r>
      <w:r w:rsidR="00102B8C" w:rsidRPr="00102B8C">
        <w:rPr>
          <w:rFonts w:ascii="Arial" w:hAnsi="Arial" w:cs="Arial"/>
          <w:sz w:val="20"/>
          <w:szCs w:val="20"/>
        </w:rPr>
        <w:t>MASTER AGREEMENT</w:t>
      </w:r>
      <w:r w:rsidRPr="00102B8C">
        <w:rPr>
          <w:rFonts w:ascii="Arial" w:hAnsi="Arial" w:cs="Arial"/>
          <w:sz w:val="20"/>
          <w:szCs w:val="20"/>
        </w:rPr>
        <w:t xml:space="preserve"> AND THUS, NO UPTIME COMMITMENT IS MADE FOR THE PRODUCT.</w:t>
      </w:r>
    </w:p>
    <w:p w14:paraId="66597F80" w14:textId="77777777" w:rsidR="006529F8" w:rsidRPr="00A37742" w:rsidRDefault="006529F8" w:rsidP="00F45300">
      <w:pPr>
        <w:pStyle w:val="ListParagraph"/>
        <w:ind w:left="360"/>
        <w:rPr>
          <w:rFonts w:ascii="Arial" w:hAnsi="Arial" w:cs="Arial"/>
          <w:sz w:val="20"/>
          <w:szCs w:val="20"/>
        </w:rPr>
      </w:pPr>
    </w:p>
    <w:p w14:paraId="47F7CCD7" w14:textId="1449982F" w:rsidR="006529F8" w:rsidRPr="0084509E" w:rsidRDefault="006529F8" w:rsidP="006529F8">
      <w:pPr>
        <w:pStyle w:val="BodyTextIndent"/>
        <w:numPr>
          <w:ilvl w:val="0"/>
          <w:numId w:val="1"/>
        </w:numPr>
        <w:rPr>
          <w:color w:val="auto"/>
          <w:sz w:val="20"/>
        </w:rPr>
      </w:pPr>
      <w:r w:rsidRPr="00AB3A8C">
        <w:rPr>
          <w:b/>
          <w:color w:val="auto"/>
          <w:sz w:val="20"/>
        </w:rPr>
        <w:t>MATHWORKS SOFTWARE LICENSE</w:t>
      </w:r>
      <w:r w:rsidRPr="0084509E">
        <w:rPr>
          <w:color w:val="auto"/>
          <w:sz w:val="20"/>
        </w:rPr>
        <w:t xml:space="preserve">.  </w:t>
      </w:r>
      <w:r w:rsidRPr="004900D0">
        <w:rPr>
          <w:color w:val="auto"/>
          <w:sz w:val="20"/>
        </w:rPr>
        <w:t>B</w:t>
      </w:r>
      <w:r w:rsidRPr="0084509E">
        <w:rPr>
          <w:color w:val="auto"/>
          <w:sz w:val="20"/>
        </w:rPr>
        <w:t>altoro equipment incorporates software from MathWorks, Inc. (“MathWorks”) and the following terms apply to said software:</w:t>
      </w:r>
    </w:p>
    <w:p w14:paraId="087A3810" w14:textId="62CD1E5B" w:rsidR="006529F8" w:rsidRDefault="006529F8" w:rsidP="0003056C">
      <w:pPr>
        <w:pStyle w:val="BodyTextIndent"/>
        <w:numPr>
          <w:ilvl w:val="0"/>
          <w:numId w:val="3"/>
        </w:numPr>
        <w:spacing w:after="120"/>
        <w:ind w:left="1080"/>
        <w:rPr>
          <w:color w:val="auto"/>
          <w:sz w:val="20"/>
        </w:rPr>
      </w:pPr>
      <w:r w:rsidRPr="00AB3A8C">
        <w:rPr>
          <w:b/>
          <w:color w:val="auto"/>
          <w:sz w:val="20"/>
        </w:rPr>
        <w:t>LICENSE GRANT.</w:t>
      </w:r>
      <w:r w:rsidRPr="0084509E">
        <w:rPr>
          <w:color w:val="auto"/>
          <w:sz w:val="20"/>
        </w:rPr>
        <w:t xml:space="preserve"> Subject to the restrictions below, MathWorks hereby grants to P</w:t>
      </w:r>
      <w:r w:rsidR="00966D3C">
        <w:rPr>
          <w:color w:val="auto"/>
          <w:sz w:val="20"/>
        </w:rPr>
        <w:t>urchasing</w:t>
      </w:r>
      <w:r w:rsidRPr="0084509E">
        <w:rPr>
          <w:color w:val="auto"/>
          <w:sz w:val="20"/>
        </w:rPr>
        <w:t xml:space="preserve"> Entity a license to install and use the MATLAB Compiler Runtime Libraries (“MCR”), solely and expressly for the purpose of running software created with the MATLAB Compiler (the “Application Software”), and for no other purpose. This license is personal, nonexclusive, and nontransferable.</w:t>
      </w:r>
    </w:p>
    <w:p w14:paraId="53C57D20" w14:textId="56ECDDF9" w:rsidR="006529F8" w:rsidRDefault="006529F8" w:rsidP="0003056C">
      <w:pPr>
        <w:pStyle w:val="BodyTextIndent"/>
        <w:numPr>
          <w:ilvl w:val="0"/>
          <w:numId w:val="3"/>
        </w:numPr>
        <w:spacing w:after="120"/>
        <w:ind w:left="1080"/>
        <w:rPr>
          <w:color w:val="auto"/>
          <w:sz w:val="20"/>
        </w:rPr>
      </w:pPr>
      <w:r w:rsidRPr="0003056C">
        <w:rPr>
          <w:b/>
          <w:color w:val="auto"/>
          <w:sz w:val="20"/>
        </w:rPr>
        <w:t>LICENSE RESTRICTIONS</w:t>
      </w:r>
      <w:r w:rsidRPr="0003056C">
        <w:rPr>
          <w:color w:val="auto"/>
          <w:sz w:val="20"/>
        </w:rPr>
        <w:t>. P</w:t>
      </w:r>
      <w:r w:rsidR="00966D3C" w:rsidRPr="0003056C">
        <w:rPr>
          <w:color w:val="auto"/>
          <w:sz w:val="20"/>
        </w:rPr>
        <w:t>urchasing</w:t>
      </w:r>
      <w:r w:rsidRPr="0003056C">
        <w:rPr>
          <w:color w:val="auto"/>
          <w:sz w:val="20"/>
        </w:rPr>
        <w:t xml:space="preserve"> Entity shall not modify or adapt the MCR for any reason. P</w:t>
      </w:r>
      <w:r w:rsidR="00966D3C" w:rsidRPr="0003056C">
        <w:rPr>
          <w:color w:val="auto"/>
          <w:sz w:val="20"/>
        </w:rPr>
        <w:t>urchasing</w:t>
      </w:r>
      <w:r w:rsidRPr="0003056C">
        <w:rPr>
          <w:color w:val="auto"/>
          <w:sz w:val="20"/>
        </w:rPr>
        <w:t xml:space="preserve"> Entity shall not disassemble, decompile, or reverse engineer the MCR. P</w:t>
      </w:r>
      <w:r w:rsidR="00966D3C" w:rsidRPr="0003056C">
        <w:rPr>
          <w:color w:val="auto"/>
          <w:sz w:val="20"/>
        </w:rPr>
        <w:t>urchasing</w:t>
      </w:r>
      <w:r w:rsidRPr="0003056C">
        <w:rPr>
          <w:color w:val="auto"/>
          <w:sz w:val="20"/>
        </w:rPr>
        <w:t xml:space="preserve"> Entity shall not alter or remove any proprietary or other legal notices on or in copies of the MCR. Unless used to run Application Software, P</w:t>
      </w:r>
      <w:r w:rsidR="00966D3C" w:rsidRPr="0003056C">
        <w:rPr>
          <w:color w:val="auto"/>
          <w:sz w:val="20"/>
        </w:rPr>
        <w:t>urchasing</w:t>
      </w:r>
      <w:r w:rsidRPr="0003056C">
        <w:rPr>
          <w:color w:val="auto"/>
          <w:sz w:val="20"/>
        </w:rPr>
        <w:t xml:space="preserve"> Entity shall not rent, lease, or loan the MCR, time share the MCR, provide service bureau use, or use the MCR for supporting any other party’s use of the MCR. P</w:t>
      </w:r>
      <w:r w:rsidR="00966D3C" w:rsidRPr="0003056C">
        <w:rPr>
          <w:color w:val="auto"/>
          <w:sz w:val="20"/>
        </w:rPr>
        <w:t>urchasing</w:t>
      </w:r>
      <w:r w:rsidRPr="0003056C">
        <w:rPr>
          <w:color w:val="auto"/>
          <w:sz w:val="20"/>
        </w:rPr>
        <w:t xml:space="preserve"> Entity shall not sublicense, sell, or otherwise transfer the MCR to any third party. P</w:t>
      </w:r>
      <w:r w:rsidR="00966D3C" w:rsidRPr="0003056C">
        <w:rPr>
          <w:color w:val="auto"/>
          <w:sz w:val="20"/>
        </w:rPr>
        <w:t>urchasing</w:t>
      </w:r>
      <w:r w:rsidRPr="0003056C">
        <w:rPr>
          <w:color w:val="auto"/>
          <w:sz w:val="20"/>
        </w:rPr>
        <w:t xml:space="preserve"> Entity shall not republish any documentation that may be provided in connection with the MCR. All rights not granted, including without limitation rights to reproduce, sublicense, rent, sell, distribute, create derivative works, serve other software by means of, decompile, reverse engineer, and disassemble the MCR, are expressly reserved by MathWorks.</w:t>
      </w:r>
    </w:p>
    <w:p w14:paraId="5A5E211F" w14:textId="6FECD149" w:rsidR="006529F8" w:rsidRDefault="006529F8" w:rsidP="0003056C">
      <w:pPr>
        <w:pStyle w:val="BodyTextIndent"/>
        <w:numPr>
          <w:ilvl w:val="0"/>
          <w:numId w:val="3"/>
        </w:numPr>
        <w:spacing w:after="120"/>
        <w:ind w:left="1080"/>
        <w:rPr>
          <w:color w:val="auto"/>
          <w:sz w:val="20"/>
        </w:rPr>
      </w:pPr>
      <w:r w:rsidRPr="0003056C">
        <w:rPr>
          <w:b/>
          <w:color w:val="auto"/>
          <w:sz w:val="20"/>
        </w:rPr>
        <w:t>NO TECHNICAL SUPPORT</w:t>
      </w:r>
      <w:r w:rsidRPr="0003056C">
        <w:rPr>
          <w:color w:val="auto"/>
          <w:sz w:val="20"/>
        </w:rPr>
        <w:t>. Technical support is not provided by MathWorks for users of the MCR under this license. MathWorks may, at its sole discretion, offer bug fixes or updates to the MCR.</w:t>
      </w:r>
    </w:p>
    <w:p w14:paraId="68297CB3" w14:textId="4FF607C3" w:rsidR="006529F8" w:rsidRDefault="006529F8" w:rsidP="0003056C">
      <w:pPr>
        <w:pStyle w:val="BodyTextIndent"/>
        <w:numPr>
          <w:ilvl w:val="0"/>
          <w:numId w:val="3"/>
        </w:numPr>
        <w:spacing w:after="120"/>
        <w:ind w:left="1080"/>
        <w:rPr>
          <w:color w:val="auto"/>
          <w:sz w:val="20"/>
        </w:rPr>
      </w:pPr>
      <w:r w:rsidRPr="0003056C">
        <w:rPr>
          <w:b/>
          <w:color w:val="auto"/>
          <w:sz w:val="20"/>
        </w:rPr>
        <w:t>TERM AND TERMINATION.</w:t>
      </w:r>
      <w:r w:rsidRPr="0003056C">
        <w:rPr>
          <w:color w:val="auto"/>
          <w:sz w:val="20"/>
        </w:rPr>
        <w:t xml:space="preserve"> This license shall automatically terminate upon P</w:t>
      </w:r>
      <w:r w:rsidR="00966D3C" w:rsidRPr="0003056C">
        <w:rPr>
          <w:color w:val="auto"/>
          <w:sz w:val="20"/>
        </w:rPr>
        <w:t>urchasing</w:t>
      </w:r>
      <w:r w:rsidRPr="0003056C">
        <w:rPr>
          <w:color w:val="auto"/>
          <w:sz w:val="20"/>
        </w:rPr>
        <w:t xml:space="preserve"> Entity’s failure to comply with this license.</w:t>
      </w:r>
    </w:p>
    <w:p w14:paraId="4A9F7E6A" w14:textId="2A13AFCB" w:rsidR="006529F8" w:rsidRDefault="006529F8" w:rsidP="0003056C">
      <w:pPr>
        <w:pStyle w:val="BodyTextIndent"/>
        <w:numPr>
          <w:ilvl w:val="0"/>
          <w:numId w:val="3"/>
        </w:numPr>
        <w:spacing w:after="120"/>
        <w:ind w:left="1080"/>
        <w:rPr>
          <w:color w:val="auto"/>
          <w:sz w:val="20"/>
        </w:rPr>
      </w:pPr>
      <w:r w:rsidRPr="0003056C">
        <w:rPr>
          <w:b/>
          <w:color w:val="auto"/>
          <w:sz w:val="20"/>
        </w:rPr>
        <w:t>EXPORT CONTROL.</w:t>
      </w:r>
      <w:r w:rsidRPr="0003056C">
        <w:rPr>
          <w:color w:val="auto"/>
          <w:sz w:val="20"/>
        </w:rPr>
        <w:t xml:space="preserve"> The MCR may be subject to U.S. and non-U.S. export control laws and other applicable governmental export and import laws and regulations.</w:t>
      </w:r>
      <w:r w:rsidR="0003056C">
        <w:rPr>
          <w:color w:val="auto"/>
          <w:sz w:val="20"/>
        </w:rPr>
        <w:t xml:space="preserve"> </w:t>
      </w:r>
      <w:r w:rsidRPr="0003056C">
        <w:rPr>
          <w:color w:val="auto"/>
          <w:sz w:val="20"/>
        </w:rPr>
        <w:t>In exercising P</w:t>
      </w:r>
      <w:r w:rsidR="00966D3C" w:rsidRPr="0003056C">
        <w:rPr>
          <w:color w:val="auto"/>
          <w:sz w:val="20"/>
        </w:rPr>
        <w:t>urchasing</w:t>
      </w:r>
      <w:r w:rsidRPr="0003056C">
        <w:rPr>
          <w:color w:val="auto"/>
          <w:sz w:val="20"/>
        </w:rPr>
        <w:t xml:space="preserve"> Entity’s rights under this license, P</w:t>
      </w:r>
      <w:r w:rsidR="00966D3C" w:rsidRPr="0003056C">
        <w:rPr>
          <w:color w:val="auto"/>
          <w:sz w:val="20"/>
        </w:rPr>
        <w:t>urchasing</w:t>
      </w:r>
      <w:r w:rsidRPr="0003056C">
        <w:rPr>
          <w:color w:val="auto"/>
          <w:sz w:val="20"/>
        </w:rPr>
        <w:t xml:space="preserve"> Entity agrees not to violate any such laws and regulations. P</w:t>
      </w:r>
      <w:r w:rsidR="00966D3C" w:rsidRPr="0003056C">
        <w:rPr>
          <w:color w:val="auto"/>
          <w:sz w:val="20"/>
        </w:rPr>
        <w:t>urchasing</w:t>
      </w:r>
      <w:r w:rsidRPr="0003056C">
        <w:rPr>
          <w:color w:val="auto"/>
          <w:sz w:val="20"/>
        </w:rPr>
        <w:t xml:space="preserve"> Entity also represents and warrants that </w:t>
      </w:r>
      <w:r w:rsidRPr="00DD0767">
        <w:rPr>
          <w:b/>
          <w:color w:val="auto"/>
          <w:sz w:val="20"/>
        </w:rPr>
        <w:t>(i)</w:t>
      </w:r>
      <w:r w:rsidRPr="0003056C">
        <w:rPr>
          <w:color w:val="auto"/>
          <w:sz w:val="20"/>
        </w:rPr>
        <w:t xml:space="preserve"> P</w:t>
      </w:r>
      <w:r w:rsidR="00966D3C" w:rsidRPr="0003056C">
        <w:rPr>
          <w:color w:val="auto"/>
          <w:sz w:val="20"/>
        </w:rPr>
        <w:t>urchasing</w:t>
      </w:r>
      <w:r w:rsidRPr="0003056C">
        <w:rPr>
          <w:color w:val="auto"/>
          <w:sz w:val="20"/>
        </w:rPr>
        <w:t xml:space="preserve"> Entity is not located in a country that is subject to a U.S. Government embargo, or that has been designated by the U.S. Government as a “terrorist supporting” country; and </w:t>
      </w:r>
      <w:r w:rsidRPr="00DD0767">
        <w:rPr>
          <w:b/>
          <w:color w:val="auto"/>
          <w:sz w:val="20"/>
        </w:rPr>
        <w:t>(ii)</w:t>
      </w:r>
      <w:r w:rsidRPr="0003056C">
        <w:rPr>
          <w:color w:val="auto"/>
          <w:sz w:val="20"/>
        </w:rPr>
        <w:t xml:space="preserve"> P</w:t>
      </w:r>
      <w:r w:rsidR="00966D3C" w:rsidRPr="0003056C">
        <w:rPr>
          <w:color w:val="auto"/>
          <w:sz w:val="20"/>
        </w:rPr>
        <w:t>urchasing</w:t>
      </w:r>
      <w:r w:rsidRPr="0003056C">
        <w:rPr>
          <w:color w:val="auto"/>
          <w:sz w:val="20"/>
        </w:rPr>
        <w:t xml:space="preserve"> Entity is not listed on any U.S. Government list of prohibited or restricted parties.</w:t>
      </w:r>
    </w:p>
    <w:p w14:paraId="63C179BA" w14:textId="1F8E5C7E" w:rsidR="006529F8" w:rsidRDefault="006529F8" w:rsidP="0003056C">
      <w:pPr>
        <w:pStyle w:val="BodyTextIndent"/>
        <w:numPr>
          <w:ilvl w:val="0"/>
          <w:numId w:val="3"/>
        </w:numPr>
        <w:spacing w:after="120"/>
        <w:ind w:left="1080"/>
        <w:rPr>
          <w:color w:val="auto"/>
          <w:sz w:val="20"/>
        </w:rPr>
      </w:pPr>
      <w:r w:rsidRPr="0003056C">
        <w:rPr>
          <w:b/>
          <w:color w:val="auto"/>
          <w:sz w:val="20"/>
        </w:rPr>
        <w:t>U.S. GOVERNMENT LICENSEES:</w:t>
      </w:r>
      <w:r w:rsidRPr="0003056C">
        <w:rPr>
          <w:color w:val="auto"/>
          <w:sz w:val="20"/>
        </w:rPr>
        <w:t xml:space="preserve"> P</w:t>
      </w:r>
      <w:r w:rsidR="00966D3C" w:rsidRPr="0003056C">
        <w:rPr>
          <w:color w:val="auto"/>
          <w:sz w:val="20"/>
        </w:rPr>
        <w:t>urchasing</w:t>
      </w:r>
      <w:r w:rsidRPr="0003056C">
        <w:rPr>
          <w:color w:val="auto"/>
          <w:sz w:val="20"/>
        </w:rPr>
        <w:t xml:space="preserve"> Entity agrees that the MCR qualifies as commercial computer software or documentation as defined in the FAR and/or DFARS; that the terms and conditions of this MCR (MATLAB Compiler Runtime) LIBRARIES LICENSE shall govern P</w:t>
      </w:r>
      <w:r w:rsidR="00966D3C" w:rsidRPr="0003056C">
        <w:rPr>
          <w:color w:val="auto"/>
          <w:sz w:val="20"/>
        </w:rPr>
        <w:t>urchasing</w:t>
      </w:r>
      <w:r w:rsidRPr="0003056C">
        <w:rPr>
          <w:color w:val="auto"/>
          <w:sz w:val="20"/>
        </w:rPr>
        <w:t xml:space="preserve"> Entity’s use, reproduction, performance, display, and disclosure of the MCR, superseding any inconsistent government provisions.</w:t>
      </w:r>
    </w:p>
    <w:p w14:paraId="1067D0E1" w14:textId="6F235C20" w:rsidR="006529F8" w:rsidRDefault="006529F8" w:rsidP="0003056C">
      <w:pPr>
        <w:pStyle w:val="BodyTextIndent"/>
        <w:numPr>
          <w:ilvl w:val="0"/>
          <w:numId w:val="3"/>
        </w:numPr>
        <w:spacing w:after="120"/>
        <w:ind w:left="1080"/>
        <w:rPr>
          <w:color w:val="auto"/>
          <w:sz w:val="20"/>
        </w:rPr>
      </w:pPr>
      <w:r w:rsidRPr="0003056C">
        <w:rPr>
          <w:b/>
          <w:color w:val="auto"/>
          <w:sz w:val="20"/>
        </w:rPr>
        <w:t>ASSIGNMENT.</w:t>
      </w:r>
      <w:r w:rsidRPr="0003056C">
        <w:rPr>
          <w:color w:val="auto"/>
          <w:sz w:val="20"/>
        </w:rPr>
        <w:t xml:space="preserve"> P</w:t>
      </w:r>
      <w:r w:rsidR="00966D3C" w:rsidRPr="0003056C">
        <w:rPr>
          <w:color w:val="auto"/>
          <w:sz w:val="20"/>
        </w:rPr>
        <w:t>urchasing</w:t>
      </w:r>
      <w:r w:rsidRPr="0003056C">
        <w:rPr>
          <w:color w:val="auto"/>
          <w:sz w:val="20"/>
        </w:rPr>
        <w:t xml:space="preserve"> Entity may not assign or otherwise transfer this license and its rights and obligations hereunder, in whole or in part.</w:t>
      </w:r>
    </w:p>
    <w:p w14:paraId="7FB70853" w14:textId="748E6200" w:rsidR="00F4237A" w:rsidRPr="0003056C" w:rsidRDefault="0022631D" w:rsidP="0003056C">
      <w:pPr>
        <w:pStyle w:val="BodyTextIndent"/>
        <w:numPr>
          <w:ilvl w:val="0"/>
          <w:numId w:val="3"/>
        </w:numPr>
        <w:spacing w:after="120"/>
        <w:ind w:left="1080"/>
        <w:rPr>
          <w:color w:val="auto"/>
          <w:sz w:val="20"/>
        </w:rPr>
      </w:pPr>
      <w:r w:rsidRPr="0003056C">
        <w:rPr>
          <w:b/>
          <w:color w:val="auto"/>
          <w:sz w:val="20"/>
        </w:rPr>
        <w:t xml:space="preserve">MATHWORKS </w:t>
      </w:r>
      <w:r w:rsidR="00F4237A" w:rsidRPr="0003056C">
        <w:rPr>
          <w:b/>
          <w:color w:val="auto"/>
          <w:sz w:val="20"/>
        </w:rPr>
        <w:t>LIMITATION OF LIABILITY.</w:t>
      </w:r>
      <w:r w:rsidR="00F4237A" w:rsidRPr="0003056C">
        <w:rPr>
          <w:color w:val="auto"/>
          <w:sz w:val="20"/>
        </w:rPr>
        <w:t xml:space="preserve"> To the extent permitted by law, any liability of MathWorks (whether in relation to breach of contract, negligence or otherwise) shall be limited to ten dollars ($10.00 USD); and </w:t>
      </w:r>
      <w:r w:rsidR="00F4237A" w:rsidRPr="0003056C">
        <w:rPr>
          <w:color w:val="auto"/>
          <w:sz w:val="20"/>
        </w:rPr>
        <w:lastRenderedPageBreak/>
        <w:t>MathWorks shall have no liability for any indirect or consequential loss (whether foreseeable or otherwise and including loss of profits, loss of business, loss of opportunity, and loss of use, or unauthorized use or access, of any computer hardware or software). Some</w:t>
      </w:r>
      <w:r w:rsidR="007433F1" w:rsidRPr="0003056C">
        <w:rPr>
          <w:color w:val="auto"/>
          <w:sz w:val="20"/>
        </w:rPr>
        <w:t xml:space="preserve"> Participating States and Entities</w:t>
      </w:r>
      <w:r w:rsidR="00F4237A" w:rsidRPr="0003056C">
        <w:rPr>
          <w:color w:val="auto"/>
          <w:sz w:val="20"/>
        </w:rPr>
        <w:t xml:space="preserve"> do not allow the exclusion or limitation of incidental or consequential damages, so the above exclusion or limitation may not apply to </w:t>
      </w:r>
      <w:r w:rsidR="007433F1" w:rsidRPr="0003056C">
        <w:rPr>
          <w:color w:val="auto"/>
          <w:sz w:val="20"/>
        </w:rPr>
        <w:t xml:space="preserve">a </w:t>
      </w:r>
      <w:r w:rsidR="00F4237A" w:rsidRPr="0003056C">
        <w:rPr>
          <w:color w:val="auto"/>
          <w:sz w:val="20"/>
        </w:rPr>
        <w:t xml:space="preserve">Participating </w:t>
      </w:r>
      <w:r w:rsidR="007433F1" w:rsidRPr="0003056C">
        <w:rPr>
          <w:color w:val="auto"/>
          <w:sz w:val="20"/>
        </w:rPr>
        <w:t xml:space="preserve">State or </w:t>
      </w:r>
      <w:r w:rsidR="00F4237A" w:rsidRPr="0003056C">
        <w:rPr>
          <w:color w:val="auto"/>
          <w:sz w:val="20"/>
        </w:rPr>
        <w:t>Entity. MathWorks’ liability for death or personal injury resulting from negligence or for any other matter in relation to which liability by law cannot be excluded or limited shall not be excluded or limited.</w:t>
      </w:r>
      <w:r w:rsidR="00ED4957">
        <w:rPr>
          <w:color w:val="auto"/>
          <w:sz w:val="20"/>
        </w:rPr>
        <w:t xml:space="preserve"> </w:t>
      </w:r>
      <w:r w:rsidR="001E21D7">
        <w:rPr>
          <w:color w:val="auto"/>
          <w:sz w:val="20"/>
        </w:rPr>
        <w:t xml:space="preserve">For clarification, this provision limits the liability of MathWorks to the Participating State or Entity, but the liability of Xerox to the Participating State or Entity shall remain </w:t>
      </w:r>
      <w:r w:rsidR="00ED4957">
        <w:rPr>
          <w:color w:val="auto"/>
          <w:sz w:val="20"/>
        </w:rPr>
        <w:t>that limitation of liability</w:t>
      </w:r>
      <w:r w:rsidR="00400677" w:rsidRPr="0003056C">
        <w:rPr>
          <w:color w:val="auto"/>
          <w:sz w:val="20"/>
        </w:rPr>
        <w:t xml:space="preserve"> outlined in Section </w:t>
      </w:r>
      <w:r w:rsidR="00A50FF2">
        <w:rPr>
          <w:color w:val="auto"/>
          <w:sz w:val="20"/>
        </w:rPr>
        <w:t>6</w:t>
      </w:r>
      <w:r w:rsidR="00400677" w:rsidRPr="0003056C">
        <w:rPr>
          <w:color w:val="auto"/>
          <w:sz w:val="20"/>
        </w:rPr>
        <w:t xml:space="preserve"> of Attachment </w:t>
      </w:r>
      <w:r w:rsidR="00A50FF2">
        <w:rPr>
          <w:color w:val="auto"/>
          <w:sz w:val="20"/>
        </w:rPr>
        <w:t>1</w:t>
      </w:r>
      <w:r w:rsidR="00400677" w:rsidRPr="0003056C">
        <w:rPr>
          <w:color w:val="auto"/>
          <w:sz w:val="20"/>
        </w:rPr>
        <w:t xml:space="preserve">, Xerox General Terms, of the Master Agreement, or as </w:t>
      </w:r>
      <w:r w:rsidRPr="0003056C">
        <w:rPr>
          <w:color w:val="auto"/>
          <w:sz w:val="20"/>
        </w:rPr>
        <w:t>otherwise negotiated by each Participating State or Entity in their Participating Addendum.</w:t>
      </w:r>
      <w:r w:rsidR="00400677" w:rsidRPr="0003056C">
        <w:rPr>
          <w:sz w:val="20"/>
        </w:rPr>
        <w:t xml:space="preserve"> </w:t>
      </w:r>
    </w:p>
    <w:p w14:paraId="16DD4806" w14:textId="35B13B11" w:rsidR="006529F8" w:rsidRDefault="006529F8" w:rsidP="0003056C">
      <w:pPr>
        <w:pStyle w:val="BodyTextIndent"/>
        <w:numPr>
          <w:ilvl w:val="0"/>
          <w:numId w:val="3"/>
        </w:numPr>
        <w:spacing w:after="120"/>
        <w:ind w:left="1080"/>
        <w:rPr>
          <w:color w:val="auto"/>
          <w:sz w:val="20"/>
        </w:rPr>
      </w:pPr>
      <w:r w:rsidRPr="0003056C">
        <w:rPr>
          <w:b/>
          <w:color w:val="auto"/>
          <w:sz w:val="20"/>
        </w:rPr>
        <w:t>DISCLAIMER OF WARRANTIES</w:t>
      </w:r>
      <w:r w:rsidRPr="0003056C">
        <w:rPr>
          <w:color w:val="auto"/>
          <w:sz w:val="20"/>
        </w:rPr>
        <w:t>. The MCR is delivered “as is</w:t>
      </w:r>
      <w:r w:rsidR="00966D3C" w:rsidRPr="0003056C">
        <w:rPr>
          <w:color w:val="auto"/>
          <w:sz w:val="20"/>
        </w:rPr>
        <w:t>.</w:t>
      </w:r>
      <w:r w:rsidRPr="0003056C">
        <w:rPr>
          <w:color w:val="auto"/>
          <w:sz w:val="20"/>
        </w:rPr>
        <w:t>” and MathWorks makes, and P</w:t>
      </w:r>
      <w:r w:rsidR="009A2A31" w:rsidRPr="0003056C">
        <w:rPr>
          <w:color w:val="auto"/>
          <w:sz w:val="20"/>
        </w:rPr>
        <w:t>urchasing</w:t>
      </w:r>
      <w:r w:rsidRPr="0003056C">
        <w:rPr>
          <w:color w:val="auto"/>
          <w:sz w:val="20"/>
        </w:rPr>
        <w:t xml:space="preserve"> Entity receives, no additional express or implied warranties. MathWorks hereby expressly disclaims any and all other conditions, warranties, or other terms of any kind or nature concerning the MCR (including, without limitation, any with regard to noninfringement, merchantability, quality, accuracy, or fitness for a particular purpose or for P</w:t>
      </w:r>
      <w:r w:rsidR="00966D3C" w:rsidRPr="0003056C">
        <w:rPr>
          <w:color w:val="auto"/>
          <w:sz w:val="20"/>
        </w:rPr>
        <w:t>urchasing</w:t>
      </w:r>
      <w:r w:rsidRPr="0003056C">
        <w:rPr>
          <w:color w:val="auto"/>
          <w:sz w:val="20"/>
        </w:rPr>
        <w:t xml:space="preserve"> Entity’s purpose). MathWorks also expressly disclaims any warranties that may be implied from usage of trade, course of dealing, or course of performance.</w:t>
      </w:r>
    </w:p>
    <w:p w14:paraId="4220C900" w14:textId="24CC32CE" w:rsidR="006529F8" w:rsidRDefault="006529F8" w:rsidP="0003056C">
      <w:pPr>
        <w:pStyle w:val="BodyTextIndent"/>
        <w:numPr>
          <w:ilvl w:val="0"/>
          <w:numId w:val="3"/>
        </w:numPr>
        <w:spacing w:after="120"/>
        <w:ind w:left="1080"/>
        <w:rPr>
          <w:color w:val="auto"/>
          <w:sz w:val="20"/>
        </w:rPr>
      </w:pPr>
      <w:r w:rsidRPr="0003056C">
        <w:rPr>
          <w:b/>
          <w:color w:val="auto"/>
          <w:sz w:val="20"/>
        </w:rPr>
        <w:t xml:space="preserve">GOVERNING LAW; JURISDICTION. </w:t>
      </w:r>
      <w:r w:rsidRPr="0003056C">
        <w:rPr>
          <w:color w:val="auto"/>
          <w:sz w:val="20"/>
        </w:rPr>
        <w:t xml:space="preserve">This license shall be governed by the laws of the </w:t>
      </w:r>
      <w:r w:rsidR="00966D3C" w:rsidRPr="0003056C">
        <w:rPr>
          <w:color w:val="auto"/>
          <w:sz w:val="20"/>
        </w:rPr>
        <w:t>P</w:t>
      </w:r>
      <w:r w:rsidR="006A4B75" w:rsidRPr="0003056C">
        <w:rPr>
          <w:color w:val="auto"/>
          <w:sz w:val="20"/>
        </w:rPr>
        <w:t>urchas</w:t>
      </w:r>
      <w:r w:rsidR="00966D3C" w:rsidRPr="0003056C">
        <w:rPr>
          <w:color w:val="auto"/>
          <w:sz w:val="20"/>
        </w:rPr>
        <w:t xml:space="preserve">ing </w:t>
      </w:r>
      <w:r w:rsidR="006153FD">
        <w:rPr>
          <w:color w:val="auto"/>
          <w:sz w:val="20"/>
        </w:rPr>
        <w:t>Entity</w:t>
      </w:r>
      <w:r w:rsidR="00966D3C" w:rsidRPr="0003056C">
        <w:rPr>
          <w:color w:val="auto"/>
          <w:sz w:val="20"/>
        </w:rPr>
        <w:t>.</w:t>
      </w:r>
      <w:r w:rsidRPr="0003056C">
        <w:rPr>
          <w:color w:val="auto"/>
          <w:sz w:val="20"/>
        </w:rPr>
        <w:t xml:space="preserve"> Neither the U.N. Convention on Contracts for the International Sale of Goods nor the Uniform Computer Information Transactions Act, or any version thereof (“UCITA”), shall apply to this license. To the extent that UCITA is applicable, the parties agree to opt out of the applicability of UCITA.</w:t>
      </w:r>
    </w:p>
    <w:p w14:paraId="7ECBCF07" w14:textId="23FA4392" w:rsidR="006529F8" w:rsidRDefault="006529F8" w:rsidP="0003056C">
      <w:pPr>
        <w:pStyle w:val="BodyTextIndent"/>
        <w:numPr>
          <w:ilvl w:val="0"/>
          <w:numId w:val="3"/>
        </w:numPr>
        <w:ind w:left="1080"/>
        <w:rPr>
          <w:color w:val="auto"/>
          <w:sz w:val="20"/>
        </w:rPr>
      </w:pPr>
      <w:r w:rsidRPr="0003056C">
        <w:rPr>
          <w:b/>
          <w:color w:val="auto"/>
          <w:sz w:val="20"/>
        </w:rPr>
        <w:t>ENTIRE AGREEMENT.</w:t>
      </w:r>
      <w:r w:rsidRPr="0003056C">
        <w:rPr>
          <w:color w:val="auto"/>
          <w:sz w:val="20"/>
        </w:rPr>
        <w:t xml:space="preserve"> This license contains the entire understanding of the parties with respect to the MCR provided hereunder, and may not be modified or amended except by written instrument, executed by MathWorks and P</w:t>
      </w:r>
      <w:r w:rsidR="00966D3C" w:rsidRPr="0003056C">
        <w:rPr>
          <w:color w:val="auto"/>
          <w:sz w:val="20"/>
        </w:rPr>
        <w:t>urchasing</w:t>
      </w:r>
      <w:r w:rsidRPr="0003056C">
        <w:rPr>
          <w:color w:val="auto"/>
          <w:sz w:val="20"/>
        </w:rPr>
        <w:t xml:space="preserve"> Entity. This license shall not supersede any product license P</w:t>
      </w:r>
      <w:r w:rsidR="00966D3C" w:rsidRPr="0003056C">
        <w:rPr>
          <w:color w:val="auto"/>
          <w:sz w:val="20"/>
        </w:rPr>
        <w:t>urchasing</w:t>
      </w:r>
      <w:r w:rsidRPr="0003056C">
        <w:rPr>
          <w:color w:val="auto"/>
          <w:sz w:val="20"/>
        </w:rPr>
        <w:t xml:space="preserve"> Entity have with MathWorks for the MATLAB Compiler.</w:t>
      </w:r>
    </w:p>
    <w:p w14:paraId="52FEF45B" w14:textId="77777777" w:rsidR="0003056C" w:rsidRPr="0003056C" w:rsidRDefault="0003056C" w:rsidP="0003056C">
      <w:pPr>
        <w:pStyle w:val="BodyTextIndent"/>
        <w:spacing w:before="0"/>
        <w:ind w:left="1080"/>
        <w:rPr>
          <w:color w:val="auto"/>
          <w:sz w:val="20"/>
        </w:rPr>
      </w:pPr>
    </w:p>
    <w:p w14:paraId="37D7F368" w14:textId="4653013D" w:rsidR="006529F8" w:rsidRPr="0084509E" w:rsidRDefault="00A37742" w:rsidP="006529F8">
      <w:pPr>
        <w:pStyle w:val="BodyTextIndent"/>
        <w:numPr>
          <w:ilvl w:val="0"/>
          <w:numId w:val="1"/>
        </w:numPr>
        <w:rPr>
          <w:color w:val="auto"/>
          <w:sz w:val="20"/>
        </w:rPr>
      </w:pPr>
      <w:r w:rsidRPr="00AB3A8C">
        <w:rPr>
          <w:b/>
          <w:color w:val="auto"/>
          <w:sz w:val="20"/>
        </w:rPr>
        <w:t>THIRD PARTY HARDWARE</w:t>
      </w:r>
      <w:r w:rsidR="006529F8" w:rsidRPr="00AB3A8C">
        <w:rPr>
          <w:b/>
          <w:color w:val="auto"/>
          <w:sz w:val="20"/>
        </w:rPr>
        <w:t xml:space="preserve"> MAINTENANCE</w:t>
      </w:r>
      <w:r w:rsidR="00B70E6F" w:rsidRPr="00AB3A8C">
        <w:rPr>
          <w:b/>
          <w:color w:val="auto"/>
          <w:sz w:val="20"/>
        </w:rPr>
        <w:t xml:space="preserve"> SERVICES</w:t>
      </w:r>
      <w:r w:rsidR="006529F8" w:rsidRPr="0084509E">
        <w:rPr>
          <w:color w:val="auto"/>
          <w:sz w:val="20"/>
        </w:rPr>
        <w:t xml:space="preserve">.  </w:t>
      </w:r>
    </w:p>
    <w:p w14:paraId="72A19C78" w14:textId="71416569" w:rsidR="006529F8" w:rsidRDefault="006529F8" w:rsidP="0003056C">
      <w:pPr>
        <w:pStyle w:val="BodyTextIndent"/>
        <w:numPr>
          <w:ilvl w:val="0"/>
          <w:numId w:val="4"/>
        </w:numPr>
        <w:spacing w:after="120"/>
        <w:ind w:left="1080"/>
        <w:rPr>
          <w:color w:val="auto"/>
          <w:sz w:val="20"/>
        </w:rPr>
      </w:pPr>
      <w:r w:rsidRPr="0003056C">
        <w:rPr>
          <w:color w:val="auto"/>
          <w:sz w:val="20"/>
        </w:rPr>
        <w:t>The provision of maintenance services to keep the Third Party Hardware in good working order (“Third Party Hardware Maintenance”) is contingent upon P</w:t>
      </w:r>
      <w:r w:rsidR="00511EE3" w:rsidRPr="0003056C">
        <w:rPr>
          <w:color w:val="auto"/>
          <w:sz w:val="20"/>
        </w:rPr>
        <w:t>urchasing</w:t>
      </w:r>
      <w:r w:rsidRPr="0003056C">
        <w:rPr>
          <w:color w:val="auto"/>
          <w:sz w:val="20"/>
        </w:rPr>
        <w:t xml:space="preserve"> Entity facilitating timely and efficient resolution of Third Party Hardware issues by: </w:t>
      </w:r>
      <w:r w:rsidRPr="00DD0767">
        <w:rPr>
          <w:b/>
          <w:color w:val="auto"/>
          <w:sz w:val="20"/>
        </w:rPr>
        <w:t>(i)</w:t>
      </w:r>
      <w:r w:rsidRPr="0003056C">
        <w:rPr>
          <w:color w:val="auto"/>
          <w:sz w:val="20"/>
        </w:rPr>
        <w:t xml:space="preserve"> utilizing customer-implemented remedies provided by Contractor and </w:t>
      </w:r>
      <w:r w:rsidRPr="00DD0767">
        <w:rPr>
          <w:b/>
          <w:color w:val="auto"/>
          <w:sz w:val="20"/>
        </w:rPr>
        <w:t>(ii)</w:t>
      </w:r>
      <w:r w:rsidRPr="0003056C">
        <w:rPr>
          <w:color w:val="auto"/>
          <w:sz w:val="20"/>
        </w:rPr>
        <w:t xml:space="preserve"> providing information to and implementing recommendations provided by Contractor telephone support personnel.  If a Third Party Hardware issue is not resolved after completion of </w:t>
      </w:r>
      <w:r w:rsidRPr="00EC5670">
        <w:rPr>
          <w:b/>
          <w:color w:val="auto"/>
          <w:sz w:val="20"/>
        </w:rPr>
        <w:t xml:space="preserve">(i) </w:t>
      </w:r>
      <w:r w:rsidRPr="0003056C">
        <w:rPr>
          <w:color w:val="auto"/>
          <w:sz w:val="20"/>
        </w:rPr>
        <w:t xml:space="preserve">and </w:t>
      </w:r>
      <w:r w:rsidRPr="00EC5670">
        <w:rPr>
          <w:b/>
          <w:color w:val="auto"/>
          <w:sz w:val="20"/>
        </w:rPr>
        <w:t>(ii)</w:t>
      </w:r>
      <w:r w:rsidRPr="0003056C">
        <w:rPr>
          <w:color w:val="auto"/>
          <w:sz w:val="20"/>
        </w:rPr>
        <w:t xml:space="preserve"> above, Contractor will provide on-site support as provided herein.  Unless otherwise provided herein, Third Party Hardware Maintenance will be provided during Contractor’s standard working hours from 8:00 a.m. to 5:00 p.m. local time, Monday through Friday (excluding Contractor-recognized holidays which currently are New Year’s Day, Memorial Day, Independence Day, Labor Day, Thanksgiving Day, Christmas Day and certain floating days around some of these holidays) in areas open for repair service for the Third Party Hardware in the U.S.  You agree to give Contractor reasonable access to the Third Party Hardware.  Third Party Hardware Maintenance shall cover repairs and adjustments to keep the Third Party Hardware in good working order that are required as a result of normal wear and tear or defects in materials or workmanship (and shall exclude repairs or adjustments Contractor determines to relate to or be affected by the use of options, accessories, or other connected products not serviced by Contractor, as well as any non-Contractor alterations, relocation, service, supplies, or consumables).</w:t>
      </w:r>
    </w:p>
    <w:p w14:paraId="3CFC9092" w14:textId="08C0FB32" w:rsidR="006529F8" w:rsidRDefault="006529F8" w:rsidP="0003056C">
      <w:pPr>
        <w:pStyle w:val="BodyTextIndent"/>
        <w:numPr>
          <w:ilvl w:val="0"/>
          <w:numId w:val="4"/>
        </w:numPr>
        <w:spacing w:after="120"/>
        <w:ind w:left="1080"/>
        <w:rPr>
          <w:color w:val="auto"/>
          <w:sz w:val="20"/>
        </w:rPr>
      </w:pPr>
      <w:r w:rsidRPr="0003056C">
        <w:rPr>
          <w:color w:val="auto"/>
          <w:sz w:val="20"/>
        </w:rPr>
        <w:t xml:space="preserve">Contractor shall perform scheduled </w:t>
      </w:r>
      <w:r w:rsidR="00D67372" w:rsidRPr="0003056C">
        <w:rPr>
          <w:color w:val="auto"/>
          <w:sz w:val="20"/>
        </w:rPr>
        <w:t xml:space="preserve">Third Party Hardware </w:t>
      </w:r>
      <w:r w:rsidRPr="0003056C">
        <w:rPr>
          <w:color w:val="auto"/>
          <w:sz w:val="20"/>
        </w:rPr>
        <w:t>Maintenance at such times agreed to by both parties at each</w:t>
      </w:r>
      <w:r w:rsidR="00D67372" w:rsidRPr="0003056C">
        <w:rPr>
          <w:color w:val="auto"/>
          <w:sz w:val="20"/>
        </w:rPr>
        <w:t xml:space="preserve"> Third Party Hardware </w:t>
      </w:r>
      <w:r w:rsidRPr="0003056C">
        <w:rPr>
          <w:color w:val="auto"/>
          <w:sz w:val="20"/>
        </w:rPr>
        <w:t xml:space="preserve">location.  Scheduled maintenance shall be performed as specified in the </w:t>
      </w:r>
      <w:r w:rsidR="00D67372" w:rsidRPr="0003056C">
        <w:rPr>
          <w:color w:val="auto"/>
          <w:sz w:val="20"/>
        </w:rPr>
        <w:t xml:space="preserve">Third Party Hardware </w:t>
      </w:r>
      <w:r w:rsidRPr="0003056C">
        <w:rPr>
          <w:color w:val="auto"/>
          <w:sz w:val="20"/>
        </w:rPr>
        <w:t>Maintenance documentation.</w:t>
      </w:r>
    </w:p>
    <w:p w14:paraId="4042F6F3" w14:textId="4A45D207" w:rsidR="006529F8" w:rsidRDefault="006529F8" w:rsidP="0003056C">
      <w:pPr>
        <w:pStyle w:val="BodyTextIndent"/>
        <w:numPr>
          <w:ilvl w:val="0"/>
          <w:numId w:val="4"/>
        </w:numPr>
        <w:spacing w:after="120"/>
        <w:ind w:left="1080"/>
        <w:rPr>
          <w:color w:val="auto"/>
          <w:sz w:val="20"/>
        </w:rPr>
      </w:pPr>
      <w:r w:rsidRPr="0003056C">
        <w:rPr>
          <w:color w:val="auto"/>
          <w:sz w:val="20"/>
        </w:rPr>
        <w:t>Contractor shall replace parts that are unserviceable as determined solely by Contractor on an exchange basis with new</w:t>
      </w:r>
      <w:r w:rsidR="00B8029B" w:rsidRPr="0003056C">
        <w:rPr>
          <w:color w:val="auto"/>
          <w:sz w:val="20"/>
        </w:rPr>
        <w:t>,</w:t>
      </w:r>
      <w:r w:rsidRPr="0003056C">
        <w:rPr>
          <w:color w:val="auto"/>
          <w:sz w:val="20"/>
        </w:rPr>
        <w:t xml:space="preserve"> or parts equivalent to </w:t>
      </w:r>
      <w:r w:rsidR="007B7A18" w:rsidRPr="0003056C">
        <w:rPr>
          <w:color w:val="auto"/>
          <w:sz w:val="20"/>
        </w:rPr>
        <w:t>new when</w:t>
      </w:r>
      <w:r w:rsidRPr="0003056C">
        <w:rPr>
          <w:color w:val="auto"/>
          <w:sz w:val="20"/>
        </w:rPr>
        <w:t xml:space="preserve"> used in </w:t>
      </w:r>
      <w:r w:rsidR="007B7A18" w:rsidRPr="0003056C">
        <w:rPr>
          <w:color w:val="auto"/>
          <w:sz w:val="20"/>
        </w:rPr>
        <w:t>the Third</w:t>
      </w:r>
      <w:r w:rsidR="00D67372" w:rsidRPr="0003056C">
        <w:rPr>
          <w:color w:val="auto"/>
          <w:sz w:val="20"/>
        </w:rPr>
        <w:t xml:space="preserve"> Party Hardware</w:t>
      </w:r>
      <w:r w:rsidRPr="0003056C">
        <w:rPr>
          <w:color w:val="auto"/>
          <w:sz w:val="20"/>
        </w:rPr>
        <w:t xml:space="preserve">.  Additionally, parts may at times be replaced with an equivalent item (i.e. form, fit and function the same, but not necessarily the same brand as the replaced part).  Exchanged parts removed from </w:t>
      </w:r>
      <w:r w:rsidR="007B7A18" w:rsidRPr="0003056C">
        <w:rPr>
          <w:color w:val="auto"/>
          <w:sz w:val="20"/>
        </w:rPr>
        <w:t>the Third</w:t>
      </w:r>
      <w:r w:rsidR="00D67372" w:rsidRPr="0003056C">
        <w:rPr>
          <w:color w:val="auto"/>
          <w:sz w:val="20"/>
        </w:rPr>
        <w:t xml:space="preserve"> Party Hardware</w:t>
      </w:r>
      <w:r w:rsidRPr="0003056C">
        <w:rPr>
          <w:color w:val="auto"/>
          <w:sz w:val="20"/>
        </w:rPr>
        <w:t xml:space="preserve"> will become the property of Contractor.</w:t>
      </w:r>
    </w:p>
    <w:p w14:paraId="64088DCF" w14:textId="2D7CF56D" w:rsidR="006529F8" w:rsidRDefault="006529F8" w:rsidP="0003056C">
      <w:pPr>
        <w:pStyle w:val="BodyTextIndent"/>
        <w:numPr>
          <w:ilvl w:val="0"/>
          <w:numId w:val="4"/>
        </w:numPr>
        <w:spacing w:after="120"/>
        <w:ind w:left="1080"/>
        <w:rPr>
          <w:color w:val="auto"/>
          <w:sz w:val="20"/>
        </w:rPr>
      </w:pPr>
      <w:r w:rsidRPr="0003056C">
        <w:rPr>
          <w:color w:val="auto"/>
          <w:sz w:val="20"/>
        </w:rPr>
        <w:t>P</w:t>
      </w:r>
      <w:r w:rsidR="00B8029B" w:rsidRPr="0003056C">
        <w:rPr>
          <w:color w:val="auto"/>
          <w:sz w:val="20"/>
        </w:rPr>
        <w:t>urchasing</w:t>
      </w:r>
      <w:r w:rsidRPr="0003056C">
        <w:rPr>
          <w:color w:val="auto"/>
          <w:sz w:val="20"/>
        </w:rPr>
        <w:t xml:space="preserve"> Entity shall perform Key Operator maintenance functions as described in the </w:t>
      </w:r>
      <w:r w:rsidR="00D67372" w:rsidRPr="0003056C">
        <w:rPr>
          <w:color w:val="auto"/>
          <w:sz w:val="20"/>
        </w:rPr>
        <w:t xml:space="preserve">Third Party Hardware </w:t>
      </w:r>
      <w:r w:rsidRPr="0003056C">
        <w:rPr>
          <w:color w:val="auto"/>
          <w:sz w:val="20"/>
        </w:rPr>
        <w:t>operator’s manuals.</w:t>
      </w:r>
    </w:p>
    <w:p w14:paraId="37352D9E" w14:textId="4D0A7F31" w:rsidR="006529F8" w:rsidRDefault="006529F8" w:rsidP="0003056C">
      <w:pPr>
        <w:pStyle w:val="BodyTextIndent"/>
        <w:numPr>
          <w:ilvl w:val="0"/>
          <w:numId w:val="4"/>
        </w:numPr>
        <w:spacing w:after="120"/>
        <w:ind w:left="1080"/>
        <w:rPr>
          <w:color w:val="auto"/>
          <w:sz w:val="20"/>
        </w:rPr>
      </w:pPr>
      <w:r w:rsidRPr="0003056C">
        <w:rPr>
          <w:color w:val="auto"/>
          <w:sz w:val="20"/>
        </w:rPr>
        <w:lastRenderedPageBreak/>
        <w:t>Contractor shall use only qualified Customer Service Engineers fully trained on maintenance requirements and operation of the</w:t>
      </w:r>
      <w:r w:rsidR="00D67372" w:rsidRPr="0003056C">
        <w:rPr>
          <w:color w:val="auto"/>
          <w:sz w:val="20"/>
        </w:rPr>
        <w:t xml:space="preserve"> Third Party Hardware</w:t>
      </w:r>
      <w:r w:rsidRPr="0003056C">
        <w:rPr>
          <w:color w:val="auto"/>
          <w:sz w:val="20"/>
        </w:rPr>
        <w:t>.</w:t>
      </w:r>
    </w:p>
    <w:p w14:paraId="0E23E410" w14:textId="1B958E48" w:rsidR="006529F8" w:rsidRDefault="006529F8" w:rsidP="0003056C">
      <w:pPr>
        <w:pStyle w:val="BodyTextIndent"/>
        <w:numPr>
          <w:ilvl w:val="0"/>
          <w:numId w:val="4"/>
        </w:numPr>
        <w:spacing w:after="120"/>
        <w:ind w:left="1080"/>
        <w:rPr>
          <w:color w:val="auto"/>
          <w:sz w:val="20"/>
        </w:rPr>
      </w:pPr>
      <w:r w:rsidRPr="0003056C">
        <w:rPr>
          <w:color w:val="auto"/>
          <w:sz w:val="20"/>
        </w:rPr>
        <w:t>P</w:t>
      </w:r>
      <w:r w:rsidR="00B8029B" w:rsidRPr="0003056C">
        <w:rPr>
          <w:color w:val="auto"/>
          <w:sz w:val="20"/>
        </w:rPr>
        <w:t>urchasing</w:t>
      </w:r>
      <w:r w:rsidRPr="0003056C">
        <w:rPr>
          <w:color w:val="auto"/>
          <w:sz w:val="20"/>
        </w:rPr>
        <w:t xml:space="preserve"> Entity shall notify Contractor </w:t>
      </w:r>
      <w:r w:rsidR="007B7A18" w:rsidRPr="0003056C">
        <w:rPr>
          <w:color w:val="auto"/>
          <w:sz w:val="20"/>
        </w:rPr>
        <w:t>of Third</w:t>
      </w:r>
      <w:r w:rsidR="00D67372" w:rsidRPr="0003056C">
        <w:rPr>
          <w:color w:val="auto"/>
          <w:sz w:val="20"/>
        </w:rPr>
        <w:t xml:space="preserve"> Party Hardware</w:t>
      </w:r>
      <w:r w:rsidRPr="0003056C">
        <w:rPr>
          <w:color w:val="auto"/>
          <w:sz w:val="20"/>
        </w:rPr>
        <w:t xml:space="preserve"> failure and shall provide adequate working space, heat, light, ventilation and electrical current and outlets.</w:t>
      </w:r>
    </w:p>
    <w:p w14:paraId="11F0EF3D" w14:textId="5EADCD5C" w:rsidR="006529F8" w:rsidRDefault="006529F8" w:rsidP="0003056C">
      <w:pPr>
        <w:pStyle w:val="BodyTextIndent"/>
        <w:numPr>
          <w:ilvl w:val="0"/>
          <w:numId w:val="4"/>
        </w:numPr>
        <w:spacing w:after="120"/>
        <w:ind w:left="1080"/>
        <w:rPr>
          <w:color w:val="auto"/>
          <w:sz w:val="20"/>
        </w:rPr>
      </w:pPr>
      <w:r w:rsidRPr="0003056C">
        <w:rPr>
          <w:color w:val="auto"/>
          <w:sz w:val="20"/>
        </w:rPr>
        <w:t>P</w:t>
      </w:r>
      <w:r w:rsidR="00AD66ED" w:rsidRPr="0003056C">
        <w:rPr>
          <w:color w:val="auto"/>
          <w:sz w:val="20"/>
        </w:rPr>
        <w:t>urchasing</w:t>
      </w:r>
      <w:r w:rsidRPr="0003056C">
        <w:rPr>
          <w:color w:val="auto"/>
          <w:sz w:val="20"/>
        </w:rPr>
        <w:t xml:space="preserve"> Entity shall place unscheduled maintenance requests for </w:t>
      </w:r>
      <w:r w:rsidR="00AD66ED" w:rsidRPr="0003056C">
        <w:rPr>
          <w:color w:val="auto"/>
          <w:sz w:val="20"/>
        </w:rPr>
        <w:t>the</w:t>
      </w:r>
      <w:r w:rsidR="00D67372" w:rsidRPr="0003056C">
        <w:rPr>
          <w:color w:val="auto"/>
          <w:sz w:val="20"/>
        </w:rPr>
        <w:t xml:space="preserve"> Third Party Hardware</w:t>
      </w:r>
      <w:r w:rsidRPr="0003056C">
        <w:rPr>
          <w:color w:val="auto"/>
          <w:sz w:val="20"/>
        </w:rPr>
        <w:t xml:space="preserve"> by calling the Contractor’s service telephone number provided by Contractor.</w:t>
      </w:r>
    </w:p>
    <w:p w14:paraId="6316BE31" w14:textId="282D38B2" w:rsidR="006529F8" w:rsidRDefault="006529F8" w:rsidP="0003056C">
      <w:pPr>
        <w:pStyle w:val="BodyTextIndent"/>
        <w:numPr>
          <w:ilvl w:val="0"/>
          <w:numId w:val="4"/>
        </w:numPr>
        <w:spacing w:after="120"/>
        <w:ind w:left="1080"/>
        <w:rPr>
          <w:color w:val="auto"/>
          <w:sz w:val="20"/>
        </w:rPr>
      </w:pPr>
      <w:r w:rsidRPr="0003056C">
        <w:rPr>
          <w:color w:val="auto"/>
          <w:sz w:val="20"/>
        </w:rPr>
        <w:t>Contractor shall not be obligated to provide the following services under these</w:t>
      </w:r>
      <w:r w:rsidR="00291043" w:rsidRPr="0003056C">
        <w:rPr>
          <w:color w:val="auto"/>
          <w:sz w:val="20"/>
        </w:rPr>
        <w:t xml:space="preserve"> Third Party Hardware </w:t>
      </w:r>
      <w:r w:rsidRPr="0003056C">
        <w:rPr>
          <w:color w:val="auto"/>
          <w:sz w:val="20"/>
        </w:rPr>
        <w:t>Maintenance terms and conditions:</w:t>
      </w:r>
    </w:p>
    <w:p w14:paraId="7A8B3F21" w14:textId="2A053CA3" w:rsidR="006529F8" w:rsidRDefault="006529F8" w:rsidP="0003056C">
      <w:pPr>
        <w:pStyle w:val="BodyTextIndent"/>
        <w:numPr>
          <w:ilvl w:val="0"/>
          <w:numId w:val="5"/>
        </w:numPr>
        <w:rPr>
          <w:color w:val="auto"/>
          <w:sz w:val="20"/>
        </w:rPr>
      </w:pPr>
      <w:r w:rsidRPr="0084509E">
        <w:rPr>
          <w:color w:val="auto"/>
          <w:sz w:val="20"/>
        </w:rPr>
        <w:t>Additional or optional retrofits.</w:t>
      </w:r>
    </w:p>
    <w:p w14:paraId="4B01D351" w14:textId="5B400D51" w:rsidR="006529F8" w:rsidRDefault="006529F8" w:rsidP="0003056C">
      <w:pPr>
        <w:pStyle w:val="BodyTextIndent"/>
        <w:numPr>
          <w:ilvl w:val="0"/>
          <w:numId w:val="5"/>
        </w:numPr>
        <w:rPr>
          <w:color w:val="auto"/>
          <w:sz w:val="20"/>
        </w:rPr>
      </w:pPr>
      <w:r w:rsidRPr="0003056C">
        <w:rPr>
          <w:color w:val="auto"/>
          <w:sz w:val="20"/>
        </w:rPr>
        <w:t xml:space="preserve">Services as a result </w:t>
      </w:r>
      <w:r w:rsidR="007B7A18" w:rsidRPr="0003056C">
        <w:rPr>
          <w:color w:val="auto"/>
          <w:sz w:val="20"/>
        </w:rPr>
        <w:t>of Third</w:t>
      </w:r>
      <w:r w:rsidR="00D67372" w:rsidRPr="0003056C">
        <w:rPr>
          <w:color w:val="auto"/>
          <w:sz w:val="20"/>
        </w:rPr>
        <w:t xml:space="preserve"> Party Hardware </w:t>
      </w:r>
      <w:r w:rsidRPr="0003056C">
        <w:rPr>
          <w:color w:val="auto"/>
          <w:sz w:val="20"/>
        </w:rPr>
        <w:t>relocation</w:t>
      </w:r>
      <w:r w:rsidR="00511EE3" w:rsidRPr="0003056C">
        <w:rPr>
          <w:color w:val="auto"/>
          <w:sz w:val="20"/>
        </w:rPr>
        <w:t xml:space="preserve"> by Purchasing Entity</w:t>
      </w:r>
      <w:r w:rsidRPr="0003056C">
        <w:rPr>
          <w:color w:val="auto"/>
          <w:sz w:val="20"/>
        </w:rPr>
        <w:t>.</w:t>
      </w:r>
    </w:p>
    <w:p w14:paraId="2014ADDC" w14:textId="0D24237F" w:rsidR="006529F8" w:rsidRDefault="006529F8" w:rsidP="0003056C">
      <w:pPr>
        <w:pStyle w:val="BodyTextIndent"/>
        <w:numPr>
          <w:ilvl w:val="0"/>
          <w:numId w:val="5"/>
        </w:numPr>
        <w:rPr>
          <w:color w:val="auto"/>
          <w:sz w:val="20"/>
        </w:rPr>
      </w:pPr>
      <w:r w:rsidRPr="0003056C">
        <w:rPr>
          <w:color w:val="auto"/>
          <w:sz w:val="20"/>
        </w:rPr>
        <w:t xml:space="preserve">Exterior painting of the </w:t>
      </w:r>
      <w:r w:rsidR="00D67372" w:rsidRPr="0003056C">
        <w:rPr>
          <w:color w:val="auto"/>
          <w:sz w:val="20"/>
        </w:rPr>
        <w:t>Third Party Hardware</w:t>
      </w:r>
      <w:r w:rsidRPr="0003056C">
        <w:rPr>
          <w:color w:val="auto"/>
          <w:sz w:val="20"/>
        </w:rPr>
        <w:t>.</w:t>
      </w:r>
    </w:p>
    <w:p w14:paraId="545E85D2" w14:textId="2D82B25F" w:rsidR="006529F8" w:rsidRDefault="006529F8" w:rsidP="0003056C">
      <w:pPr>
        <w:pStyle w:val="BodyTextIndent"/>
        <w:numPr>
          <w:ilvl w:val="0"/>
          <w:numId w:val="5"/>
        </w:numPr>
        <w:rPr>
          <w:color w:val="auto"/>
          <w:sz w:val="20"/>
        </w:rPr>
      </w:pPr>
      <w:r w:rsidRPr="0003056C">
        <w:rPr>
          <w:color w:val="auto"/>
          <w:sz w:val="20"/>
        </w:rPr>
        <w:t>Repair for damages resulting from P</w:t>
      </w:r>
      <w:r w:rsidR="00AD66ED" w:rsidRPr="0003056C">
        <w:rPr>
          <w:color w:val="auto"/>
          <w:sz w:val="20"/>
        </w:rPr>
        <w:t>urchasing</w:t>
      </w:r>
      <w:r w:rsidRPr="0003056C">
        <w:rPr>
          <w:color w:val="auto"/>
          <w:sz w:val="20"/>
        </w:rPr>
        <w:t xml:space="preserve"> Entity neglect or abuse.</w:t>
      </w:r>
    </w:p>
    <w:p w14:paraId="4940AC45" w14:textId="639BB6CC" w:rsidR="006529F8" w:rsidRDefault="006529F8" w:rsidP="0003056C">
      <w:pPr>
        <w:pStyle w:val="BodyTextIndent"/>
        <w:numPr>
          <w:ilvl w:val="0"/>
          <w:numId w:val="5"/>
        </w:numPr>
        <w:rPr>
          <w:color w:val="auto"/>
          <w:sz w:val="20"/>
        </w:rPr>
      </w:pPr>
      <w:r w:rsidRPr="0003056C">
        <w:rPr>
          <w:color w:val="auto"/>
          <w:sz w:val="20"/>
        </w:rPr>
        <w:t xml:space="preserve">Performance of normal </w:t>
      </w:r>
      <w:r w:rsidR="00AD66ED" w:rsidRPr="0003056C">
        <w:rPr>
          <w:color w:val="auto"/>
          <w:sz w:val="20"/>
        </w:rPr>
        <w:t>K</w:t>
      </w:r>
      <w:r w:rsidRPr="0003056C">
        <w:rPr>
          <w:color w:val="auto"/>
          <w:sz w:val="20"/>
        </w:rPr>
        <w:t xml:space="preserve">ey </w:t>
      </w:r>
      <w:r w:rsidR="00AD66ED" w:rsidRPr="0003056C">
        <w:rPr>
          <w:color w:val="auto"/>
          <w:sz w:val="20"/>
        </w:rPr>
        <w:t>O</w:t>
      </w:r>
      <w:r w:rsidRPr="0003056C">
        <w:rPr>
          <w:color w:val="auto"/>
          <w:sz w:val="20"/>
        </w:rPr>
        <w:t xml:space="preserve">perator functions as described in the </w:t>
      </w:r>
      <w:r w:rsidR="00D67372" w:rsidRPr="0003056C">
        <w:rPr>
          <w:color w:val="auto"/>
          <w:sz w:val="20"/>
        </w:rPr>
        <w:t xml:space="preserve">Third Party Hardware </w:t>
      </w:r>
      <w:r w:rsidRPr="0003056C">
        <w:rPr>
          <w:color w:val="auto"/>
          <w:sz w:val="20"/>
        </w:rPr>
        <w:t>operator’s manuals.</w:t>
      </w:r>
    </w:p>
    <w:p w14:paraId="511DAAE2" w14:textId="1F9E3B1C" w:rsidR="006529F8" w:rsidRDefault="00D67372" w:rsidP="0003056C">
      <w:pPr>
        <w:pStyle w:val="BodyTextIndent"/>
        <w:numPr>
          <w:ilvl w:val="0"/>
          <w:numId w:val="5"/>
        </w:numPr>
        <w:rPr>
          <w:color w:val="auto"/>
          <w:sz w:val="20"/>
        </w:rPr>
      </w:pPr>
      <w:r w:rsidRPr="0003056C">
        <w:rPr>
          <w:color w:val="auto"/>
          <w:sz w:val="20"/>
        </w:rPr>
        <w:t xml:space="preserve">Third Party Hardware </w:t>
      </w:r>
      <w:r w:rsidR="006529F8" w:rsidRPr="0003056C">
        <w:rPr>
          <w:color w:val="auto"/>
          <w:sz w:val="20"/>
        </w:rPr>
        <w:t>reconditioning</w:t>
      </w:r>
      <w:r w:rsidR="0003056C">
        <w:rPr>
          <w:color w:val="auto"/>
          <w:sz w:val="20"/>
        </w:rPr>
        <w:t>.</w:t>
      </w:r>
    </w:p>
    <w:p w14:paraId="7A317571" w14:textId="0166A91A" w:rsidR="006529F8" w:rsidRPr="0003056C" w:rsidRDefault="006529F8" w:rsidP="0003056C">
      <w:pPr>
        <w:pStyle w:val="BodyTextIndent"/>
        <w:numPr>
          <w:ilvl w:val="0"/>
          <w:numId w:val="5"/>
        </w:numPr>
        <w:spacing w:after="120"/>
        <w:rPr>
          <w:color w:val="auto"/>
          <w:sz w:val="20"/>
        </w:rPr>
      </w:pPr>
      <w:r w:rsidRPr="0003056C">
        <w:rPr>
          <w:color w:val="auto"/>
          <w:sz w:val="20"/>
        </w:rPr>
        <w:t>Repair of software (other than replacement of firmware).</w:t>
      </w:r>
    </w:p>
    <w:p w14:paraId="56736BFB" w14:textId="2CB93C82" w:rsidR="006529F8" w:rsidRDefault="006529F8" w:rsidP="0003056C">
      <w:pPr>
        <w:pStyle w:val="BodyTextIndent"/>
        <w:numPr>
          <w:ilvl w:val="0"/>
          <w:numId w:val="4"/>
        </w:numPr>
        <w:spacing w:after="120"/>
        <w:ind w:left="1080"/>
        <w:rPr>
          <w:color w:val="auto"/>
          <w:sz w:val="20"/>
        </w:rPr>
      </w:pPr>
      <w:r w:rsidRPr="0084509E">
        <w:rPr>
          <w:color w:val="auto"/>
          <w:sz w:val="20"/>
        </w:rPr>
        <w:t>P</w:t>
      </w:r>
      <w:r w:rsidR="00AD66ED">
        <w:rPr>
          <w:color w:val="auto"/>
          <w:sz w:val="20"/>
        </w:rPr>
        <w:t>urchasing</w:t>
      </w:r>
      <w:r w:rsidRPr="0084509E">
        <w:rPr>
          <w:color w:val="auto"/>
          <w:sz w:val="20"/>
        </w:rPr>
        <w:t xml:space="preserve"> Entity agrees to make available </w:t>
      </w:r>
      <w:r w:rsidR="00AD66ED">
        <w:rPr>
          <w:color w:val="auto"/>
          <w:sz w:val="20"/>
        </w:rPr>
        <w:t>K</w:t>
      </w:r>
      <w:r w:rsidRPr="0084509E">
        <w:rPr>
          <w:color w:val="auto"/>
          <w:sz w:val="20"/>
        </w:rPr>
        <w:t xml:space="preserve">ey </w:t>
      </w:r>
      <w:r w:rsidR="00AD66ED">
        <w:rPr>
          <w:color w:val="auto"/>
          <w:sz w:val="20"/>
        </w:rPr>
        <w:t>O</w:t>
      </w:r>
      <w:r w:rsidRPr="0084509E">
        <w:rPr>
          <w:color w:val="auto"/>
          <w:sz w:val="20"/>
        </w:rPr>
        <w:t xml:space="preserve">perators or a systems administrator for </w:t>
      </w:r>
      <w:r w:rsidR="007B7A18" w:rsidRPr="0084509E">
        <w:rPr>
          <w:color w:val="auto"/>
          <w:sz w:val="20"/>
        </w:rPr>
        <w:t xml:space="preserve">the </w:t>
      </w:r>
      <w:r w:rsidR="007B7A18" w:rsidRPr="00D67372">
        <w:rPr>
          <w:color w:val="auto"/>
          <w:sz w:val="20"/>
        </w:rPr>
        <w:t>Third</w:t>
      </w:r>
      <w:r w:rsidR="00D67372">
        <w:rPr>
          <w:color w:val="auto"/>
          <w:sz w:val="20"/>
        </w:rPr>
        <w:t xml:space="preserve"> Party Hardware</w:t>
      </w:r>
      <w:r w:rsidR="007B7A18">
        <w:rPr>
          <w:color w:val="auto"/>
          <w:sz w:val="20"/>
        </w:rPr>
        <w:t>.  Training w</w:t>
      </w:r>
      <w:r w:rsidRPr="0084509E">
        <w:rPr>
          <w:color w:val="auto"/>
          <w:sz w:val="20"/>
        </w:rPr>
        <w:t>ill be provided in accordance with the</w:t>
      </w:r>
      <w:r w:rsidR="00AD66ED">
        <w:rPr>
          <w:color w:val="auto"/>
          <w:sz w:val="20"/>
        </w:rPr>
        <w:t xml:space="preserve"> Master Agreement</w:t>
      </w:r>
      <w:r w:rsidRPr="0084509E">
        <w:rPr>
          <w:color w:val="auto"/>
          <w:sz w:val="20"/>
        </w:rPr>
        <w:t xml:space="preserve"> Price List</w:t>
      </w:r>
      <w:r w:rsidR="00AD66ED">
        <w:rPr>
          <w:color w:val="auto"/>
          <w:sz w:val="20"/>
        </w:rPr>
        <w:t>.</w:t>
      </w:r>
    </w:p>
    <w:p w14:paraId="682ED8E1" w14:textId="0E91E31A" w:rsidR="006529F8" w:rsidRDefault="005242BE" w:rsidP="0003056C">
      <w:pPr>
        <w:pStyle w:val="BodyTextIndent"/>
        <w:numPr>
          <w:ilvl w:val="0"/>
          <w:numId w:val="4"/>
        </w:numPr>
        <w:spacing w:after="120"/>
        <w:ind w:left="1080"/>
        <w:rPr>
          <w:color w:val="auto"/>
          <w:sz w:val="20"/>
        </w:rPr>
      </w:pPr>
      <w:bookmarkStart w:id="1" w:name="_Hlk75895538"/>
      <w:r w:rsidRPr="0003056C">
        <w:rPr>
          <w:color w:val="auto"/>
          <w:sz w:val="20"/>
        </w:rPr>
        <w:t xml:space="preserve">SERIAL NUMBER AND </w:t>
      </w:r>
      <w:r w:rsidR="006529F8" w:rsidRPr="0003056C">
        <w:rPr>
          <w:color w:val="auto"/>
          <w:sz w:val="20"/>
        </w:rPr>
        <w:t xml:space="preserve">FACILITIES STANDARDS. </w:t>
      </w:r>
      <w:r w:rsidR="007B7A18" w:rsidRPr="0003056C">
        <w:rPr>
          <w:color w:val="auto"/>
          <w:sz w:val="20"/>
        </w:rPr>
        <w:t>Contractor</w:t>
      </w:r>
      <w:r w:rsidR="006529F8" w:rsidRPr="0003056C">
        <w:rPr>
          <w:color w:val="auto"/>
          <w:sz w:val="20"/>
        </w:rPr>
        <w:t xml:space="preserve"> represents that the</w:t>
      </w:r>
      <w:r w:rsidRPr="0003056C">
        <w:rPr>
          <w:color w:val="auto"/>
          <w:sz w:val="20"/>
        </w:rPr>
        <w:t xml:space="preserve"> Third Party Hardware</w:t>
      </w:r>
      <w:r w:rsidR="00A37742" w:rsidRPr="0003056C">
        <w:rPr>
          <w:color w:val="auto"/>
          <w:sz w:val="20"/>
        </w:rPr>
        <w:t xml:space="preserve"> has a</w:t>
      </w:r>
      <w:r w:rsidR="00291043" w:rsidRPr="0003056C">
        <w:rPr>
          <w:color w:val="auto"/>
          <w:sz w:val="20"/>
        </w:rPr>
        <w:t xml:space="preserve"> manufacturer’s</w:t>
      </w:r>
      <w:r w:rsidR="00A37742" w:rsidRPr="0003056C">
        <w:rPr>
          <w:color w:val="auto"/>
          <w:sz w:val="20"/>
        </w:rPr>
        <w:t xml:space="preserve"> serial number</w:t>
      </w:r>
      <w:r w:rsidR="00291043" w:rsidRPr="0003056C">
        <w:rPr>
          <w:color w:val="auto"/>
          <w:sz w:val="20"/>
        </w:rPr>
        <w:t xml:space="preserve"> and</w:t>
      </w:r>
      <w:r w:rsidR="007B7A18" w:rsidRPr="0003056C">
        <w:rPr>
          <w:color w:val="auto"/>
          <w:sz w:val="20"/>
        </w:rPr>
        <w:t xml:space="preserve"> the Purchasing Entity represents that the Third Party Hardware</w:t>
      </w:r>
      <w:r w:rsidR="006529F8" w:rsidRPr="0003056C">
        <w:rPr>
          <w:color w:val="auto"/>
          <w:sz w:val="20"/>
        </w:rPr>
        <w:t xml:space="preserve">  will at all times be located in facilities which meet all applicable health, environmental and safety standards.</w:t>
      </w:r>
    </w:p>
    <w:bookmarkEnd w:id="1"/>
    <w:p w14:paraId="7425C722" w14:textId="1F4833A2" w:rsidR="006529F8" w:rsidRDefault="006529F8" w:rsidP="0003056C">
      <w:pPr>
        <w:pStyle w:val="BodyTextIndent"/>
        <w:numPr>
          <w:ilvl w:val="0"/>
          <w:numId w:val="4"/>
        </w:numPr>
        <w:spacing w:after="120"/>
        <w:ind w:left="1080"/>
        <w:rPr>
          <w:color w:val="auto"/>
          <w:sz w:val="20"/>
        </w:rPr>
      </w:pPr>
      <w:r w:rsidRPr="0003056C">
        <w:rPr>
          <w:color w:val="auto"/>
          <w:sz w:val="20"/>
        </w:rPr>
        <w:t xml:space="preserve">COMMENCEMENT &amp; TERM, RENEWAL AND TERMINATION OF </w:t>
      </w:r>
      <w:r w:rsidR="005242BE" w:rsidRPr="0003056C">
        <w:rPr>
          <w:color w:val="auto"/>
          <w:sz w:val="20"/>
        </w:rPr>
        <w:t xml:space="preserve">THIRD PARTY HARDWARE </w:t>
      </w:r>
      <w:r w:rsidRPr="0003056C">
        <w:rPr>
          <w:color w:val="auto"/>
          <w:sz w:val="20"/>
        </w:rPr>
        <w:t>MAINTENANCE.</w:t>
      </w:r>
    </w:p>
    <w:p w14:paraId="68556640" w14:textId="6CA51F4B" w:rsidR="006529F8" w:rsidRDefault="005242BE" w:rsidP="009C7652">
      <w:pPr>
        <w:pStyle w:val="BodyTextIndent"/>
        <w:numPr>
          <w:ilvl w:val="0"/>
          <w:numId w:val="6"/>
        </w:numPr>
        <w:rPr>
          <w:color w:val="auto"/>
          <w:sz w:val="20"/>
        </w:rPr>
      </w:pPr>
      <w:r>
        <w:rPr>
          <w:color w:val="auto"/>
          <w:sz w:val="20"/>
        </w:rPr>
        <w:t>Third Party Hardware</w:t>
      </w:r>
      <w:r w:rsidRPr="0084509E">
        <w:rPr>
          <w:color w:val="auto"/>
          <w:sz w:val="20"/>
        </w:rPr>
        <w:t xml:space="preserve"> </w:t>
      </w:r>
      <w:r w:rsidR="006529F8" w:rsidRPr="0084509E">
        <w:rPr>
          <w:color w:val="auto"/>
          <w:sz w:val="20"/>
        </w:rPr>
        <w:t xml:space="preserve"> Maintenance</w:t>
      </w:r>
      <w:r w:rsidR="00B70E6F">
        <w:rPr>
          <w:color w:val="auto"/>
          <w:sz w:val="20"/>
        </w:rPr>
        <w:t xml:space="preserve"> Services</w:t>
      </w:r>
      <w:r w:rsidR="006529F8" w:rsidRPr="0084509E">
        <w:rPr>
          <w:color w:val="auto"/>
          <w:sz w:val="20"/>
        </w:rPr>
        <w:t xml:space="preserve"> terms and conditions become effective upon </w:t>
      </w:r>
      <w:r>
        <w:rPr>
          <w:color w:val="auto"/>
          <w:sz w:val="20"/>
        </w:rPr>
        <w:t xml:space="preserve">Contractor’s </w:t>
      </w:r>
      <w:r w:rsidR="006529F8" w:rsidRPr="0084509E">
        <w:rPr>
          <w:color w:val="auto"/>
          <w:sz w:val="20"/>
        </w:rPr>
        <w:t xml:space="preserve">acceptance of the </w:t>
      </w:r>
      <w:r>
        <w:rPr>
          <w:color w:val="auto"/>
          <w:sz w:val="20"/>
        </w:rPr>
        <w:t>of</w:t>
      </w:r>
      <w:r w:rsidR="00AD66ED">
        <w:rPr>
          <w:color w:val="auto"/>
          <w:sz w:val="20"/>
        </w:rPr>
        <w:t xml:space="preserve"> the Purchasing Entity</w:t>
      </w:r>
      <w:r>
        <w:rPr>
          <w:color w:val="auto"/>
          <w:sz w:val="20"/>
        </w:rPr>
        <w:t>’s Order</w:t>
      </w:r>
      <w:r w:rsidR="007B7A18">
        <w:rPr>
          <w:color w:val="auto"/>
          <w:sz w:val="20"/>
        </w:rPr>
        <w:t xml:space="preserve">, </w:t>
      </w:r>
      <w:r w:rsidR="006529F8" w:rsidRPr="0084509E">
        <w:rPr>
          <w:color w:val="auto"/>
          <w:sz w:val="20"/>
        </w:rPr>
        <w:t xml:space="preserve">and remain in effect for the number of months set forth in the </w:t>
      </w:r>
      <w:r w:rsidR="00654AFF">
        <w:rPr>
          <w:color w:val="auto"/>
          <w:sz w:val="20"/>
        </w:rPr>
        <w:t>O</w:t>
      </w:r>
      <w:r w:rsidR="006529F8" w:rsidRPr="0084509E">
        <w:rPr>
          <w:color w:val="auto"/>
          <w:sz w:val="20"/>
        </w:rPr>
        <w:t>rder.</w:t>
      </w:r>
    </w:p>
    <w:p w14:paraId="5A3B514D" w14:textId="18F9DA03" w:rsidR="006529F8" w:rsidRDefault="006529F8" w:rsidP="009C7652">
      <w:pPr>
        <w:pStyle w:val="BodyTextIndent"/>
        <w:numPr>
          <w:ilvl w:val="0"/>
          <w:numId w:val="6"/>
        </w:numPr>
        <w:rPr>
          <w:color w:val="auto"/>
          <w:sz w:val="20"/>
        </w:rPr>
      </w:pPr>
      <w:r w:rsidRPr="009C7652">
        <w:rPr>
          <w:color w:val="auto"/>
          <w:sz w:val="20"/>
        </w:rPr>
        <w:t>U</w:t>
      </w:r>
      <w:r w:rsidR="002D7B55" w:rsidRPr="009C7652">
        <w:rPr>
          <w:color w:val="auto"/>
          <w:sz w:val="20"/>
        </w:rPr>
        <w:t xml:space="preserve">nless the Purchasing Entity notifies the Contractor of their intent to renew the Maintenance </w:t>
      </w:r>
      <w:r w:rsidR="00035D73" w:rsidRPr="009C7652">
        <w:rPr>
          <w:color w:val="auto"/>
          <w:sz w:val="20"/>
        </w:rPr>
        <w:t xml:space="preserve">Services </w:t>
      </w:r>
      <w:r w:rsidR="002D7B55" w:rsidRPr="009C7652">
        <w:rPr>
          <w:color w:val="auto"/>
          <w:sz w:val="20"/>
        </w:rPr>
        <w:t>on a monthly basis</w:t>
      </w:r>
      <w:bookmarkStart w:id="2" w:name="_GoBack"/>
      <w:bookmarkEnd w:id="2"/>
      <w:r w:rsidR="002D7B55" w:rsidRPr="009C7652">
        <w:rPr>
          <w:color w:val="auto"/>
          <w:sz w:val="20"/>
        </w:rPr>
        <w:t xml:space="preserve"> </w:t>
      </w:r>
      <w:r w:rsidRPr="009C7652">
        <w:rPr>
          <w:color w:val="auto"/>
          <w:sz w:val="20"/>
        </w:rPr>
        <w:t xml:space="preserve"> at least thirty (30) days’ </w:t>
      </w:r>
      <w:r w:rsidR="002D7B55" w:rsidRPr="009C7652">
        <w:rPr>
          <w:color w:val="auto"/>
          <w:sz w:val="20"/>
        </w:rPr>
        <w:t>prior to the end of the Maintenance</w:t>
      </w:r>
      <w:r w:rsidR="00035D73" w:rsidRPr="009C7652">
        <w:rPr>
          <w:color w:val="auto"/>
          <w:sz w:val="20"/>
        </w:rPr>
        <w:t xml:space="preserve"> Services</w:t>
      </w:r>
      <w:r w:rsidR="002D7B55" w:rsidRPr="009C7652">
        <w:rPr>
          <w:color w:val="auto"/>
          <w:sz w:val="20"/>
        </w:rPr>
        <w:t xml:space="preserve"> term, then the Maintenance</w:t>
      </w:r>
      <w:r w:rsidR="00035D73" w:rsidRPr="009C7652">
        <w:rPr>
          <w:color w:val="auto"/>
          <w:sz w:val="20"/>
        </w:rPr>
        <w:t xml:space="preserve"> Services</w:t>
      </w:r>
      <w:r w:rsidR="002D7B55" w:rsidRPr="009C7652">
        <w:rPr>
          <w:color w:val="auto"/>
          <w:sz w:val="20"/>
        </w:rPr>
        <w:t xml:space="preserve"> will not be renewed, in accordance with the Master Agreement. </w:t>
      </w:r>
    </w:p>
    <w:p w14:paraId="25CFA48D" w14:textId="0DCF154F" w:rsidR="00AD3D19" w:rsidRPr="009C7652" w:rsidRDefault="00EC5670" w:rsidP="009C7652">
      <w:pPr>
        <w:pStyle w:val="BodyTextIndent"/>
        <w:numPr>
          <w:ilvl w:val="0"/>
          <w:numId w:val="6"/>
        </w:numPr>
        <w:spacing w:after="120"/>
        <w:rPr>
          <w:color w:val="auto"/>
          <w:sz w:val="20"/>
        </w:rPr>
      </w:pPr>
      <w:r>
        <w:rPr>
          <w:color w:val="auto"/>
          <w:sz w:val="20"/>
        </w:rPr>
        <w:t>In addition to the address</w:t>
      </w:r>
      <w:r w:rsidR="00A37742" w:rsidRPr="009C7652">
        <w:rPr>
          <w:color w:val="auto"/>
          <w:sz w:val="20"/>
        </w:rPr>
        <w:t xml:space="preserve"> to which notices are to be sent to Contractor as provided in the</w:t>
      </w:r>
      <w:r w:rsidR="00291043" w:rsidRPr="009C7652">
        <w:rPr>
          <w:color w:val="auto"/>
          <w:sz w:val="20"/>
        </w:rPr>
        <w:t xml:space="preserve"> Master </w:t>
      </w:r>
      <w:r w:rsidR="00A37742" w:rsidRPr="009C7652">
        <w:rPr>
          <w:color w:val="auto"/>
          <w:sz w:val="20"/>
        </w:rPr>
        <w:t xml:space="preserve">Agreement or </w:t>
      </w:r>
      <w:r w:rsidR="005967D3" w:rsidRPr="009C7652">
        <w:rPr>
          <w:color w:val="auto"/>
          <w:sz w:val="20"/>
        </w:rPr>
        <w:t>Order</w:t>
      </w:r>
      <w:r w:rsidR="00A37742" w:rsidRPr="009C7652">
        <w:rPr>
          <w:color w:val="auto"/>
          <w:sz w:val="20"/>
        </w:rPr>
        <w:t>, notices required to be sent to Contractor related to Third Party Hardware Maintenance shall be mailed to:</w:t>
      </w:r>
    </w:p>
    <w:p w14:paraId="7356D093" w14:textId="72C248CE" w:rsidR="00AD3D19" w:rsidRDefault="009C7652" w:rsidP="0003056C">
      <w:pPr>
        <w:pStyle w:val="BodyTextIndent"/>
        <w:spacing w:before="0"/>
        <w:ind w:left="1440"/>
        <w:rPr>
          <w:color w:val="auto"/>
          <w:sz w:val="20"/>
        </w:rPr>
      </w:pPr>
      <w:r>
        <w:rPr>
          <w:color w:val="auto"/>
          <w:sz w:val="20"/>
        </w:rPr>
        <w:tab/>
      </w:r>
      <w:r w:rsidR="00A37742" w:rsidRPr="00AD3D19">
        <w:rPr>
          <w:color w:val="auto"/>
          <w:sz w:val="20"/>
        </w:rPr>
        <w:t>XEROX CORPORATION1301</w:t>
      </w:r>
    </w:p>
    <w:p w14:paraId="4EE9B732" w14:textId="62F47C1C" w:rsidR="00AD3D19" w:rsidRDefault="009C7652" w:rsidP="0003056C">
      <w:pPr>
        <w:pStyle w:val="BodyTextIndent"/>
        <w:spacing w:before="0"/>
        <w:ind w:left="1440"/>
        <w:rPr>
          <w:color w:val="auto"/>
          <w:sz w:val="20"/>
        </w:rPr>
      </w:pPr>
      <w:r>
        <w:rPr>
          <w:color w:val="auto"/>
          <w:sz w:val="20"/>
        </w:rPr>
        <w:tab/>
      </w:r>
      <w:r w:rsidR="00A37742" w:rsidRPr="00AD3D19">
        <w:rPr>
          <w:color w:val="auto"/>
          <w:sz w:val="20"/>
        </w:rPr>
        <w:t>Ridgeview Drive</w:t>
      </w:r>
    </w:p>
    <w:p w14:paraId="3A97BD4C" w14:textId="6438BAAA" w:rsidR="00A37742" w:rsidRDefault="00AD3D19" w:rsidP="0003056C">
      <w:pPr>
        <w:pStyle w:val="BodyTextIndent"/>
        <w:spacing w:before="0"/>
        <w:rPr>
          <w:color w:val="auto"/>
          <w:sz w:val="20"/>
        </w:rPr>
      </w:pPr>
      <w:r>
        <w:rPr>
          <w:color w:val="auto"/>
          <w:sz w:val="20"/>
        </w:rPr>
        <w:tab/>
      </w:r>
      <w:r w:rsidR="009C7652">
        <w:rPr>
          <w:color w:val="auto"/>
          <w:sz w:val="20"/>
        </w:rPr>
        <w:tab/>
      </w:r>
      <w:r w:rsidR="00A37742" w:rsidRPr="0084509E">
        <w:rPr>
          <w:color w:val="auto"/>
          <w:sz w:val="20"/>
        </w:rPr>
        <w:t>Lewisville, TX 75057</w:t>
      </w:r>
    </w:p>
    <w:p w14:paraId="0EE86F33" w14:textId="77777777" w:rsidR="00AD3D19" w:rsidRPr="0084509E" w:rsidRDefault="00AD3D19" w:rsidP="00AD3D19">
      <w:pPr>
        <w:pStyle w:val="BodyTextIndent"/>
        <w:rPr>
          <w:color w:val="auto"/>
          <w:sz w:val="20"/>
        </w:rPr>
      </w:pPr>
    </w:p>
    <w:p w14:paraId="35FF7B82" w14:textId="6FA8E33C" w:rsidR="005967D3" w:rsidRDefault="006529F8" w:rsidP="009C7652">
      <w:pPr>
        <w:pStyle w:val="BodyTextIndent"/>
        <w:numPr>
          <w:ilvl w:val="0"/>
          <w:numId w:val="4"/>
        </w:numPr>
        <w:spacing w:after="120"/>
        <w:ind w:left="1080"/>
        <w:rPr>
          <w:color w:val="auto"/>
          <w:sz w:val="20"/>
        </w:rPr>
      </w:pPr>
      <w:r w:rsidRPr="0084509E">
        <w:rPr>
          <w:color w:val="auto"/>
          <w:sz w:val="20"/>
        </w:rPr>
        <w:t xml:space="preserve">OUTSIDE SCOPE OF THIRD PARTY HARDWARE MAINTENANCE.  Third Party Hardware service activities performed outside the scope of </w:t>
      </w:r>
      <w:r w:rsidR="009C7652">
        <w:rPr>
          <w:color w:val="auto"/>
          <w:sz w:val="20"/>
        </w:rPr>
        <w:t xml:space="preserve">the Master Agreement, </w:t>
      </w:r>
      <w:r w:rsidR="00511EE3">
        <w:rPr>
          <w:color w:val="auto"/>
          <w:sz w:val="20"/>
        </w:rPr>
        <w:t xml:space="preserve">and </w:t>
      </w:r>
      <w:r w:rsidRPr="0084509E">
        <w:rPr>
          <w:color w:val="auto"/>
          <w:sz w:val="20"/>
        </w:rPr>
        <w:t>these terms and conditions, including, but not limited to</w:t>
      </w:r>
      <w:r w:rsidR="00511EE3">
        <w:rPr>
          <w:color w:val="auto"/>
          <w:sz w:val="20"/>
        </w:rPr>
        <w:t>,</w:t>
      </w:r>
      <w:r w:rsidRPr="0084509E">
        <w:rPr>
          <w:color w:val="auto"/>
          <w:sz w:val="20"/>
        </w:rPr>
        <w:t xml:space="preserve"> weekend service, key operator functions, product enhancements and engineering changes, will be </w:t>
      </w:r>
      <w:r w:rsidR="00511EE3">
        <w:rPr>
          <w:color w:val="auto"/>
          <w:sz w:val="20"/>
        </w:rPr>
        <w:t>negotiated separately with Purchasing Entity.</w:t>
      </w:r>
    </w:p>
    <w:p w14:paraId="05CBE7EE" w14:textId="7E7269B1" w:rsidR="006529F8" w:rsidRDefault="006529F8" w:rsidP="006529F8">
      <w:pPr>
        <w:pStyle w:val="BodyTextIndent"/>
        <w:numPr>
          <w:ilvl w:val="0"/>
          <w:numId w:val="4"/>
        </w:numPr>
        <w:spacing w:after="120"/>
        <w:ind w:left="1080"/>
        <w:rPr>
          <w:color w:val="auto"/>
          <w:sz w:val="20"/>
        </w:rPr>
      </w:pPr>
      <w:r w:rsidRPr="009C7652">
        <w:rPr>
          <w:color w:val="auto"/>
          <w:sz w:val="20"/>
        </w:rPr>
        <w:t xml:space="preserve">WARRANTY DISCLAIMERS. Aside from Contractor’s obligations to provide </w:t>
      </w:r>
      <w:r w:rsidR="005242BE" w:rsidRPr="009C7652">
        <w:rPr>
          <w:color w:val="auto"/>
          <w:sz w:val="20"/>
        </w:rPr>
        <w:t>Third Party Hardware</w:t>
      </w:r>
      <w:r w:rsidRPr="009C7652">
        <w:rPr>
          <w:color w:val="auto"/>
          <w:sz w:val="20"/>
        </w:rPr>
        <w:t xml:space="preserve"> Maintenance</w:t>
      </w:r>
      <w:r w:rsidR="00AD3D19" w:rsidRPr="009C7652">
        <w:rPr>
          <w:color w:val="auto"/>
          <w:sz w:val="20"/>
        </w:rPr>
        <w:t xml:space="preserve"> </w:t>
      </w:r>
      <w:r w:rsidRPr="009C7652">
        <w:rPr>
          <w:color w:val="auto"/>
          <w:sz w:val="20"/>
        </w:rPr>
        <w:t>in accordance with the provisions set forth herein, Contractor makes no other representations or warranties relative to such service, express or implied.  XEROX EXPRESSLY DISCLAIMS ANY IMPLIED WARRANTY OF MERCHANTABILITY OR FITNESS FOR A PARTICULAR PURPOSE RELATIVE TO SERVICES PROVIDED HEREUNDER.</w:t>
      </w:r>
    </w:p>
    <w:p w14:paraId="7A8D3AC6" w14:textId="7493710A" w:rsidR="006529F8" w:rsidRPr="009C7652" w:rsidRDefault="006529F8" w:rsidP="006529F8">
      <w:pPr>
        <w:pStyle w:val="BodyTextIndent"/>
        <w:numPr>
          <w:ilvl w:val="0"/>
          <w:numId w:val="4"/>
        </w:numPr>
        <w:spacing w:after="120"/>
        <w:ind w:left="1080"/>
        <w:rPr>
          <w:color w:val="auto"/>
          <w:sz w:val="20"/>
        </w:rPr>
      </w:pPr>
      <w:r w:rsidRPr="009C7652">
        <w:rPr>
          <w:color w:val="auto"/>
          <w:sz w:val="20"/>
        </w:rPr>
        <w:lastRenderedPageBreak/>
        <w:t xml:space="preserve">Notwithstanding anything to the contrary in the </w:t>
      </w:r>
      <w:r w:rsidR="00654AFF" w:rsidRPr="009C7652">
        <w:rPr>
          <w:color w:val="auto"/>
          <w:sz w:val="20"/>
        </w:rPr>
        <w:t>Master Agreement</w:t>
      </w:r>
      <w:r w:rsidRPr="009C7652">
        <w:rPr>
          <w:color w:val="auto"/>
          <w:sz w:val="20"/>
        </w:rPr>
        <w:t xml:space="preserve"> or </w:t>
      </w:r>
      <w:r w:rsidR="00035D73" w:rsidRPr="009C7652">
        <w:rPr>
          <w:color w:val="auto"/>
          <w:sz w:val="20"/>
        </w:rPr>
        <w:t xml:space="preserve">an </w:t>
      </w:r>
      <w:r w:rsidR="00654AFF" w:rsidRPr="009C7652">
        <w:rPr>
          <w:color w:val="auto"/>
          <w:sz w:val="20"/>
        </w:rPr>
        <w:t>O</w:t>
      </w:r>
      <w:r w:rsidRPr="009C7652">
        <w:rPr>
          <w:color w:val="auto"/>
          <w:sz w:val="20"/>
        </w:rPr>
        <w:t xml:space="preserve">rder, Contractor shall not be liable for the loss of any data as a result of performing </w:t>
      </w:r>
      <w:r w:rsidR="00035D73" w:rsidRPr="009C7652">
        <w:rPr>
          <w:color w:val="auto"/>
          <w:sz w:val="20"/>
        </w:rPr>
        <w:t>M</w:t>
      </w:r>
      <w:r w:rsidRPr="009C7652">
        <w:rPr>
          <w:color w:val="auto"/>
          <w:sz w:val="20"/>
        </w:rPr>
        <w:t>aintenance</w:t>
      </w:r>
      <w:r w:rsidR="00035D73" w:rsidRPr="009C7652">
        <w:rPr>
          <w:color w:val="auto"/>
          <w:sz w:val="20"/>
        </w:rPr>
        <w:t xml:space="preserve"> Service</w:t>
      </w:r>
      <w:r w:rsidRPr="009C7652">
        <w:rPr>
          <w:color w:val="auto"/>
          <w:sz w:val="20"/>
        </w:rPr>
        <w:t xml:space="preserve"> activities hereunder, and P</w:t>
      </w:r>
      <w:r w:rsidR="00654AFF" w:rsidRPr="009C7652">
        <w:rPr>
          <w:color w:val="auto"/>
          <w:sz w:val="20"/>
        </w:rPr>
        <w:t>urchasing</w:t>
      </w:r>
      <w:r w:rsidRPr="009C7652">
        <w:rPr>
          <w:color w:val="auto"/>
          <w:sz w:val="20"/>
        </w:rPr>
        <w:t xml:space="preserve"> Entity shall be responsible for all necessary or desired data backup.</w:t>
      </w:r>
    </w:p>
    <w:p w14:paraId="0EAFD40E" w14:textId="77777777" w:rsidR="006529F8" w:rsidRPr="0084509E" w:rsidRDefault="006529F8" w:rsidP="006529F8">
      <w:pPr>
        <w:rPr>
          <w:rFonts w:cs="Arial"/>
          <w:color w:val="auto"/>
        </w:rPr>
      </w:pPr>
    </w:p>
    <w:p w14:paraId="3BE121DC" w14:textId="77777777" w:rsidR="006529F8" w:rsidRPr="0084509E" w:rsidRDefault="006529F8" w:rsidP="006529F8">
      <w:pPr>
        <w:pStyle w:val="BodyTextIndent"/>
        <w:rPr>
          <w:color w:val="auto"/>
          <w:sz w:val="20"/>
        </w:rPr>
      </w:pPr>
    </w:p>
    <w:p w14:paraId="1A683B38" w14:textId="77777777" w:rsidR="004020EE" w:rsidRPr="0084509E" w:rsidRDefault="004020EE">
      <w:pPr>
        <w:rPr>
          <w:rFonts w:cs="Arial"/>
          <w:sz w:val="22"/>
          <w:szCs w:val="22"/>
        </w:rPr>
      </w:pPr>
    </w:p>
    <w:sectPr w:rsidR="004020EE" w:rsidRPr="0084509E" w:rsidSect="00EC5670">
      <w:headerReference w:type="default" r:id="rId8"/>
      <w:footerReference w:type="default" r:id="rId9"/>
      <w:pgSz w:w="12240" w:h="15840"/>
      <w:pgMar w:top="720" w:right="720" w:bottom="720" w:left="720" w:header="432" w:footer="43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F132" w16cex:dateUtc="2023-10-17T00:28:00Z"/>
  <w16cex:commentExtensible w16cex:durableId="28D7F144" w16cex:dateUtc="2023-10-17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BD23F" w16cid:durableId="29008A6E"/>
  <w16cid:commentId w16cid:paraId="3AC3C8E4" w16cid:durableId="28D7F132"/>
  <w16cid:commentId w16cid:paraId="401718CD" w16cid:durableId="28D7F1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3DEB7" w14:textId="77777777" w:rsidR="00966EA6" w:rsidRDefault="00966EA6">
      <w:pPr>
        <w:spacing w:before="0"/>
      </w:pPr>
      <w:r>
        <w:separator/>
      </w:r>
    </w:p>
  </w:endnote>
  <w:endnote w:type="continuationSeparator" w:id="0">
    <w:p w14:paraId="0ADE479E" w14:textId="77777777" w:rsidR="00966EA6" w:rsidRDefault="00966E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F67F" w14:textId="18BBD324" w:rsidR="00966D3C" w:rsidRDefault="002C32C8">
    <w:pPr>
      <w:pStyle w:val="Footer"/>
      <w:rPr>
        <w:b/>
        <w:bCs/>
        <w:sz w:val="24"/>
        <w:szCs w:val="24"/>
      </w:rPr>
    </w:pPr>
    <w:r>
      <w:t xml:space="preserve">Attachment </w:t>
    </w:r>
    <w:r w:rsidR="00D44221">
      <w:t>13</w:t>
    </w:r>
    <w:r>
      <w:t xml:space="preserve"> – Production Inkjet Equipment Terms and Conditions</w:t>
    </w:r>
    <w:r w:rsidR="00966D3C">
      <w:tab/>
    </w:r>
    <w:r w:rsidR="00966D3C" w:rsidRPr="00F11C5F">
      <w:t xml:space="preserve">Page </w:t>
    </w:r>
    <w:r w:rsidR="00966D3C">
      <w:rPr>
        <w:b/>
        <w:bCs/>
        <w:sz w:val="24"/>
        <w:szCs w:val="24"/>
      </w:rPr>
      <w:fldChar w:fldCharType="begin"/>
    </w:r>
    <w:r w:rsidR="00966D3C" w:rsidRPr="00F11C5F">
      <w:rPr>
        <w:b/>
        <w:bCs/>
      </w:rPr>
      <w:instrText xml:space="preserve"> PAGE </w:instrText>
    </w:r>
    <w:r w:rsidR="00966D3C">
      <w:rPr>
        <w:b/>
        <w:bCs/>
        <w:sz w:val="24"/>
        <w:szCs w:val="24"/>
      </w:rPr>
      <w:fldChar w:fldCharType="separate"/>
    </w:r>
    <w:r w:rsidR="00F25BA1">
      <w:rPr>
        <w:b/>
        <w:bCs/>
        <w:noProof/>
      </w:rPr>
      <w:t>1</w:t>
    </w:r>
    <w:r w:rsidR="00966D3C">
      <w:rPr>
        <w:b/>
        <w:bCs/>
        <w:sz w:val="24"/>
        <w:szCs w:val="24"/>
      </w:rPr>
      <w:fldChar w:fldCharType="end"/>
    </w:r>
    <w:r w:rsidR="00966D3C" w:rsidRPr="00F11C5F">
      <w:t xml:space="preserve"> of </w:t>
    </w:r>
    <w:r w:rsidR="00966D3C">
      <w:rPr>
        <w:b/>
        <w:bCs/>
        <w:sz w:val="24"/>
        <w:szCs w:val="24"/>
      </w:rPr>
      <w:fldChar w:fldCharType="begin"/>
    </w:r>
    <w:r w:rsidR="00966D3C" w:rsidRPr="00F11C5F">
      <w:rPr>
        <w:b/>
        <w:bCs/>
      </w:rPr>
      <w:instrText xml:space="preserve"> NUMPAGES  </w:instrText>
    </w:r>
    <w:r w:rsidR="00966D3C">
      <w:rPr>
        <w:b/>
        <w:bCs/>
        <w:sz w:val="24"/>
        <w:szCs w:val="24"/>
      </w:rPr>
      <w:fldChar w:fldCharType="separate"/>
    </w:r>
    <w:r w:rsidR="00F25BA1">
      <w:rPr>
        <w:b/>
        <w:bCs/>
        <w:noProof/>
      </w:rPr>
      <w:t>6</w:t>
    </w:r>
    <w:r w:rsidR="00966D3C">
      <w:rPr>
        <w:b/>
        <w:bCs/>
        <w:sz w:val="24"/>
        <w:szCs w:val="24"/>
      </w:rPr>
      <w:fldChar w:fldCharType="end"/>
    </w:r>
  </w:p>
  <w:p w14:paraId="38AE0288" w14:textId="748F2AAF" w:rsidR="002C32C8" w:rsidRPr="00F11C5F" w:rsidRDefault="002C32C8">
    <w:pPr>
      <w:pStyle w:val="Footer"/>
    </w:pPr>
    <w:r w:rsidRPr="002C32C8">
      <w:t>RT (4/2023)</w:t>
    </w:r>
  </w:p>
  <w:p w14:paraId="3C803EED" w14:textId="77777777" w:rsidR="00966D3C" w:rsidRPr="00F11C5F" w:rsidRDefault="00966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E889B" w14:textId="77777777" w:rsidR="00966EA6" w:rsidRDefault="00966EA6">
      <w:pPr>
        <w:spacing w:before="0"/>
      </w:pPr>
      <w:r>
        <w:separator/>
      </w:r>
    </w:p>
  </w:footnote>
  <w:footnote w:type="continuationSeparator" w:id="0">
    <w:p w14:paraId="402008A4" w14:textId="77777777" w:rsidR="00966EA6" w:rsidRDefault="00966EA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B5033" w14:textId="77777777" w:rsidR="004B24A2" w:rsidRDefault="004B24A2" w:rsidP="0084509E">
    <w:pPr>
      <w:spacing w:before="12"/>
      <w:ind w:left="20"/>
      <w:jc w:val="center"/>
      <w:rPr>
        <w:b/>
        <w:color w:val="071823"/>
        <w:sz w:val="24"/>
      </w:rPr>
    </w:pPr>
  </w:p>
  <w:p w14:paraId="44584F12" w14:textId="77777777" w:rsidR="004B24A2" w:rsidRDefault="004B24A2" w:rsidP="0084509E">
    <w:pPr>
      <w:spacing w:before="12"/>
      <w:ind w:left="20"/>
      <w:jc w:val="center"/>
      <w:rPr>
        <w:b/>
        <w:color w:val="071823"/>
        <w:sz w:val="24"/>
      </w:rPr>
    </w:pPr>
  </w:p>
  <w:p w14:paraId="0F8D45AA" w14:textId="311ED7BA" w:rsidR="00966D3C" w:rsidRDefault="00966D3C" w:rsidP="0084509E">
    <w:pPr>
      <w:spacing w:before="12"/>
      <w:ind w:left="20"/>
      <w:jc w:val="center"/>
      <w:rPr>
        <w:rFonts w:cs="Arial"/>
        <w:bCs/>
        <w:sz w:val="16"/>
        <w:szCs w:val="16"/>
        <w:lang w:bidi="he-IL"/>
      </w:rPr>
    </w:pPr>
    <w:r>
      <w:rPr>
        <w:b/>
        <w:color w:val="071823"/>
        <w:sz w:val="24"/>
      </w:rPr>
      <w:t xml:space="preserve">Attachment </w:t>
    </w:r>
    <w:r w:rsidR="00D44221">
      <w:rPr>
        <w:b/>
        <w:color w:val="071823"/>
        <w:sz w:val="24"/>
      </w:rPr>
      <w:t>13</w:t>
    </w:r>
    <w:r>
      <w:rPr>
        <w:b/>
        <w:color w:val="071823"/>
        <w:sz w:val="24"/>
      </w:rPr>
      <w:t xml:space="preserve"> </w:t>
    </w:r>
    <w:r w:rsidR="00886906">
      <w:rPr>
        <w:b/>
        <w:color w:val="071823"/>
        <w:sz w:val="24"/>
      </w:rPr>
      <w:t>–</w:t>
    </w:r>
    <w:r>
      <w:rPr>
        <w:b/>
        <w:color w:val="071823"/>
        <w:sz w:val="24"/>
      </w:rPr>
      <w:t xml:space="preserve"> </w:t>
    </w:r>
    <w:r w:rsidR="00886906">
      <w:rPr>
        <w:b/>
        <w:color w:val="071823"/>
        <w:sz w:val="24"/>
      </w:rPr>
      <w:t>Production Ink</w:t>
    </w:r>
    <w:r w:rsidR="0030117B">
      <w:rPr>
        <w:b/>
        <w:color w:val="071823"/>
        <w:sz w:val="24"/>
      </w:rPr>
      <w:t>j</w:t>
    </w:r>
    <w:r w:rsidR="00886906">
      <w:rPr>
        <w:b/>
        <w:color w:val="071823"/>
        <w:sz w:val="24"/>
      </w:rPr>
      <w:t>et</w:t>
    </w:r>
    <w:r>
      <w:rPr>
        <w:b/>
        <w:color w:val="071823"/>
        <w:sz w:val="24"/>
      </w:rPr>
      <w:t xml:space="preserve"> Equipment Terms and Conditions</w:t>
    </w:r>
  </w:p>
  <w:p w14:paraId="39B65743" w14:textId="77777777" w:rsidR="00966D3C" w:rsidRDefault="00966D3C" w:rsidP="00AD66ED">
    <w:pPr>
      <w:spacing w:before="12"/>
      <w:ind w:left="20"/>
      <w:jc w:val="left"/>
      <w:rPr>
        <w:b/>
        <w:color w:val="071823"/>
        <w:sz w:val="24"/>
      </w:rPr>
    </w:pPr>
    <w:r>
      <w:rPr>
        <w:b/>
        <w:color w:val="071823"/>
        <w:sz w:val="24"/>
      </w:rPr>
      <w:tab/>
    </w:r>
    <w:r>
      <w:rPr>
        <w:b/>
        <w:color w:val="071823"/>
        <w:sz w:val="24"/>
      </w:rPr>
      <w:tab/>
    </w:r>
    <w:r>
      <w:rPr>
        <w:b/>
        <w:color w:val="071823"/>
        <w:sz w:val="24"/>
      </w:rPr>
      <w:tab/>
    </w:r>
    <w:r>
      <w:rPr>
        <w:b/>
        <w:color w:val="071823"/>
        <w:sz w:val="24"/>
      </w:rPr>
      <w:tab/>
    </w:r>
  </w:p>
  <w:p w14:paraId="233E6A47" w14:textId="77777777" w:rsidR="00966D3C" w:rsidRDefault="00966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EEE"/>
    <w:multiLevelType w:val="hybridMultilevel"/>
    <w:tmpl w:val="72EC3752"/>
    <w:lvl w:ilvl="0" w:tplc="A3E619B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B4146A"/>
    <w:multiLevelType w:val="hybridMultilevel"/>
    <w:tmpl w:val="2C008350"/>
    <w:lvl w:ilvl="0" w:tplc="2528D33E">
      <w:start w:val="1"/>
      <w:numFmt w:val="lowerRoman"/>
      <w:lvlText w:val="%1)"/>
      <w:lvlJc w:val="left"/>
      <w:pPr>
        <w:ind w:left="1728" w:hanging="360"/>
      </w:pPr>
      <w:rPr>
        <w:rFonts w:hint="default"/>
        <w:b/>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 w15:restartNumberingAfterBreak="0">
    <w:nsid w:val="0A121760"/>
    <w:multiLevelType w:val="hybridMultilevel"/>
    <w:tmpl w:val="F7BC8622"/>
    <w:lvl w:ilvl="0" w:tplc="57A2476C">
      <w:start w:val="1"/>
      <w:numFmt w:val="decimal"/>
      <w:lvlText w:val="%1."/>
      <w:lvlJc w:val="left"/>
      <w:pPr>
        <w:ind w:left="360" w:hanging="360"/>
      </w:pPr>
      <w:rPr>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972D5"/>
    <w:multiLevelType w:val="hybridMultilevel"/>
    <w:tmpl w:val="2C008350"/>
    <w:lvl w:ilvl="0" w:tplc="2528D33E">
      <w:start w:val="1"/>
      <w:numFmt w:val="lowerRoman"/>
      <w:lvlText w:val="%1)"/>
      <w:lvlJc w:val="left"/>
      <w:pPr>
        <w:ind w:left="1728" w:hanging="360"/>
      </w:pPr>
      <w:rPr>
        <w:rFonts w:hint="default"/>
        <w:b/>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4" w15:restartNumberingAfterBreak="0">
    <w:nsid w:val="49EC1F6D"/>
    <w:multiLevelType w:val="hybridMultilevel"/>
    <w:tmpl w:val="33BADCDC"/>
    <w:lvl w:ilvl="0" w:tplc="9104F230">
      <w:start w:val="1"/>
      <w:numFmt w:val="lowerRoman"/>
      <w:lvlText w:val="%1.)"/>
      <w:lvlJc w:val="right"/>
      <w:pPr>
        <w:ind w:left="1440" w:hanging="360"/>
      </w:pPr>
      <w:rPr>
        <w:rFonts w:ascii="Arial" w:eastAsia="Times New Roman"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A70087"/>
    <w:multiLevelType w:val="hybridMultilevel"/>
    <w:tmpl w:val="72EC3752"/>
    <w:lvl w:ilvl="0" w:tplc="A3E619B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F8"/>
    <w:rsid w:val="00000D46"/>
    <w:rsid w:val="00013AE9"/>
    <w:rsid w:val="0001499E"/>
    <w:rsid w:val="0003056C"/>
    <w:rsid w:val="00035D73"/>
    <w:rsid w:val="0008510E"/>
    <w:rsid w:val="000A0A5F"/>
    <w:rsid w:val="000A5A35"/>
    <w:rsid w:val="000B3E29"/>
    <w:rsid w:val="000C2278"/>
    <w:rsid w:val="000D408E"/>
    <w:rsid w:val="000D64C5"/>
    <w:rsid w:val="000E153E"/>
    <w:rsid w:val="000E5B92"/>
    <w:rsid w:val="000F2984"/>
    <w:rsid w:val="00102B8C"/>
    <w:rsid w:val="00126B67"/>
    <w:rsid w:val="00132FC7"/>
    <w:rsid w:val="0013653C"/>
    <w:rsid w:val="001515B4"/>
    <w:rsid w:val="00152CAC"/>
    <w:rsid w:val="001540FB"/>
    <w:rsid w:val="001A4048"/>
    <w:rsid w:val="001B0C74"/>
    <w:rsid w:val="001C38C0"/>
    <w:rsid w:val="001C53F3"/>
    <w:rsid w:val="001E21D7"/>
    <w:rsid w:val="001E3134"/>
    <w:rsid w:val="001E432C"/>
    <w:rsid w:val="001F75F4"/>
    <w:rsid w:val="00203140"/>
    <w:rsid w:val="00204409"/>
    <w:rsid w:val="0021462C"/>
    <w:rsid w:val="00217C7D"/>
    <w:rsid w:val="0022631D"/>
    <w:rsid w:val="002424B0"/>
    <w:rsid w:val="00256115"/>
    <w:rsid w:val="002754B2"/>
    <w:rsid w:val="002838B9"/>
    <w:rsid w:val="002840AC"/>
    <w:rsid w:val="00291043"/>
    <w:rsid w:val="00294ADD"/>
    <w:rsid w:val="002A0C69"/>
    <w:rsid w:val="002A1825"/>
    <w:rsid w:val="002A2979"/>
    <w:rsid w:val="002C0942"/>
    <w:rsid w:val="002C32C8"/>
    <w:rsid w:val="002D7B55"/>
    <w:rsid w:val="002F3692"/>
    <w:rsid w:val="002F7D44"/>
    <w:rsid w:val="0030117B"/>
    <w:rsid w:val="003020C1"/>
    <w:rsid w:val="0031616B"/>
    <w:rsid w:val="003168EA"/>
    <w:rsid w:val="00323A4D"/>
    <w:rsid w:val="00330DA8"/>
    <w:rsid w:val="00337397"/>
    <w:rsid w:val="00343578"/>
    <w:rsid w:val="00372282"/>
    <w:rsid w:val="003748E8"/>
    <w:rsid w:val="00382E73"/>
    <w:rsid w:val="00385B63"/>
    <w:rsid w:val="003B5FD2"/>
    <w:rsid w:val="003C0F89"/>
    <w:rsid w:val="003D3A81"/>
    <w:rsid w:val="003E719F"/>
    <w:rsid w:val="00400677"/>
    <w:rsid w:val="004020EE"/>
    <w:rsid w:val="0041457C"/>
    <w:rsid w:val="00425F39"/>
    <w:rsid w:val="0045309D"/>
    <w:rsid w:val="00477B28"/>
    <w:rsid w:val="004900D0"/>
    <w:rsid w:val="004B24A2"/>
    <w:rsid w:val="004C1AE1"/>
    <w:rsid w:val="004D4D2B"/>
    <w:rsid w:val="004E6D61"/>
    <w:rsid w:val="004F0D79"/>
    <w:rsid w:val="00511EE3"/>
    <w:rsid w:val="00517837"/>
    <w:rsid w:val="005242BE"/>
    <w:rsid w:val="00546A51"/>
    <w:rsid w:val="005548B7"/>
    <w:rsid w:val="00566A73"/>
    <w:rsid w:val="00585E70"/>
    <w:rsid w:val="005967D3"/>
    <w:rsid w:val="005B0699"/>
    <w:rsid w:val="005C0BFB"/>
    <w:rsid w:val="006153FD"/>
    <w:rsid w:val="00623B82"/>
    <w:rsid w:val="00625967"/>
    <w:rsid w:val="00634CCB"/>
    <w:rsid w:val="006529F8"/>
    <w:rsid w:val="00654AFF"/>
    <w:rsid w:val="00685A1E"/>
    <w:rsid w:val="006A4B75"/>
    <w:rsid w:val="006A725A"/>
    <w:rsid w:val="006B0B5F"/>
    <w:rsid w:val="006B1076"/>
    <w:rsid w:val="006B2ECD"/>
    <w:rsid w:val="006B3BFD"/>
    <w:rsid w:val="006B6455"/>
    <w:rsid w:val="006C661C"/>
    <w:rsid w:val="006E0664"/>
    <w:rsid w:val="006E696D"/>
    <w:rsid w:val="006F7B0F"/>
    <w:rsid w:val="007115ED"/>
    <w:rsid w:val="007433F1"/>
    <w:rsid w:val="007558B9"/>
    <w:rsid w:val="00767D60"/>
    <w:rsid w:val="007851B1"/>
    <w:rsid w:val="007B7A18"/>
    <w:rsid w:val="007C0BA5"/>
    <w:rsid w:val="007C6DBC"/>
    <w:rsid w:val="007D4D7E"/>
    <w:rsid w:val="00820C9E"/>
    <w:rsid w:val="00832E07"/>
    <w:rsid w:val="00837EAF"/>
    <w:rsid w:val="0084273C"/>
    <w:rsid w:val="0084509E"/>
    <w:rsid w:val="0086785B"/>
    <w:rsid w:val="00886906"/>
    <w:rsid w:val="0089465B"/>
    <w:rsid w:val="008D7FD1"/>
    <w:rsid w:val="008F018F"/>
    <w:rsid w:val="008F40DE"/>
    <w:rsid w:val="00914EA5"/>
    <w:rsid w:val="0092652A"/>
    <w:rsid w:val="009575C9"/>
    <w:rsid w:val="00966BCA"/>
    <w:rsid w:val="00966D3C"/>
    <w:rsid w:val="00966EA6"/>
    <w:rsid w:val="00970C98"/>
    <w:rsid w:val="00992AF6"/>
    <w:rsid w:val="00992CDF"/>
    <w:rsid w:val="009A1FF6"/>
    <w:rsid w:val="009A2A31"/>
    <w:rsid w:val="009A5462"/>
    <w:rsid w:val="009B0E0B"/>
    <w:rsid w:val="009C468A"/>
    <w:rsid w:val="009C7652"/>
    <w:rsid w:val="009D252B"/>
    <w:rsid w:val="009E36C2"/>
    <w:rsid w:val="009E3D43"/>
    <w:rsid w:val="009F38EB"/>
    <w:rsid w:val="009F561A"/>
    <w:rsid w:val="009F70E3"/>
    <w:rsid w:val="009F766A"/>
    <w:rsid w:val="00A24EA3"/>
    <w:rsid w:val="00A311D1"/>
    <w:rsid w:val="00A335DE"/>
    <w:rsid w:val="00A37742"/>
    <w:rsid w:val="00A429C6"/>
    <w:rsid w:val="00A43093"/>
    <w:rsid w:val="00A44B08"/>
    <w:rsid w:val="00A44DA8"/>
    <w:rsid w:val="00A45926"/>
    <w:rsid w:val="00A462A1"/>
    <w:rsid w:val="00A50FF2"/>
    <w:rsid w:val="00A51957"/>
    <w:rsid w:val="00A66618"/>
    <w:rsid w:val="00A67497"/>
    <w:rsid w:val="00A760AD"/>
    <w:rsid w:val="00A8133B"/>
    <w:rsid w:val="00A85784"/>
    <w:rsid w:val="00A901D2"/>
    <w:rsid w:val="00AA07CC"/>
    <w:rsid w:val="00AB3A8C"/>
    <w:rsid w:val="00AC36E1"/>
    <w:rsid w:val="00AC667C"/>
    <w:rsid w:val="00AD3D19"/>
    <w:rsid w:val="00AD66ED"/>
    <w:rsid w:val="00B00955"/>
    <w:rsid w:val="00B06FD3"/>
    <w:rsid w:val="00B25DC1"/>
    <w:rsid w:val="00B3221D"/>
    <w:rsid w:val="00B37B42"/>
    <w:rsid w:val="00B55C9E"/>
    <w:rsid w:val="00B63A36"/>
    <w:rsid w:val="00B641F1"/>
    <w:rsid w:val="00B66E72"/>
    <w:rsid w:val="00B70E6F"/>
    <w:rsid w:val="00B8029B"/>
    <w:rsid w:val="00BE3241"/>
    <w:rsid w:val="00C3350D"/>
    <w:rsid w:val="00C33B88"/>
    <w:rsid w:val="00C34B23"/>
    <w:rsid w:val="00C34C49"/>
    <w:rsid w:val="00C56483"/>
    <w:rsid w:val="00C929DE"/>
    <w:rsid w:val="00CA75B3"/>
    <w:rsid w:val="00CC0EBF"/>
    <w:rsid w:val="00CC2B13"/>
    <w:rsid w:val="00CD31BE"/>
    <w:rsid w:val="00CE1DB1"/>
    <w:rsid w:val="00CE6013"/>
    <w:rsid w:val="00D27636"/>
    <w:rsid w:val="00D27981"/>
    <w:rsid w:val="00D27CD6"/>
    <w:rsid w:val="00D402FC"/>
    <w:rsid w:val="00D44221"/>
    <w:rsid w:val="00D54AE8"/>
    <w:rsid w:val="00D56283"/>
    <w:rsid w:val="00D654DC"/>
    <w:rsid w:val="00D67372"/>
    <w:rsid w:val="00D728B6"/>
    <w:rsid w:val="00D853AA"/>
    <w:rsid w:val="00D85E18"/>
    <w:rsid w:val="00DA36D3"/>
    <w:rsid w:val="00DC238A"/>
    <w:rsid w:val="00DC5CD2"/>
    <w:rsid w:val="00DD0767"/>
    <w:rsid w:val="00DE2574"/>
    <w:rsid w:val="00DF3E50"/>
    <w:rsid w:val="00E138B9"/>
    <w:rsid w:val="00E317C2"/>
    <w:rsid w:val="00E41C07"/>
    <w:rsid w:val="00E6569B"/>
    <w:rsid w:val="00E67A8F"/>
    <w:rsid w:val="00E76DA2"/>
    <w:rsid w:val="00E96D01"/>
    <w:rsid w:val="00EA0F17"/>
    <w:rsid w:val="00EA262E"/>
    <w:rsid w:val="00EA6940"/>
    <w:rsid w:val="00EC3932"/>
    <w:rsid w:val="00EC5670"/>
    <w:rsid w:val="00EC6E38"/>
    <w:rsid w:val="00ED4957"/>
    <w:rsid w:val="00ED5699"/>
    <w:rsid w:val="00ED7E70"/>
    <w:rsid w:val="00EE160A"/>
    <w:rsid w:val="00EF6EA0"/>
    <w:rsid w:val="00F02C10"/>
    <w:rsid w:val="00F06C22"/>
    <w:rsid w:val="00F127F4"/>
    <w:rsid w:val="00F1541F"/>
    <w:rsid w:val="00F25BA1"/>
    <w:rsid w:val="00F35ECF"/>
    <w:rsid w:val="00F4237A"/>
    <w:rsid w:val="00F45300"/>
    <w:rsid w:val="00F5123E"/>
    <w:rsid w:val="00F6214A"/>
    <w:rsid w:val="00F63F2E"/>
    <w:rsid w:val="00F70C54"/>
    <w:rsid w:val="00F922C4"/>
    <w:rsid w:val="00F95A81"/>
    <w:rsid w:val="00FA021D"/>
    <w:rsid w:val="00FA0FC9"/>
    <w:rsid w:val="00FC2B13"/>
    <w:rsid w:val="00FC4063"/>
    <w:rsid w:val="00FD1BA6"/>
    <w:rsid w:val="00FE5326"/>
    <w:rsid w:val="00FF5B1C"/>
    <w:rsid w:val="00FF7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3044"/>
  <w15:chartTrackingRefBased/>
  <w15:docId w15:val="{B311AA78-E247-413C-81C4-5C4FC7CF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9F8"/>
    <w:pPr>
      <w:tabs>
        <w:tab w:val="center" w:pos="400"/>
      </w:tabs>
      <w:spacing w:before="60" w:after="0" w:line="240" w:lineRule="auto"/>
      <w:jc w:val="both"/>
    </w:pPr>
    <w:rPr>
      <w:rFonts w:ascii="Arial" w:eastAsia="Times New Roman" w:hAnsi="Arial"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529F8"/>
    <w:pPr>
      <w:ind w:left="720"/>
    </w:pPr>
    <w:rPr>
      <w:rFonts w:cs="Arial"/>
      <w:color w:val="0000FF"/>
      <w:sz w:val="28"/>
    </w:rPr>
  </w:style>
  <w:style w:type="character" w:customStyle="1" w:styleId="BodyTextIndentChar">
    <w:name w:val="Body Text Indent Char"/>
    <w:basedOn w:val="DefaultParagraphFont"/>
    <w:link w:val="BodyTextIndent"/>
    <w:uiPriority w:val="99"/>
    <w:rsid w:val="006529F8"/>
    <w:rPr>
      <w:rFonts w:ascii="Arial" w:eastAsia="Times New Roman" w:hAnsi="Arial" w:cs="Arial"/>
      <w:color w:val="0000FF"/>
      <w:sz w:val="28"/>
      <w:szCs w:val="20"/>
    </w:rPr>
  </w:style>
  <w:style w:type="paragraph" w:styleId="ListParagraph">
    <w:name w:val="List Paragraph"/>
    <w:basedOn w:val="Normal"/>
    <w:uiPriority w:val="1"/>
    <w:qFormat/>
    <w:rsid w:val="006529F8"/>
    <w:pPr>
      <w:tabs>
        <w:tab w:val="clear" w:pos="400"/>
      </w:tabs>
      <w:autoSpaceDE w:val="0"/>
      <w:autoSpaceDN w:val="0"/>
      <w:adjustRightInd w:val="0"/>
      <w:spacing w:before="0"/>
      <w:jc w:val="left"/>
    </w:pPr>
    <w:rPr>
      <w:rFonts w:ascii="Times New Roman" w:hAnsi="Times New Roman"/>
      <w:color w:val="auto"/>
      <w:sz w:val="24"/>
      <w:szCs w:val="24"/>
    </w:rPr>
  </w:style>
  <w:style w:type="paragraph" w:styleId="Header">
    <w:name w:val="header"/>
    <w:basedOn w:val="Normal"/>
    <w:link w:val="HeaderChar"/>
    <w:uiPriority w:val="99"/>
    <w:unhideWhenUsed/>
    <w:rsid w:val="006529F8"/>
    <w:pPr>
      <w:tabs>
        <w:tab w:val="clear" w:pos="400"/>
        <w:tab w:val="center" w:pos="4680"/>
        <w:tab w:val="right" w:pos="9360"/>
      </w:tabs>
      <w:spacing w:before="0"/>
    </w:pPr>
  </w:style>
  <w:style w:type="character" w:customStyle="1" w:styleId="HeaderChar">
    <w:name w:val="Header Char"/>
    <w:basedOn w:val="DefaultParagraphFont"/>
    <w:link w:val="Header"/>
    <w:uiPriority w:val="99"/>
    <w:rsid w:val="006529F8"/>
    <w:rPr>
      <w:rFonts w:ascii="Arial" w:eastAsia="Times New Roman" w:hAnsi="Arial" w:cs="Times New Roman"/>
      <w:color w:val="000000"/>
      <w:sz w:val="20"/>
      <w:szCs w:val="20"/>
    </w:rPr>
  </w:style>
  <w:style w:type="paragraph" w:styleId="Footer">
    <w:name w:val="footer"/>
    <w:basedOn w:val="Normal"/>
    <w:link w:val="FooterChar"/>
    <w:uiPriority w:val="99"/>
    <w:unhideWhenUsed/>
    <w:rsid w:val="006529F8"/>
    <w:pPr>
      <w:tabs>
        <w:tab w:val="clear" w:pos="400"/>
        <w:tab w:val="center" w:pos="4680"/>
        <w:tab w:val="right" w:pos="9360"/>
      </w:tabs>
      <w:spacing w:before="0"/>
    </w:pPr>
  </w:style>
  <w:style w:type="character" w:customStyle="1" w:styleId="FooterChar">
    <w:name w:val="Footer Char"/>
    <w:basedOn w:val="DefaultParagraphFont"/>
    <w:link w:val="Footer"/>
    <w:uiPriority w:val="99"/>
    <w:rsid w:val="006529F8"/>
    <w:rPr>
      <w:rFonts w:ascii="Arial" w:eastAsia="Times New Roman" w:hAnsi="Arial" w:cs="Times New Roman"/>
      <w:color w:val="000000"/>
      <w:sz w:val="20"/>
      <w:szCs w:val="20"/>
    </w:rPr>
  </w:style>
  <w:style w:type="character" w:styleId="Hyperlink">
    <w:name w:val="Hyperlink"/>
    <w:uiPriority w:val="99"/>
    <w:rsid w:val="006529F8"/>
    <w:rPr>
      <w:color w:val="0000FF"/>
      <w:u w:val="single"/>
    </w:rPr>
  </w:style>
  <w:style w:type="character" w:styleId="CommentReference">
    <w:name w:val="annotation reference"/>
    <w:basedOn w:val="DefaultParagraphFont"/>
    <w:uiPriority w:val="99"/>
    <w:semiHidden/>
    <w:unhideWhenUsed/>
    <w:rsid w:val="00B06FD3"/>
    <w:rPr>
      <w:sz w:val="16"/>
      <w:szCs w:val="16"/>
    </w:rPr>
  </w:style>
  <w:style w:type="paragraph" w:styleId="CommentText">
    <w:name w:val="annotation text"/>
    <w:basedOn w:val="Normal"/>
    <w:link w:val="CommentTextChar"/>
    <w:uiPriority w:val="99"/>
    <w:unhideWhenUsed/>
    <w:rsid w:val="00B06FD3"/>
  </w:style>
  <w:style w:type="character" w:customStyle="1" w:styleId="CommentTextChar">
    <w:name w:val="Comment Text Char"/>
    <w:basedOn w:val="DefaultParagraphFont"/>
    <w:link w:val="CommentText"/>
    <w:uiPriority w:val="99"/>
    <w:rsid w:val="00B06FD3"/>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6FD3"/>
    <w:rPr>
      <w:b/>
      <w:bCs/>
    </w:rPr>
  </w:style>
  <w:style w:type="character" w:customStyle="1" w:styleId="CommentSubjectChar">
    <w:name w:val="Comment Subject Char"/>
    <w:basedOn w:val="CommentTextChar"/>
    <w:link w:val="CommentSubject"/>
    <w:uiPriority w:val="99"/>
    <w:semiHidden/>
    <w:rsid w:val="00B06FD3"/>
    <w:rPr>
      <w:rFonts w:ascii="Arial" w:eastAsia="Times New Roman" w:hAnsi="Arial" w:cs="Times New Roman"/>
      <w:b/>
      <w:bCs/>
      <w:color w:val="000000"/>
      <w:sz w:val="20"/>
      <w:szCs w:val="20"/>
    </w:rPr>
  </w:style>
  <w:style w:type="paragraph" w:styleId="BalloonText">
    <w:name w:val="Balloon Text"/>
    <w:basedOn w:val="Normal"/>
    <w:link w:val="BalloonTextChar"/>
    <w:uiPriority w:val="99"/>
    <w:semiHidden/>
    <w:unhideWhenUsed/>
    <w:rsid w:val="00B06FD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FD3"/>
    <w:rPr>
      <w:rFonts w:ascii="Segoe UI" w:eastAsia="Times New Roman" w:hAnsi="Segoe UI" w:cs="Segoe UI"/>
      <w:color w:val="000000"/>
      <w:sz w:val="18"/>
      <w:szCs w:val="18"/>
    </w:rPr>
  </w:style>
  <w:style w:type="paragraph" w:styleId="Revision">
    <w:name w:val="Revision"/>
    <w:hidden/>
    <w:uiPriority w:val="99"/>
    <w:semiHidden/>
    <w:rsid w:val="00343578"/>
    <w:pPr>
      <w:spacing w:after="0" w:line="240" w:lineRule="auto"/>
    </w:pPr>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454845">
      <w:bodyDiv w:val="1"/>
      <w:marLeft w:val="0"/>
      <w:marRight w:val="0"/>
      <w:marTop w:val="0"/>
      <w:marBottom w:val="0"/>
      <w:divBdr>
        <w:top w:val="none" w:sz="0" w:space="0" w:color="auto"/>
        <w:left w:val="none" w:sz="0" w:space="0" w:color="auto"/>
        <w:bottom w:val="none" w:sz="0" w:space="0" w:color="auto"/>
        <w:right w:val="none" w:sz="0" w:space="0" w:color="auto"/>
      </w:divBdr>
    </w:div>
    <w:div w:id="13140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8626-B6C6-4133-B954-72AC8682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Pollack</dc:creator>
  <cp:keywords/>
  <dc:description/>
  <cp:lastModifiedBy>Pollack, Nikki</cp:lastModifiedBy>
  <cp:revision>2</cp:revision>
  <cp:lastPrinted>2021-09-21T17:16:00Z</cp:lastPrinted>
  <dcterms:created xsi:type="dcterms:W3CDTF">2023-11-20T19:57:00Z</dcterms:created>
  <dcterms:modified xsi:type="dcterms:W3CDTF">2023-11-20T19:57:00Z</dcterms:modified>
</cp:coreProperties>
</file>