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71664" w14:textId="7CD32BB8" w:rsidR="00194C2D" w:rsidRDefault="008F2D4A" w:rsidP="00391C9A">
      <w:pPr>
        <w:spacing w:before="74"/>
        <w:jc w:val="center"/>
        <w:rPr>
          <w:b/>
          <w:sz w:val="20"/>
          <w:szCs w:val="20"/>
        </w:rPr>
      </w:pPr>
      <w:r>
        <w:rPr>
          <w:b/>
          <w:sz w:val="20"/>
          <w:szCs w:val="20"/>
        </w:rPr>
        <w:t xml:space="preserve">Attachment </w:t>
      </w:r>
      <w:r w:rsidR="00A96173">
        <w:rPr>
          <w:b/>
          <w:sz w:val="20"/>
          <w:szCs w:val="20"/>
        </w:rPr>
        <w:t>12</w:t>
      </w:r>
      <w:r>
        <w:rPr>
          <w:b/>
          <w:sz w:val="20"/>
          <w:szCs w:val="20"/>
        </w:rPr>
        <w:t xml:space="preserve"> –</w:t>
      </w:r>
      <w:r w:rsidR="00A96173">
        <w:rPr>
          <w:b/>
          <w:sz w:val="20"/>
          <w:szCs w:val="20"/>
        </w:rPr>
        <w:t>Xerox</w:t>
      </w:r>
      <w:r>
        <w:rPr>
          <w:b/>
          <w:sz w:val="20"/>
          <w:szCs w:val="20"/>
        </w:rPr>
        <w:t xml:space="preserve"> </w:t>
      </w:r>
      <w:r w:rsidR="00194C2D">
        <w:rPr>
          <w:b/>
          <w:sz w:val="20"/>
          <w:szCs w:val="20"/>
        </w:rPr>
        <w:t>Product-Specific Terms</w:t>
      </w:r>
      <w:r w:rsidR="00A96173">
        <w:rPr>
          <w:b/>
          <w:sz w:val="20"/>
          <w:szCs w:val="20"/>
        </w:rPr>
        <w:t xml:space="preserve"> and Conditions</w:t>
      </w:r>
    </w:p>
    <w:p w14:paraId="5D6B1779" w14:textId="09221FC7" w:rsidR="008F2D4A" w:rsidRDefault="00194C2D" w:rsidP="00391C9A">
      <w:pPr>
        <w:spacing w:before="74"/>
        <w:jc w:val="center"/>
        <w:rPr>
          <w:b/>
          <w:sz w:val="20"/>
          <w:szCs w:val="20"/>
        </w:rPr>
      </w:pPr>
      <w:r>
        <w:rPr>
          <w:b/>
          <w:sz w:val="20"/>
          <w:szCs w:val="20"/>
        </w:rPr>
        <w:t>(</w:t>
      </w:r>
      <w:r w:rsidR="008639C9">
        <w:rPr>
          <w:b/>
          <w:sz w:val="20"/>
          <w:szCs w:val="20"/>
        </w:rPr>
        <w:t xml:space="preserve">Nuvera, </w:t>
      </w:r>
      <w:r w:rsidR="008F2D4A">
        <w:rPr>
          <w:b/>
          <w:sz w:val="20"/>
          <w:szCs w:val="20"/>
        </w:rPr>
        <w:t>Versant, Iridesse</w:t>
      </w:r>
      <w:r w:rsidR="008639C9">
        <w:rPr>
          <w:b/>
          <w:sz w:val="20"/>
          <w:szCs w:val="20"/>
        </w:rPr>
        <w:t>, iGen</w:t>
      </w:r>
      <w:r>
        <w:rPr>
          <w:b/>
          <w:sz w:val="20"/>
          <w:szCs w:val="20"/>
        </w:rPr>
        <w:t>, FreeFlow Software)</w:t>
      </w:r>
    </w:p>
    <w:p w14:paraId="2439B9B1" w14:textId="77777777" w:rsidR="008F2D4A" w:rsidRDefault="008F2D4A" w:rsidP="00391C9A">
      <w:pPr>
        <w:spacing w:before="74"/>
        <w:jc w:val="center"/>
        <w:rPr>
          <w:b/>
          <w:sz w:val="20"/>
          <w:szCs w:val="20"/>
        </w:rPr>
      </w:pPr>
    </w:p>
    <w:p w14:paraId="5ABBE060" w14:textId="7D6E1F98" w:rsidR="00354F73" w:rsidRPr="00876B39" w:rsidRDefault="00591256" w:rsidP="00391C9A">
      <w:pPr>
        <w:spacing w:before="74"/>
        <w:jc w:val="center"/>
        <w:rPr>
          <w:b/>
          <w:sz w:val="20"/>
          <w:szCs w:val="20"/>
        </w:rPr>
      </w:pPr>
      <w:r w:rsidRPr="00876B39">
        <w:rPr>
          <w:b/>
          <w:sz w:val="20"/>
          <w:szCs w:val="20"/>
        </w:rPr>
        <w:t>Additional Terms –</w:t>
      </w:r>
      <w:r w:rsidR="008639C9">
        <w:rPr>
          <w:b/>
          <w:sz w:val="20"/>
          <w:szCs w:val="20"/>
        </w:rPr>
        <w:t xml:space="preserve"> </w:t>
      </w:r>
      <w:r w:rsidRPr="00876B39">
        <w:rPr>
          <w:b/>
          <w:sz w:val="20"/>
          <w:szCs w:val="20"/>
        </w:rPr>
        <w:t>Applicable to Lease, Rental and Purchase Transactions</w:t>
      </w:r>
    </w:p>
    <w:p w14:paraId="749BA33B" w14:textId="77777777" w:rsidR="00354F73" w:rsidRDefault="00354F73">
      <w:pPr>
        <w:pStyle w:val="BodyText"/>
        <w:spacing w:before="5"/>
        <w:ind w:left="0"/>
        <w:rPr>
          <w:b/>
        </w:rPr>
      </w:pPr>
    </w:p>
    <w:p w14:paraId="28C46E1E" w14:textId="77777777" w:rsidR="006B20AA" w:rsidRDefault="006B20AA" w:rsidP="006B20AA">
      <w:pPr>
        <w:pStyle w:val="ListParagraph"/>
        <w:tabs>
          <w:tab w:val="left" w:pos="322"/>
        </w:tabs>
        <w:ind w:left="682"/>
        <w:rPr>
          <w:sz w:val="20"/>
          <w:szCs w:val="20"/>
        </w:rPr>
      </w:pPr>
    </w:p>
    <w:p w14:paraId="001B36D4" w14:textId="2F1628D7" w:rsidR="008639C9" w:rsidRDefault="006B20AA" w:rsidP="001B3AF7">
      <w:pPr>
        <w:tabs>
          <w:tab w:val="left" w:pos="270"/>
        </w:tabs>
        <w:ind w:left="270"/>
        <w:rPr>
          <w:sz w:val="20"/>
          <w:szCs w:val="20"/>
        </w:rPr>
      </w:pPr>
      <w:r w:rsidRPr="001B3AF7">
        <w:rPr>
          <w:b/>
          <w:bCs/>
          <w:sz w:val="20"/>
          <w:szCs w:val="20"/>
        </w:rPr>
        <w:t>RESPONSIBILITY FOR MEETING CERTAIN CUSTOMER REQUIREMENTS</w:t>
      </w:r>
      <w:r w:rsidR="001B3AF7">
        <w:rPr>
          <w:b/>
          <w:bCs/>
          <w:sz w:val="20"/>
          <w:szCs w:val="20"/>
        </w:rPr>
        <w:t xml:space="preserve"> – the following </w:t>
      </w:r>
      <w:r w:rsidR="003A2264">
        <w:rPr>
          <w:b/>
          <w:bCs/>
          <w:sz w:val="20"/>
          <w:szCs w:val="20"/>
        </w:rPr>
        <w:t>provision is</w:t>
      </w:r>
      <w:r w:rsidR="001B3AF7">
        <w:rPr>
          <w:b/>
          <w:bCs/>
          <w:sz w:val="20"/>
          <w:szCs w:val="20"/>
        </w:rPr>
        <w:t xml:space="preserve"> applicable to transactions for Versant and Iridesse Equipment (m</w:t>
      </w:r>
      <w:r w:rsidR="001B3AF7" w:rsidRPr="001B3AF7">
        <w:rPr>
          <w:b/>
          <w:bCs/>
          <w:sz w:val="20"/>
          <w:szCs w:val="20"/>
        </w:rPr>
        <w:t>odels V180B, V180BD, V180P, V180PD, V280, V3100, V3100D, V4100, VR280, VR4100, and IR120):</w:t>
      </w:r>
      <w:r w:rsidRPr="008639C9">
        <w:rPr>
          <w:sz w:val="20"/>
          <w:szCs w:val="20"/>
        </w:rPr>
        <w:t xml:space="preserve"> </w:t>
      </w:r>
    </w:p>
    <w:p w14:paraId="151D4C7C" w14:textId="77777777" w:rsidR="001B3AF7" w:rsidRDefault="001B3AF7" w:rsidP="008639C9">
      <w:pPr>
        <w:tabs>
          <w:tab w:val="left" w:pos="322"/>
        </w:tabs>
        <w:ind w:left="360"/>
        <w:rPr>
          <w:sz w:val="20"/>
          <w:szCs w:val="20"/>
        </w:rPr>
      </w:pPr>
    </w:p>
    <w:p w14:paraId="1E35F497" w14:textId="28FA7462" w:rsidR="006B20AA" w:rsidRPr="008639C9" w:rsidRDefault="006B20AA" w:rsidP="001B3AF7">
      <w:pPr>
        <w:tabs>
          <w:tab w:val="left" w:pos="360"/>
        </w:tabs>
        <w:ind w:left="360"/>
        <w:rPr>
          <w:sz w:val="20"/>
          <w:szCs w:val="20"/>
        </w:rPr>
      </w:pPr>
      <w:r w:rsidRPr="008639C9">
        <w:rPr>
          <w:sz w:val="20"/>
          <w:szCs w:val="20"/>
        </w:rPr>
        <w:t>You are solely responsible for fulfilling all of your obligations set forth in the Customer Expectations Document or Customer Expectation &amp; Installation Guide, as applicable, for the Equipment executed by you contemporaneously with this Agreement, and which is deemed incorporated by reference into this Agreement ("CED/CEIG"), including, but not limited to, meeting all environmental, product space and power, media, and network connectivity requirements. In addition, the CED/CEIG and informational guides provided to you by Xerox set forth certain operator maintenance activities that you are responsible for performing at the intervals indicated therein. You may have Xerox perform, or assist in the performance of, any of these operator maintenance activities, subject to the availability of Xerox certified technicians, upon your agreement to pay Xerox's then-prevailing service call rates</w:t>
      </w:r>
      <w:r w:rsidR="00A96173">
        <w:rPr>
          <w:sz w:val="20"/>
          <w:szCs w:val="20"/>
        </w:rPr>
        <w:t>, per the NASPO ValuePoint Master Agreement (“Master Agreement”) pricing</w:t>
      </w:r>
      <w:r w:rsidRPr="008639C9">
        <w:rPr>
          <w:sz w:val="20"/>
          <w:szCs w:val="20"/>
        </w:rPr>
        <w:t>.</w:t>
      </w:r>
    </w:p>
    <w:p w14:paraId="2F5B19A8" w14:textId="77777777" w:rsidR="006B20AA" w:rsidRDefault="006B20AA" w:rsidP="006B20AA">
      <w:pPr>
        <w:pStyle w:val="ListParagraph"/>
        <w:tabs>
          <w:tab w:val="left" w:pos="322"/>
        </w:tabs>
        <w:ind w:left="288"/>
        <w:rPr>
          <w:sz w:val="20"/>
          <w:szCs w:val="20"/>
        </w:rPr>
      </w:pPr>
    </w:p>
    <w:p w14:paraId="2EE48F2B" w14:textId="64BCD277" w:rsidR="001B3AF7" w:rsidRDefault="00591256" w:rsidP="001B3AF7">
      <w:pPr>
        <w:pStyle w:val="ListParagraph"/>
        <w:tabs>
          <w:tab w:val="left" w:pos="322"/>
        </w:tabs>
        <w:ind w:left="288"/>
        <w:rPr>
          <w:b/>
          <w:bCs/>
          <w:sz w:val="20"/>
          <w:szCs w:val="20"/>
        </w:rPr>
      </w:pPr>
      <w:r w:rsidRPr="001B3AF7">
        <w:rPr>
          <w:b/>
          <w:bCs/>
          <w:sz w:val="20"/>
          <w:szCs w:val="20"/>
        </w:rPr>
        <w:t>EXTRA LONG PRINTS</w:t>
      </w:r>
      <w:r w:rsidR="001B3AF7">
        <w:rPr>
          <w:b/>
          <w:bCs/>
          <w:sz w:val="20"/>
          <w:szCs w:val="20"/>
        </w:rPr>
        <w:t xml:space="preserve"> – the following </w:t>
      </w:r>
      <w:r w:rsidR="003A2264">
        <w:rPr>
          <w:b/>
          <w:bCs/>
          <w:sz w:val="20"/>
          <w:szCs w:val="20"/>
        </w:rPr>
        <w:t>provision is</w:t>
      </w:r>
      <w:r w:rsidR="001B3AF7">
        <w:rPr>
          <w:b/>
          <w:bCs/>
          <w:sz w:val="20"/>
          <w:szCs w:val="20"/>
        </w:rPr>
        <w:t xml:space="preserve"> applicable to transactions for Versant and Iridesse Equipment:</w:t>
      </w:r>
    </w:p>
    <w:p w14:paraId="5A478CBA" w14:textId="28646788" w:rsidR="001B3AF7" w:rsidRDefault="001B3AF7" w:rsidP="001B3AF7">
      <w:pPr>
        <w:pStyle w:val="ListParagraph"/>
        <w:tabs>
          <w:tab w:val="left" w:pos="322"/>
        </w:tabs>
        <w:ind w:left="288"/>
        <w:rPr>
          <w:b/>
          <w:bCs/>
          <w:sz w:val="20"/>
          <w:szCs w:val="20"/>
        </w:rPr>
      </w:pPr>
      <w:r>
        <w:rPr>
          <w:b/>
          <w:bCs/>
          <w:sz w:val="20"/>
          <w:szCs w:val="20"/>
        </w:rPr>
        <w:t xml:space="preserve"> </w:t>
      </w:r>
    </w:p>
    <w:p w14:paraId="11D1FEE7" w14:textId="3AE2FF4A" w:rsidR="00354F73" w:rsidRDefault="00591256" w:rsidP="001B3AF7">
      <w:pPr>
        <w:pStyle w:val="ListParagraph"/>
        <w:tabs>
          <w:tab w:val="left" w:pos="360"/>
        </w:tabs>
        <w:ind w:left="360"/>
        <w:rPr>
          <w:sz w:val="20"/>
          <w:szCs w:val="20"/>
        </w:rPr>
      </w:pPr>
      <w:r w:rsidRPr="00391C9A">
        <w:rPr>
          <w:sz w:val="20"/>
          <w:szCs w:val="20"/>
        </w:rPr>
        <w:t xml:space="preserve">The following Equipment model(s), </w:t>
      </w:r>
      <w:r w:rsidR="001B3AF7" w:rsidRPr="001B3AF7">
        <w:rPr>
          <w:sz w:val="20"/>
          <w:szCs w:val="20"/>
        </w:rPr>
        <w:t>V180B</w:t>
      </w:r>
      <w:r w:rsidR="001B3AF7">
        <w:rPr>
          <w:sz w:val="20"/>
          <w:szCs w:val="20"/>
        </w:rPr>
        <w:t>, V</w:t>
      </w:r>
      <w:r w:rsidR="001B3AF7" w:rsidRPr="001B3AF7">
        <w:rPr>
          <w:sz w:val="20"/>
          <w:szCs w:val="20"/>
        </w:rPr>
        <w:t>180BD</w:t>
      </w:r>
      <w:r w:rsidR="001B3AF7">
        <w:rPr>
          <w:sz w:val="20"/>
          <w:szCs w:val="20"/>
        </w:rPr>
        <w:t xml:space="preserve">, </w:t>
      </w:r>
      <w:r w:rsidR="001B3AF7" w:rsidRPr="001B3AF7">
        <w:rPr>
          <w:sz w:val="20"/>
          <w:szCs w:val="20"/>
        </w:rPr>
        <w:t>V180P</w:t>
      </w:r>
      <w:r w:rsidR="001B3AF7">
        <w:rPr>
          <w:sz w:val="20"/>
          <w:szCs w:val="20"/>
        </w:rPr>
        <w:t xml:space="preserve">, </w:t>
      </w:r>
      <w:r w:rsidR="001B3AF7" w:rsidRPr="001B3AF7">
        <w:rPr>
          <w:sz w:val="20"/>
          <w:szCs w:val="20"/>
        </w:rPr>
        <w:t>V180PD</w:t>
      </w:r>
      <w:r w:rsidR="001B3AF7">
        <w:rPr>
          <w:sz w:val="20"/>
          <w:szCs w:val="20"/>
        </w:rPr>
        <w:t xml:space="preserve">, </w:t>
      </w:r>
      <w:r w:rsidR="001B3AF7" w:rsidRPr="001B3AF7">
        <w:rPr>
          <w:sz w:val="20"/>
          <w:szCs w:val="20"/>
        </w:rPr>
        <w:t>V280</w:t>
      </w:r>
      <w:r w:rsidR="001B3AF7">
        <w:rPr>
          <w:sz w:val="20"/>
          <w:szCs w:val="20"/>
        </w:rPr>
        <w:t xml:space="preserve">, </w:t>
      </w:r>
      <w:r w:rsidR="001B3AF7" w:rsidRPr="001B3AF7">
        <w:rPr>
          <w:sz w:val="20"/>
          <w:szCs w:val="20"/>
        </w:rPr>
        <w:t>V3100</w:t>
      </w:r>
      <w:r w:rsidR="001B3AF7">
        <w:rPr>
          <w:sz w:val="20"/>
          <w:szCs w:val="20"/>
        </w:rPr>
        <w:t xml:space="preserve">, </w:t>
      </w:r>
      <w:r w:rsidR="001B3AF7" w:rsidRPr="001B3AF7">
        <w:rPr>
          <w:sz w:val="20"/>
          <w:szCs w:val="20"/>
        </w:rPr>
        <w:t>V3100D</w:t>
      </w:r>
      <w:r w:rsidR="001B3AF7">
        <w:rPr>
          <w:sz w:val="20"/>
          <w:szCs w:val="20"/>
        </w:rPr>
        <w:t xml:space="preserve">, </w:t>
      </w:r>
      <w:r w:rsidR="001B3AF7" w:rsidRPr="001B3AF7">
        <w:rPr>
          <w:sz w:val="20"/>
          <w:szCs w:val="20"/>
        </w:rPr>
        <w:t>V4100</w:t>
      </w:r>
      <w:r w:rsidR="001B3AF7">
        <w:rPr>
          <w:sz w:val="20"/>
          <w:szCs w:val="20"/>
        </w:rPr>
        <w:t xml:space="preserve">, </w:t>
      </w:r>
      <w:r w:rsidR="001B3AF7" w:rsidRPr="001B3AF7">
        <w:rPr>
          <w:sz w:val="20"/>
          <w:szCs w:val="20"/>
        </w:rPr>
        <w:t>VR280</w:t>
      </w:r>
      <w:r w:rsidR="001B3AF7">
        <w:rPr>
          <w:sz w:val="20"/>
          <w:szCs w:val="20"/>
        </w:rPr>
        <w:t xml:space="preserve">, </w:t>
      </w:r>
      <w:r w:rsidR="001B3AF7" w:rsidRPr="001B3AF7">
        <w:rPr>
          <w:sz w:val="20"/>
          <w:szCs w:val="20"/>
        </w:rPr>
        <w:t>VR4100</w:t>
      </w:r>
      <w:r w:rsidR="001B3AF7">
        <w:rPr>
          <w:sz w:val="20"/>
          <w:szCs w:val="20"/>
        </w:rPr>
        <w:t>, and IR120,</w:t>
      </w:r>
      <w:r w:rsidRPr="00391C9A">
        <w:rPr>
          <w:sz w:val="20"/>
          <w:szCs w:val="20"/>
        </w:rPr>
        <w:t xml:space="preserve"> may now, or in the future, have extra-long print capability, which is the ability to produce a print that is longer than 491mm. Maximum print length may vary by model. The meters for Equipment with extra-long print capability will register the following, as applicable: (i) for impressions greater than 491mm, up to and including 661mm, the Extra Long Impressions meter will register two (2) prints for each such extra-long print, in addition to registering one (1) print on either the Color Impressions meter (in the case of a color print) or the Black Impressions meter (in the case of a B&amp;W print); (ii) for impressions greater than 661mm, up to and including 877mm, the Extra Long Impressions meter will register three (3) prints for each such extra-long print, in addition to registering one (1) print on either the Color Impressions meter (in the case of a color print) or the Black Impression meter (in the case of a B&amp;W print); (iii) for impressions greater than 877mm, up to and including 1,083mm, the Extra Long Impressions meter will register four (4) prints for each such extra-long print, in addition to registering one (1) print on either the Color Impressions meter (in the case of a color print) or the Black Impression meter (in the case of a B&amp;W print); and (iv) for impressions greater than 1,083mm, up to and including 1,299mm, the Extra</w:t>
      </w:r>
      <w:r w:rsidRPr="00391C9A">
        <w:rPr>
          <w:spacing w:val="-2"/>
          <w:sz w:val="20"/>
          <w:szCs w:val="20"/>
        </w:rPr>
        <w:t xml:space="preserve"> </w:t>
      </w:r>
      <w:r w:rsidRPr="00391C9A">
        <w:rPr>
          <w:sz w:val="20"/>
          <w:szCs w:val="20"/>
        </w:rPr>
        <w:t>Long</w:t>
      </w:r>
      <w:r w:rsidRPr="00391C9A">
        <w:rPr>
          <w:spacing w:val="-5"/>
          <w:sz w:val="20"/>
          <w:szCs w:val="20"/>
        </w:rPr>
        <w:t xml:space="preserve"> </w:t>
      </w:r>
      <w:r w:rsidRPr="00391C9A">
        <w:rPr>
          <w:sz w:val="20"/>
          <w:szCs w:val="20"/>
        </w:rPr>
        <w:t>Impressions</w:t>
      </w:r>
      <w:r w:rsidRPr="00391C9A">
        <w:rPr>
          <w:spacing w:val="-4"/>
          <w:sz w:val="20"/>
          <w:szCs w:val="20"/>
        </w:rPr>
        <w:t xml:space="preserve"> </w:t>
      </w:r>
      <w:r w:rsidRPr="00391C9A">
        <w:rPr>
          <w:sz w:val="20"/>
          <w:szCs w:val="20"/>
        </w:rPr>
        <w:t>meter</w:t>
      </w:r>
      <w:r w:rsidRPr="00391C9A">
        <w:rPr>
          <w:spacing w:val="-5"/>
          <w:sz w:val="20"/>
          <w:szCs w:val="20"/>
        </w:rPr>
        <w:t xml:space="preserve"> </w:t>
      </w:r>
      <w:r w:rsidRPr="00391C9A">
        <w:rPr>
          <w:sz w:val="20"/>
          <w:szCs w:val="20"/>
        </w:rPr>
        <w:t>will</w:t>
      </w:r>
      <w:r w:rsidRPr="00391C9A">
        <w:rPr>
          <w:spacing w:val="-2"/>
          <w:sz w:val="20"/>
          <w:szCs w:val="20"/>
        </w:rPr>
        <w:t xml:space="preserve"> </w:t>
      </w:r>
      <w:r w:rsidRPr="00391C9A">
        <w:rPr>
          <w:sz w:val="20"/>
          <w:szCs w:val="20"/>
        </w:rPr>
        <w:t>register</w:t>
      </w:r>
      <w:r w:rsidRPr="00391C9A">
        <w:rPr>
          <w:spacing w:val="-3"/>
          <w:sz w:val="20"/>
          <w:szCs w:val="20"/>
        </w:rPr>
        <w:t xml:space="preserve"> </w:t>
      </w:r>
      <w:r w:rsidRPr="00391C9A">
        <w:rPr>
          <w:sz w:val="20"/>
          <w:szCs w:val="20"/>
        </w:rPr>
        <w:t>five</w:t>
      </w:r>
      <w:r w:rsidRPr="00391C9A">
        <w:rPr>
          <w:spacing w:val="-2"/>
          <w:sz w:val="20"/>
          <w:szCs w:val="20"/>
        </w:rPr>
        <w:t xml:space="preserve"> </w:t>
      </w:r>
      <w:r w:rsidRPr="00391C9A">
        <w:rPr>
          <w:sz w:val="20"/>
          <w:szCs w:val="20"/>
        </w:rPr>
        <w:t>(5)</w:t>
      </w:r>
      <w:r w:rsidRPr="00391C9A">
        <w:rPr>
          <w:spacing w:val="-3"/>
          <w:sz w:val="20"/>
          <w:szCs w:val="20"/>
        </w:rPr>
        <w:t xml:space="preserve"> </w:t>
      </w:r>
      <w:r w:rsidRPr="00391C9A">
        <w:rPr>
          <w:sz w:val="20"/>
          <w:szCs w:val="20"/>
        </w:rPr>
        <w:t>prints</w:t>
      </w:r>
      <w:r w:rsidRPr="00391C9A">
        <w:rPr>
          <w:spacing w:val="-2"/>
          <w:sz w:val="20"/>
          <w:szCs w:val="20"/>
        </w:rPr>
        <w:t xml:space="preserve"> </w:t>
      </w:r>
      <w:r w:rsidRPr="00391C9A">
        <w:rPr>
          <w:sz w:val="20"/>
          <w:szCs w:val="20"/>
        </w:rPr>
        <w:t>for</w:t>
      </w:r>
      <w:r w:rsidRPr="00391C9A">
        <w:rPr>
          <w:spacing w:val="-5"/>
          <w:sz w:val="20"/>
          <w:szCs w:val="20"/>
        </w:rPr>
        <w:t xml:space="preserve"> </w:t>
      </w:r>
      <w:r w:rsidRPr="00391C9A">
        <w:rPr>
          <w:sz w:val="20"/>
          <w:szCs w:val="20"/>
        </w:rPr>
        <w:t>each</w:t>
      </w:r>
      <w:r w:rsidRPr="00391C9A">
        <w:rPr>
          <w:spacing w:val="-5"/>
          <w:sz w:val="20"/>
          <w:szCs w:val="20"/>
        </w:rPr>
        <w:t xml:space="preserve"> </w:t>
      </w:r>
      <w:r w:rsidRPr="00391C9A">
        <w:rPr>
          <w:sz w:val="20"/>
          <w:szCs w:val="20"/>
        </w:rPr>
        <w:t>such</w:t>
      </w:r>
      <w:r w:rsidRPr="00391C9A">
        <w:rPr>
          <w:spacing w:val="-2"/>
          <w:sz w:val="20"/>
          <w:szCs w:val="20"/>
        </w:rPr>
        <w:t xml:space="preserve"> </w:t>
      </w:r>
      <w:r w:rsidRPr="00391C9A">
        <w:rPr>
          <w:sz w:val="20"/>
          <w:szCs w:val="20"/>
        </w:rPr>
        <w:t>extra-long</w:t>
      </w:r>
      <w:r w:rsidRPr="00391C9A">
        <w:rPr>
          <w:spacing w:val="-5"/>
          <w:sz w:val="20"/>
          <w:szCs w:val="20"/>
        </w:rPr>
        <w:t xml:space="preserve"> </w:t>
      </w:r>
      <w:r w:rsidRPr="00391C9A">
        <w:rPr>
          <w:sz w:val="20"/>
          <w:szCs w:val="20"/>
        </w:rPr>
        <w:t>print,</w:t>
      </w:r>
      <w:r w:rsidRPr="00391C9A">
        <w:rPr>
          <w:spacing w:val="-3"/>
          <w:sz w:val="20"/>
          <w:szCs w:val="20"/>
        </w:rPr>
        <w:t xml:space="preserve"> </w:t>
      </w:r>
      <w:r w:rsidRPr="00391C9A">
        <w:rPr>
          <w:sz w:val="20"/>
          <w:szCs w:val="20"/>
        </w:rPr>
        <w:t>in</w:t>
      </w:r>
      <w:r w:rsidRPr="00391C9A">
        <w:rPr>
          <w:spacing w:val="-2"/>
          <w:sz w:val="20"/>
          <w:szCs w:val="20"/>
        </w:rPr>
        <w:t xml:space="preserve"> </w:t>
      </w:r>
      <w:r w:rsidRPr="00391C9A">
        <w:rPr>
          <w:sz w:val="20"/>
          <w:szCs w:val="20"/>
        </w:rPr>
        <w:t>addition</w:t>
      </w:r>
      <w:r w:rsidRPr="00391C9A">
        <w:rPr>
          <w:spacing w:val="-2"/>
          <w:sz w:val="20"/>
          <w:szCs w:val="20"/>
        </w:rPr>
        <w:t xml:space="preserve"> </w:t>
      </w:r>
      <w:r w:rsidRPr="00391C9A">
        <w:rPr>
          <w:sz w:val="20"/>
          <w:szCs w:val="20"/>
        </w:rPr>
        <w:t>to</w:t>
      </w:r>
      <w:r w:rsidRPr="00391C9A">
        <w:rPr>
          <w:spacing w:val="-2"/>
          <w:sz w:val="20"/>
          <w:szCs w:val="20"/>
        </w:rPr>
        <w:t xml:space="preserve"> </w:t>
      </w:r>
      <w:r w:rsidRPr="00391C9A">
        <w:rPr>
          <w:sz w:val="20"/>
          <w:szCs w:val="20"/>
        </w:rPr>
        <w:t>registering</w:t>
      </w:r>
      <w:r w:rsidRPr="00391C9A">
        <w:rPr>
          <w:spacing w:val="-2"/>
          <w:sz w:val="20"/>
          <w:szCs w:val="20"/>
        </w:rPr>
        <w:t xml:space="preserve"> </w:t>
      </w:r>
      <w:r w:rsidRPr="00391C9A">
        <w:rPr>
          <w:sz w:val="20"/>
          <w:szCs w:val="20"/>
        </w:rPr>
        <w:t>one</w:t>
      </w:r>
      <w:r w:rsidR="00391C9A">
        <w:rPr>
          <w:sz w:val="20"/>
          <w:szCs w:val="20"/>
        </w:rPr>
        <w:t xml:space="preserve"> </w:t>
      </w:r>
      <w:r w:rsidRPr="00391C9A">
        <w:rPr>
          <w:sz w:val="20"/>
          <w:szCs w:val="20"/>
        </w:rPr>
        <w:t>(1) print on either the Color Impressions meter (in the case of a color print) or the Black Impression meter (in the case of a B&amp;W print).</w:t>
      </w:r>
    </w:p>
    <w:p w14:paraId="402CB01F" w14:textId="0798CF94" w:rsidR="006D6A5C" w:rsidRDefault="006D6A5C" w:rsidP="006D6A5C">
      <w:pPr>
        <w:pStyle w:val="ListParagraph"/>
        <w:tabs>
          <w:tab w:val="left" w:pos="322"/>
        </w:tabs>
        <w:spacing w:line="257" w:lineRule="auto"/>
        <w:ind w:left="288"/>
        <w:rPr>
          <w:sz w:val="20"/>
          <w:szCs w:val="20"/>
        </w:rPr>
      </w:pPr>
    </w:p>
    <w:p w14:paraId="1F70EC29" w14:textId="2EC71885" w:rsidR="003A2264" w:rsidRDefault="003A2264" w:rsidP="006D6A5C">
      <w:pPr>
        <w:pStyle w:val="ListParagraph"/>
        <w:tabs>
          <w:tab w:val="left" w:pos="322"/>
        </w:tabs>
        <w:spacing w:line="257" w:lineRule="auto"/>
        <w:ind w:left="288"/>
        <w:rPr>
          <w:b/>
          <w:bCs/>
          <w:sz w:val="20"/>
          <w:szCs w:val="20"/>
        </w:rPr>
      </w:pPr>
      <w:r w:rsidRPr="003A2264">
        <w:rPr>
          <w:b/>
          <w:bCs/>
          <w:sz w:val="20"/>
          <w:szCs w:val="20"/>
        </w:rPr>
        <w:t>WARRANTY AND GUARANTEE DISCLAIMER</w:t>
      </w:r>
      <w:r>
        <w:rPr>
          <w:b/>
          <w:bCs/>
          <w:sz w:val="20"/>
          <w:szCs w:val="20"/>
        </w:rPr>
        <w:t xml:space="preserve"> – the following provision is applicable to transactions for iGen Equipment:</w:t>
      </w:r>
    </w:p>
    <w:p w14:paraId="4B151E7F" w14:textId="4FCFDD71" w:rsidR="003A2264" w:rsidRDefault="003A2264" w:rsidP="006D6A5C">
      <w:pPr>
        <w:pStyle w:val="ListParagraph"/>
        <w:tabs>
          <w:tab w:val="left" w:pos="322"/>
        </w:tabs>
        <w:spacing w:line="257" w:lineRule="auto"/>
        <w:ind w:left="288"/>
        <w:rPr>
          <w:b/>
          <w:bCs/>
          <w:sz w:val="20"/>
          <w:szCs w:val="20"/>
        </w:rPr>
      </w:pPr>
    </w:p>
    <w:p w14:paraId="62E26B40" w14:textId="3720EEC1" w:rsidR="003A2264" w:rsidRPr="003A2264" w:rsidRDefault="003A2264" w:rsidP="003A2264">
      <w:pPr>
        <w:pStyle w:val="ListParagraph"/>
        <w:tabs>
          <w:tab w:val="left" w:pos="360"/>
        </w:tabs>
        <w:spacing w:line="257" w:lineRule="auto"/>
        <w:ind w:left="360"/>
        <w:rPr>
          <w:sz w:val="20"/>
          <w:szCs w:val="20"/>
        </w:rPr>
      </w:pPr>
      <w:r w:rsidRPr="003A2264">
        <w:rPr>
          <w:sz w:val="20"/>
          <w:szCs w:val="20"/>
        </w:rPr>
        <w:t xml:space="preserve">IN ADDITION TO THE DISCLAIMER IN SECTION 14 OF ATTACHMENT </w:t>
      </w:r>
      <w:r w:rsidR="00A96173">
        <w:rPr>
          <w:sz w:val="20"/>
          <w:szCs w:val="20"/>
        </w:rPr>
        <w:t>2</w:t>
      </w:r>
      <w:r w:rsidRPr="003A2264">
        <w:rPr>
          <w:sz w:val="20"/>
          <w:szCs w:val="20"/>
        </w:rPr>
        <w:t xml:space="preserve"> TO THE MASTER AGREEMENT (XEROX LEASE AGREEMENT TERMS AND CONDITIONS), </w:t>
      </w:r>
      <w:r>
        <w:rPr>
          <w:sz w:val="20"/>
          <w:szCs w:val="20"/>
        </w:rPr>
        <w:t>IGEN</w:t>
      </w:r>
      <w:r w:rsidRPr="003A2264">
        <w:rPr>
          <w:sz w:val="20"/>
          <w:szCs w:val="20"/>
        </w:rPr>
        <w:t xml:space="preserve"> EQUIPMENT IS (A) A PRODUCT NOT SUBJECT TO THE EQUIPMENT GUARANTEE AS NOTED IN SECTION </w:t>
      </w:r>
      <w:r w:rsidR="00314A60">
        <w:rPr>
          <w:sz w:val="20"/>
          <w:szCs w:val="20"/>
        </w:rPr>
        <w:t xml:space="preserve">X.10.2 </w:t>
      </w:r>
      <w:r w:rsidRPr="003A2264">
        <w:rPr>
          <w:sz w:val="20"/>
          <w:szCs w:val="20"/>
        </w:rPr>
        <w:t xml:space="preserve"> IS A PRODUCTION DEVICE THAT FALLS INTO GROUP C EQUIPMENT IN THE MASTER AGREEMENT AND THUS, NO UPTIME COMMITMENT IS MADE FOR THE PRODUCT.</w:t>
      </w:r>
    </w:p>
    <w:p w14:paraId="732EC882" w14:textId="77777777" w:rsidR="003A2264" w:rsidRDefault="003A2264" w:rsidP="006D6A5C">
      <w:pPr>
        <w:pStyle w:val="ListParagraph"/>
        <w:tabs>
          <w:tab w:val="left" w:pos="322"/>
        </w:tabs>
        <w:spacing w:line="257" w:lineRule="auto"/>
        <w:ind w:left="288"/>
        <w:rPr>
          <w:b/>
          <w:bCs/>
          <w:sz w:val="20"/>
          <w:szCs w:val="20"/>
        </w:rPr>
      </w:pPr>
    </w:p>
    <w:p w14:paraId="0D6D64B0" w14:textId="073DB806" w:rsidR="00354F73" w:rsidRPr="00FA1CB8" w:rsidRDefault="00591256" w:rsidP="00194C2D">
      <w:pPr>
        <w:tabs>
          <w:tab w:val="left" w:pos="270"/>
        </w:tabs>
        <w:spacing w:after="60"/>
        <w:ind w:left="270"/>
        <w:rPr>
          <w:sz w:val="20"/>
          <w:szCs w:val="20"/>
        </w:rPr>
      </w:pPr>
      <w:r w:rsidRPr="00FA1CB8">
        <w:rPr>
          <w:sz w:val="20"/>
          <w:szCs w:val="20"/>
        </w:rPr>
        <w:t>FREEFLOW LICENSE</w:t>
      </w:r>
      <w:r w:rsidR="00194C2D" w:rsidRPr="00FA1CB8">
        <w:rPr>
          <w:sz w:val="20"/>
          <w:szCs w:val="20"/>
        </w:rPr>
        <w:t xml:space="preserve"> – t</w:t>
      </w:r>
      <w:r w:rsidRPr="00FA1CB8">
        <w:rPr>
          <w:sz w:val="20"/>
          <w:szCs w:val="20"/>
        </w:rPr>
        <w:t>he following terms apply to Xerox FreeFlow Print Server /DocuSP software included in Base Software ("FreeFlow Base Software") and/or Application Software identified as Xerox FreeFlow software (including, but not limited to, FreeFlow Makerea</w:t>
      </w:r>
      <w:r w:rsidR="00876B39" w:rsidRPr="00FA1CB8">
        <w:rPr>
          <w:sz w:val="20"/>
          <w:szCs w:val="20"/>
        </w:rPr>
        <w:t>dy and FreeFlow Process Manager</w:t>
      </w:r>
      <w:r w:rsidRPr="00FA1CB8">
        <w:rPr>
          <w:sz w:val="20"/>
          <w:szCs w:val="20"/>
        </w:rPr>
        <w:t xml:space="preserve">) (collectively, "FreeFlow Application Software"), and are additive to and supplement those found elsewhere in the Agreement </w:t>
      </w:r>
      <w:r w:rsidR="00194C2D" w:rsidRPr="00FA1CB8">
        <w:rPr>
          <w:sz w:val="20"/>
          <w:szCs w:val="20"/>
        </w:rPr>
        <w:t>(</w:t>
      </w:r>
      <w:r w:rsidRPr="00FA1CB8">
        <w:rPr>
          <w:sz w:val="20"/>
          <w:szCs w:val="20"/>
        </w:rPr>
        <w:t>FreeFlow Base Software and FreeFlow Application Software are collectively referred to as "FreeFlow Software"</w:t>
      </w:r>
      <w:r w:rsidR="00194C2D" w:rsidRPr="00FA1CB8">
        <w:rPr>
          <w:sz w:val="20"/>
          <w:szCs w:val="20"/>
        </w:rPr>
        <w:t>):</w:t>
      </w:r>
    </w:p>
    <w:p w14:paraId="38BC7C18" w14:textId="77777777" w:rsidR="00354F73" w:rsidRDefault="00591256" w:rsidP="006D6A5C">
      <w:pPr>
        <w:pStyle w:val="ListParagraph"/>
        <w:numPr>
          <w:ilvl w:val="0"/>
          <w:numId w:val="12"/>
        </w:numPr>
        <w:tabs>
          <w:tab w:val="left" w:pos="322"/>
        </w:tabs>
        <w:spacing w:after="120"/>
        <w:ind w:left="720" w:hanging="288"/>
        <w:rPr>
          <w:sz w:val="20"/>
          <w:szCs w:val="20"/>
        </w:rPr>
      </w:pPr>
      <w:r w:rsidRPr="00876B39">
        <w:rPr>
          <w:sz w:val="20"/>
          <w:szCs w:val="20"/>
        </w:rPr>
        <w:t xml:space="preserve">FreeFlow Software may include and/or incorporate font programs ("Font Programs") and other </w:t>
      </w:r>
      <w:r w:rsidR="00876B39" w:rsidRPr="00876B39">
        <w:rPr>
          <w:sz w:val="20"/>
          <w:szCs w:val="20"/>
        </w:rPr>
        <w:t>s</w:t>
      </w:r>
      <w:r w:rsidRPr="00876B39">
        <w:rPr>
          <w:sz w:val="20"/>
          <w:szCs w:val="20"/>
        </w:rPr>
        <w:t xml:space="preserve">oftware provided by Adobe Systems Incorporated ("Adobe Software"). You may embed copies of the Font Programs into your electronic documents for the purpose of printing and viewing the document. You are responsible for ensuring that you have the right and are authorized by any necessary third parties to embed any Font Programs in electronic documents created with the FreeFlow Application Software. If the Font Programs are identified as "licensed for editable embedding" at </w:t>
      </w:r>
      <w:hyperlink r:id="rId7">
        <w:r w:rsidRPr="00876B39">
          <w:rPr>
            <w:sz w:val="20"/>
            <w:szCs w:val="20"/>
          </w:rPr>
          <w:t>www.adobe.com/type/browser/legal/embeddingeula,</w:t>
        </w:r>
      </w:hyperlink>
      <w:r w:rsidRPr="00876B39">
        <w:rPr>
          <w:sz w:val="20"/>
          <w:szCs w:val="20"/>
        </w:rPr>
        <w:t xml:space="preserve"> you may also embed copies of those Font Programs for the additional purpose of editing your electronic documents. No other embedding rights are </w:t>
      </w:r>
      <w:r w:rsidRPr="00876B39">
        <w:rPr>
          <w:sz w:val="20"/>
          <w:szCs w:val="20"/>
        </w:rPr>
        <w:lastRenderedPageBreak/>
        <w:t>implied or permitted under this</w:t>
      </w:r>
      <w:r w:rsidRPr="00876B39">
        <w:rPr>
          <w:spacing w:val="-4"/>
          <w:sz w:val="20"/>
          <w:szCs w:val="20"/>
        </w:rPr>
        <w:t xml:space="preserve"> </w:t>
      </w:r>
      <w:r w:rsidRPr="00876B39">
        <w:rPr>
          <w:sz w:val="20"/>
          <w:szCs w:val="20"/>
        </w:rPr>
        <w:t>license.</w:t>
      </w:r>
    </w:p>
    <w:p w14:paraId="31F17B7D" w14:textId="77777777" w:rsidR="00876B39" w:rsidRDefault="00591256" w:rsidP="006D6A5C">
      <w:pPr>
        <w:pStyle w:val="ListParagraph"/>
        <w:numPr>
          <w:ilvl w:val="0"/>
          <w:numId w:val="12"/>
        </w:numPr>
        <w:tabs>
          <w:tab w:val="left" w:pos="322"/>
        </w:tabs>
        <w:spacing w:after="60"/>
        <w:ind w:left="720" w:hanging="288"/>
        <w:rPr>
          <w:sz w:val="20"/>
          <w:szCs w:val="20"/>
        </w:rPr>
      </w:pPr>
      <w:r w:rsidRPr="00876B39">
        <w:rPr>
          <w:sz w:val="20"/>
          <w:szCs w:val="20"/>
        </w:rPr>
        <w:t>You will not, without the prior written cons</w:t>
      </w:r>
      <w:r w:rsidR="00876B39">
        <w:rPr>
          <w:sz w:val="20"/>
          <w:szCs w:val="20"/>
        </w:rPr>
        <w:t>ent of Xerox and its licensors:</w:t>
      </w:r>
    </w:p>
    <w:p w14:paraId="181B2AED" w14:textId="77777777" w:rsidR="00876B39" w:rsidRDefault="00591256" w:rsidP="006D6A5C">
      <w:pPr>
        <w:pStyle w:val="ListParagraph"/>
        <w:numPr>
          <w:ilvl w:val="0"/>
          <w:numId w:val="13"/>
        </w:numPr>
        <w:tabs>
          <w:tab w:val="left" w:pos="322"/>
        </w:tabs>
        <w:ind w:left="1296" w:hanging="288"/>
        <w:rPr>
          <w:sz w:val="20"/>
          <w:szCs w:val="20"/>
        </w:rPr>
      </w:pPr>
      <w:r w:rsidRPr="00876B39">
        <w:rPr>
          <w:sz w:val="20"/>
          <w:szCs w:val="20"/>
        </w:rPr>
        <w:t>alter the digital configuration of the FreeFlow Software, or solicit others to cause the same, so as to change the visual appearance of any of t</w:t>
      </w:r>
      <w:r w:rsidR="00876B39">
        <w:rPr>
          <w:sz w:val="20"/>
          <w:szCs w:val="20"/>
        </w:rPr>
        <w:t>he FreeFlow Software output;</w:t>
      </w:r>
    </w:p>
    <w:p w14:paraId="654A88A2" w14:textId="77777777" w:rsidR="00876B39" w:rsidRDefault="00591256" w:rsidP="006D6A5C">
      <w:pPr>
        <w:pStyle w:val="ListParagraph"/>
        <w:numPr>
          <w:ilvl w:val="0"/>
          <w:numId w:val="13"/>
        </w:numPr>
        <w:tabs>
          <w:tab w:val="left" w:pos="322"/>
        </w:tabs>
        <w:spacing w:before="60"/>
        <w:ind w:left="1296" w:hanging="288"/>
        <w:rPr>
          <w:sz w:val="20"/>
          <w:szCs w:val="20"/>
        </w:rPr>
      </w:pPr>
      <w:r w:rsidRPr="006D6A5C">
        <w:rPr>
          <w:sz w:val="20"/>
          <w:szCs w:val="20"/>
        </w:rPr>
        <w:t>use the FreeFlow Software in any way that is not a</w:t>
      </w:r>
      <w:r w:rsidR="00876B39" w:rsidRPr="006D6A5C">
        <w:rPr>
          <w:sz w:val="20"/>
          <w:szCs w:val="20"/>
        </w:rPr>
        <w:t>uthorized by the Agreement;</w:t>
      </w:r>
    </w:p>
    <w:p w14:paraId="77689414" w14:textId="77777777" w:rsidR="00876B39" w:rsidRDefault="00591256" w:rsidP="006D6A5C">
      <w:pPr>
        <w:pStyle w:val="ListParagraph"/>
        <w:numPr>
          <w:ilvl w:val="0"/>
          <w:numId w:val="13"/>
        </w:numPr>
        <w:tabs>
          <w:tab w:val="left" w:pos="322"/>
        </w:tabs>
        <w:spacing w:before="60"/>
        <w:ind w:left="1296" w:hanging="288"/>
        <w:rPr>
          <w:sz w:val="20"/>
          <w:szCs w:val="20"/>
        </w:rPr>
      </w:pPr>
      <w:r w:rsidRPr="006D6A5C">
        <w:rPr>
          <w:sz w:val="20"/>
          <w:szCs w:val="20"/>
        </w:rPr>
        <w:t xml:space="preserve">use the embedded code within the FreeFlow Software outside of the Equipment </w:t>
      </w:r>
      <w:r w:rsidR="006D6A5C" w:rsidRPr="006D6A5C">
        <w:rPr>
          <w:sz w:val="20"/>
          <w:szCs w:val="20"/>
        </w:rPr>
        <w:t xml:space="preserve">on which it was installed or in </w:t>
      </w:r>
      <w:r w:rsidRPr="006D6A5C">
        <w:rPr>
          <w:sz w:val="20"/>
          <w:szCs w:val="20"/>
        </w:rPr>
        <w:t>a stand- alone, time-share or service bureau model;</w:t>
      </w:r>
    </w:p>
    <w:p w14:paraId="0205AC52" w14:textId="77777777" w:rsidR="00876B39" w:rsidRDefault="00591256" w:rsidP="006D6A5C">
      <w:pPr>
        <w:pStyle w:val="ListParagraph"/>
        <w:numPr>
          <w:ilvl w:val="0"/>
          <w:numId w:val="13"/>
        </w:numPr>
        <w:tabs>
          <w:tab w:val="left" w:pos="322"/>
        </w:tabs>
        <w:spacing w:before="60"/>
        <w:ind w:left="1296" w:hanging="288"/>
        <w:rPr>
          <w:sz w:val="20"/>
          <w:szCs w:val="20"/>
        </w:rPr>
      </w:pPr>
      <w:r w:rsidRPr="006D6A5C">
        <w:rPr>
          <w:sz w:val="20"/>
          <w:szCs w:val="20"/>
        </w:rPr>
        <w:t>disclose the results of any performance or benchmark test</w:t>
      </w:r>
      <w:r w:rsidR="00876B39" w:rsidRPr="006D6A5C">
        <w:rPr>
          <w:sz w:val="20"/>
          <w:szCs w:val="20"/>
        </w:rPr>
        <w:t>s of the FreeFlow Software;</w:t>
      </w:r>
    </w:p>
    <w:p w14:paraId="2EB06C61" w14:textId="77777777" w:rsidR="000F4031" w:rsidRDefault="00591256" w:rsidP="006D6A5C">
      <w:pPr>
        <w:pStyle w:val="ListParagraph"/>
        <w:numPr>
          <w:ilvl w:val="0"/>
          <w:numId w:val="13"/>
        </w:numPr>
        <w:tabs>
          <w:tab w:val="left" w:pos="322"/>
        </w:tabs>
        <w:spacing w:before="60"/>
        <w:ind w:left="1296" w:hanging="288"/>
        <w:rPr>
          <w:sz w:val="20"/>
          <w:szCs w:val="20"/>
        </w:rPr>
      </w:pPr>
      <w:r w:rsidRPr="006D6A5C">
        <w:rPr>
          <w:sz w:val="20"/>
          <w:szCs w:val="20"/>
        </w:rPr>
        <w:t>use the</w:t>
      </w:r>
      <w:r w:rsidR="00876B39" w:rsidRPr="006D6A5C">
        <w:rPr>
          <w:sz w:val="20"/>
          <w:szCs w:val="20"/>
        </w:rPr>
        <w:t xml:space="preserve"> </w:t>
      </w:r>
      <w:r w:rsidRPr="006D6A5C">
        <w:rPr>
          <w:sz w:val="20"/>
          <w:szCs w:val="20"/>
        </w:rPr>
        <w:t>FreeFlow Software for any purpose other than to carry out the pu</w:t>
      </w:r>
      <w:r w:rsidR="000F4031" w:rsidRPr="006D6A5C">
        <w:rPr>
          <w:sz w:val="20"/>
          <w:szCs w:val="20"/>
        </w:rPr>
        <w:t>rposes of the Agreement; or</w:t>
      </w:r>
    </w:p>
    <w:p w14:paraId="413A8D9F" w14:textId="77777777" w:rsidR="00354F73" w:rsidRDefault="00591256" w:rsidP="006D6A5C">
      <w:pPr>
        <w:pStyle w:val="ListParagraph"/>
        <w:numPr>
          <w:ilvl w:val="0"/>
          <w:numId w:val="13"/>
        </w:numPr>
        <w:tabs>
          <w:tab w:val="left" w:pos="322"/>
        </w:tabs>
        <w:spacing w:before="60" w:after="120"/>
        <w:ind w:left="1296" w:hanging="288"/>
        <w:rPr>
          <w:sz w:val="20"/>
          <w:szCs w:val="20"/>
        </w:rPr>
      </w:pPr>
      <w:r w:rsidRPr="006D6A5C">
        <w:rPr>
          <w:sz w:val="20"/>
          <w:szCs w:val="20"/>
        </w:rPr>
        <w:t>disclose or otherwise permit any other person or entity access to the object code of the FreeFlow Software.</w:t>
      </w:r>
    </w:p>
    <w:p w14:paraId="7E57E912" w14:textId="77777777" w:rsidR="00354F73" w:rsidRDefault="00591256" w:rsidP="006D6A5C">
      <w:pPr>
        <w:pStyle w:val="ListParagraph"/>
        <w:numPr>
          <w:ilvl w:val="0"/>
          <w:numId w:val="12"/>
        </w:numPr>
        <w:tabs>
          <w:tab w:val="left" w:pos="322"/>
        </w:tabs>
        <w:spacing w:after="120"/>
        <w:ind w:left="720" w:hanging="288"/>
        <w:rPr>
          <w:sz w:val="20"/>
          <w:szCs w:val="20"/>
        </w:rPr>
      </w:pPr>
      <w:r w:rsidRPr="00876B39">
        <w:rPr>
          <w:sz w:val="20"/>
          <w:szCs w:val="20"/>
        </w:rPr>
        <w:t>FreeFlow Process Manager contains Oracle Database Express Edition database software and documentation licensed from Oracle America, Inc. ("Oracle"). Oracle grants you a nonexclusive, nontransferable limited license to use Database Express Edition for purposes of developing, prototyping and running your applications for your own internal data processing operations. Database Express Edition may be installed on a multiple CPU server, but may only be executed on one processor in any server. Upon not less than 45 days prior written notice, Xerox and/or its licensors may, at</w:t>
      </w:r>
      <w:r w:rsidRPr="000F4031">
        <w:rPr>
          <w:sz w:val="20"/>
          <w:szCs w:val="20"/>
        </w:rPr>
        <w:t xml:space="preserve"> </w:t>
      </w:r>
      <w:r w:rsidRPr="00876B39">
        <w:rPr>
          <w:sz w:val="20"/>
          <w:szCs w:val="20"/>
        </w:rPr>
        <w:t>their</w:t>
      </w:r>
      <w:r w:rsidR="00876B39" w:rsidRPr="00876B39">
        <w:rPr>
          <w:sz w:val="20"/>
          <w:szCs w:val="20"/>
        </w:rPr>
        <w:t xml:space="preserve"> </w:t>
      </w:r>
      <w:r w:rsidRPr="00876B39">
        <w:rPr>
          <w:sz w:val="20"/>
          <w:szCs w:val="20"/>
        </w:rPr>
        <w:t>expense, directly or through an independent auditor, audit your use of FreeFlow Process Manager and all relevant records not more than once annually. Any such audit will be conducted at a mutually agreed location and will not unreasonably interfere with your business activities.</w:t>
      </w:r>
    </w:p>
    <w:p w14:paraId="0D954F5A" w14:textId="00E0065D" w:rsidR="00876B39" w:rsidRDefault="00591256" w:rsidP="006D6A5C">
      <w:pPr>
        <w:pStyle w:val="ListParagraph"/>
        <w:numPr>
          <w:ilvl w:val="0"/>
          <w:numId w:val="12"/>
        </w:numPr>
        <w:tabs>
          <w:tab w:val="left" w:pos="322"/>
        </w:tabs>
        <w:spacing w:after="120"/>
        <w:ind w:left="720" w:hanging="288"/>
        <w:rPr>
          <w:sz w:val="20"/>
          <w:szCs w:val="20"/>
        </w:rPr>
      </w:pPr>
      <w:r w:rsidRPr="00876B39">
        <w:rPr>
          <w:sz w:val="20"/>
          <w:szCs w:val="20"/>
        </w:rPr>
        <w:t xml:space="preserve">The Copyright Management feature of FreeFlow Makeready ("FFCM") contains the optional Copyright Clearance Center, Inc. ("CCC") copyright licensing services feature of FFCM ("CCC Service"). If this option is ordered, you will comply with any applicable terms and conditions contained on the CCC website, </w:t>
      </w:r>
      <w:hyperlink r:id="rId8">
        <w:r w:rsidRPr="00876B39">
          <w:rPr>
            <w:sz w:val="20"/>
            <w:szCs w:val="20"/>
          </w:rPr>
          <w:t>www.copyright.com,</w:t>
        </w:r>
      </w:hyperlink>
      <w:r w:rsidRPr="00876B39">
        <w:rPr>
          <w:sz w:val="20"/>
          <w:szCs w:val="20"/>
        </w:rPr>
        <w:t xml:space="preserve"> and any other rights holder terms governing use of materials, which are accessible in FFCM. If CCC terminates Xerox's right to offer access to the CCC Service through FFCM, Xerox may, upon written notice and without any liability to you, terminate your right to access the CCC Service through FFCM. THE CCC SERVICE IS PROVIDED "AS IS," WITHOUT ANY WARRANTIES, WHETHER EXPRESS OR IMPLIED. XEROX DISCLAIMS ALL IMPLIED WARRANTIES, INCLUDING WITHOUT LIMITATION THE IMPLIED WARRANTIES OF NONINFRINGEMENT, MERCHANTABILITY AND FITNESS FOR A PARTICULAR PURPOSE. </w:t>
      </w:r>
    </w:p>
    <w:p w14:paraId="3411F441" w14:textId="77777777" w:rsidR="000F4031" w:rsidRDefault="00591256" w:rsidP="006D6A5C">
      <w:pPr>
        <w:pStyle w:val="ListParagraph"/>
        <w:numPr>
          <w:ilvl w:val="0"/>
          <w:numId w:val="12"/>
        </w:numPr>
        <w:tabs>
          <w:tab w:val="left" w:pos="322"/>
        </w:tabs>
        <w:spacing w:after="60"/>
        <w:ind w:left="720" w:hanging="288"/>
        <w:rPr>
          <w:sz w:val="20"/>
          <w:szCs w:val="20"/>
        </w:rPr>
      </w:pPr>
      <w:r w:rsidRPr="00876B39">
        <w:rPr>
          <w:sz w:val="20"/>
          <w:szCs w:val="20"/>
        </w:rPr>
        <w:t>If</w:t>
      </w:r>
      <w:r w:rsidRPr="000F4031">
        <w:rPr>
          <w:sz w:val="20"/>
          <w:szCs w:val="20"/>
        </w:rPr>
        <w:t xml:space="preserve"> </w:t>
      </w:r>
      <w:r w:rsidRPr="00876B39">
        <w:rPr>
          <w:sz w:val="20"/>
          <w:szCs w:val="20"/>
        </w:rPr>
        <w:t>you</w:t>
      </w:r>
      <w:r w:rsidRPr="000F4031">
        <w:rPr>
          <w:sz w:val="20"/>
          <w:szCs w:val="20"/>
        </w:rPr>
        <w:t xml:space="preserve"> </w:t>
      </w:r>
      <w:r w:rsidRPr="00876B39">
        <w:rPr>
          <w:sz w:val="20"/>
          <w:szCs w:val="20"/>
        </w:rPr>
        <w:t>install</w:t>
      </w:r>
      <w:r w:rsidRPr="000F4031">
        <w:rPr>
          <w:sz w:val="20"/>
          <w:szCs w:val="20"/>
        </w:rPr>
        <w:t xml:space="preserve"> </w:t>
      </w:r>
      <w:r w:rsidRPr="00876B39">
        <w:rPr>
          <w:sz w:val="20"/>
          <w:szCs w:val="20"/>
        </w:rPr>
        <w:t>FreeFlow</w:t>
      </w:r>
      <w:r w:rsidRPr="000F4031">
        <w:rPr>
          <w:sz w:val="20"/>
          <w:szCs w:val="20"/>
        </w:rPr>
        <w:t xml:space="preserve"> </w:t>
      </w:r>
      <w:r w:rsidRPr="00876B39">
        <w:rPr>
          <w:sz w:val="20"/>
          <w:szCs w:val="20"/>
        </w:rPr>
        <w:t>Application</w:t>
      </w:r>
      <w:r w:rsidRPr="000F4031">
        <w:rPr>
          <w:sz w:val="20"/>
          <w:szCs w:val="20"/>
        </w:rPr>
        <w:t xml:space="preserve"> </w:t>
      </w:r>
      <w:r w:rsidRPr="00876B39">
        <w:rPr>
          <w:sz w:val="20"/>
          <w:szCs w:val="20"/>
        </w:rPr>
        <w:t>Software</w:t>
      </w:r>
      <w:r w:rsidRPr="000F4031">
        <w:rPr>
          <w:sz w:val="20"/>
          <w:szCs w:val="20"/>
        </w:rPr>
        <w:t xml:space="preserve"> </w:t>
      </w:r>
      <w:r w:rsidRPr="00876B39">
        <w:rPr>
          <w:sz w:val="20"/>
          <w:szCs w:val="20"/>
        </w:rPr>
        <w:t>on</w:t>
      </w:r>
      <w:r w:rsidRPr="000F4031">
        <w:rPr>
          <w:sz w:val="20"/>
          <w:szCs w:val="20"/>
        </w:rPr>
        <w:t xml:space="preserve"> </w:t>
      </w:r>
      <w:r w:rsidRPr="00876B39">
        <w:rPr>
          <w:sz w:val="20"/>
          <w:szCs w:val="20"/>
        </w:rPr>
        <w:t>a</w:t>
      </w:r>
      <w:r w:rsidRPr="000F4031">
        <w:rPr>
          <w:sz w:val="20"/>
          <w:szCs w:val="20"/>
        </w:rPr>
        <w:t xml:space="preserve"> </w:t>
      </w:r>
      <w:r w:rsidRPr="00876B39">
        <w:rPr>
          <w:sz w:val="20"/>
          <w:szCs w:val="20"/>
        </w:rPr>
        <w:t>computer</w:t>
      </w:r>
      <w:r w:rsidRPr="000F4031">
        <w:rPr>
          <w:sz w:val="20"/>
          <w:szCs w:val="20"/>
        </w:rPr>
        <w:t xml:space="preserve"> </w:t>
      </w:r>
      <w:r w:rsidRPr="00876B39">
        <w:rPr>
          <w:sz w:val="20"/>
          <w:szCs w:val="20"/>
        </w:rPr>
        <w:t>that</w:t>
      </w:r>
      <w:r w:rsidRPr="000F4031">
        <w:rPr>
          <w:sz w:val="20"/>
          <w:szCs w:val="20"/>
        </w:rPr>
        <w:t xml:space="preserve"> </w:t>
      </w:r>
      <w:r w:rsidRPr="00876B39">
        <w:rPr>
          <w:sz w:val="20"/>
          <w:szCs w:val="20"/>
        </w:rPr>
        <w:t>you</w:t>
      </w:r>
      <w:r w:rsidRPr="000F4031">
        <w:rPr>
          <w:sz w:val="20"/>
          <w:szCs w:val="20"/>
        </w:rPr>
        <w:t xml:space="preserve"> </w:t>
      </w:r>
      <w:r w:rsidR="00876B39" w:rsidRPr="00876B39">
        <w:rPr>
          <w:sz w:val="20"/>
          <w:szCs w:val="20"/>
        </w:rPr>
        <w:t>supply, the</w:t>
      </w:r>
      <w:r w:rsidR="000F4031">
        <w:rPr>
          <w:sz w:val="20"/>
          <w:szCs w:val="20"/>
        </w:rPr>
        <w:t xml:space="preserve"> following terms apply:</w:t>
      </w:r>
    </w:p>
    <w:p w14:paraId="2FD4432C" w14:textId="77777777" w:rsidR="00876B39" w:rsidRDefault="00591256" w:rsidP="006D6A5C">
      <w:pPr>
        <w:pStyle w:val="ListParagraph"/>
        <w:numPr>
          <w:ilvl w:val="0"/>
          <w:numId w:val="14"/>
        </w:numPr>
        <w:tabs>
          <w:tab w:val="left" w:pos="322"/>
        </w:tabs>
        <w:spacing w:after="60"/>
        <w:ind w:left="1368"/>
        <w:rPr>
          <w:sz w:val="20"/>
          <w:szCs w:val="20"/>
        </w:rPr>
      </w:pPr>
      <w:r w:rsidRPr="00876B39">
        <w:rPr>
          <w:sz w:val="20"/>
          <w:szCs w:val="20"/>
        </w:rPr>
        <w:t>Xerox will only be obligated to support FreeFlow Application Software if it is installed on hardware and software meeting Xerox's published specification</w:t>
      </w:r>
      <w:r w:rsidR="00876B39">
        <w:rPr>
          <w:sz w:val="20"/>
          <w:szCs w:val="20"/>
        </w:rPr>
        <w:t>s (collectively "Workstation");</w:t>
      </w:r>
    </w:p>
    <w:p w14:paraId="7D21B57D" w14:textId="645AA488" w:rsidR="00876B39" w:rsidRDefault="00591256" w:rsidP="006D6A5C">
      <w:pPr>
        <w:pStyle w:val="ListParagraph"/>
        <w:numPr>
          <w:ilvl w:val="0"/>
          <w:numId w:val="14"/>
        </w:numPr>
        <w:tabs>
          <w:tab w:val="left" w:pos="322"/>
        </w:tabs>
        <w:spacing w:after="60"/>
        <w:ind w:left="1368"/>
        <w:rPr>
          <w:sz w:val="20"/>
          <w:szCs w:val="20"/>
        </w:rPr>
      </w:pPr>
      <w:r w:rsidRPr="006D6A5C">
        <w:rPr>
          <w:sz w:val="20"/>
          <w:szCs w:val="20"/>
        </w:rPr>
        <w:t>IF YOU USE FREEFLOW APPLICATION SOFTWARE WITH ANY HARDWARE OR SOFTWARE OTHER THAN A WORKSTATION, ALL REPRESENTATIONS AND WARRANTIES ACCOMPANYING SUCH FREEFLOW APPLICATION SOFTWARE WILL BE VOID AND ANY SUPPORT/MAINTENANCE YOU CONTRACT FOR IN CONNECTION WITH SUCH FREEFLOW APPLICATION SOFTWARE WILL BE VOIDABLE</w:t>
      </w:r>
      <w:r w:rsidR="00876B39" w:rsidRPr="006D6A5C">
        <w:rPr>
          <w:sz w:val="20"/>
          <w:szCs w:val="20"/>
        </w:rPr>
        <w:t>; and</w:t>
      </w:r>
    </w:p>
    <w:p w14:paraId="113C79B2" w14:textId="77777777" w:rsidR="000F4031" w:rsidRPr="006D6A5C" w:rsidRDefault="00591256" w:rsidP="006D6A5C">
      <w:pPr>
        <w:pStyle w:val="ListParagraph"/>
        <w:numPr>
          <w:ilvl w:val="0"/>
          <w:numId w:val="14"/>
        </w:numPr>
        <w:tabs>
          <w:tab w:val="left" w:pos="322"/>
        </w:tabs>
        <w:ind w:left="1368"/>
        <w:rPr>
          <w:sz w:val="20"/>
          <w:szCs w:val="20"/>
        </w:rPr>
      </w:pPr>
      <w:r w:rsidRPr="006D6A5C">
        <w:rPr>
          <w:sz w:val="20"/>
          <w:szCs w:val="20"/>
        </w:rPr>
        <w:t xml:space="preserve">you </w:t>
      </w:r>
      <w:r w:rsidR="000F4031" w:rsidRPr="006D6A5C">
        <w:rPr>
          <w:sz w:val="20"/>
          <w:szCs w:val="20"/>
        </w:rPr>
        <w:t>are solely responsible for:</w:t>
      </w:r>
    </w:p>
    <w:p w14:paraId="581549C0" w14:textId="77777777" w:rsidR="000F4031" w:rsidRDefault="00591256" w:rsidP="006D6A5C">
      <w:pPr>
        <w:pStyle w:val="ListParagraph"/>
        <w:numPr>
          <w:ilvl w:val="0"/>
          <w:numId w:val="8"/>
        </w:numPr>
        <w:tabs>
          <w:tab w:val="left" w:pos="322"/>
        </w:tabs>
        <w:spacing w:before="60"/>
        <w:ind w:left="1944"/>
        <w:rPr>
          <w:sz w:val="20"/>
          <w:szCs w:val="20"/>
        </w:rPr>
      </w:pPr>
      <w:r w:rsidRPr="000F4031">
        <w:rPr>
          <w:sz w:val="20"/>
          <w:szCs w:val="20"/>
        </w:rPr>
        <w:t>the acquisition and support, including any and all associated costs, charges and other fees, of any</w:t>
      </w:r>
      <w:r w:rsidR="00876B39" w:rsidRPr="000F4031">
        <w:rPr>
          <w:sz w:val="20"/>
          <w:szCs w:val="20"/>
        </w:rPr>
        <w:t xml:space="preserve"> </w:t>
      </w:r>
      <w:r w:rsidR="000F4031">
        <w:rPr>
          <w:sz w:val="20"/>
          <w:szCs w:val="20"/>
        </w:rPr>
        <w:t>Workstation you supply;</w:t>
      </w:r>
    </w:p>
    <w:p w14:paraId="43BB2B68" w14:textId="77777777" w:rsidR="000F4031" w:rsidRDefault="00591256" w:rsidP="006D6A5C">
      <w:pPr>
        <w:pStyle w:val="ListParagraph"/>
        <w:numPr>
          <w:ilvl w:val="0"/>
          <w:numId w:val="8"/>
        </w:numPr>
        <w:tabs>
          <w:tab w:val="left" w:pos="322"/>
        </w:tabs>
        <w:spacing w:before="60"/>
        <w:ind w:left="1944"/>
        <w:rPr>
          <w:sz w:val="20"/>
          <w:szCs w:val="20"/>
        </w:rPr>
      </w:pPr>
      <w:r w:rsidRPr="006D6A5C">
        <w:rPr>
          <w:sz w:val="20"/>
          <w:szCs w:val="20"/>
        </w:rPr>
        <w:t>compliance with all terms governing such Workstation acquisition and support, including terms applicable to any non-Xerox software associated w</w:t>
      </w:r>
      <w:r w:rsidR="000F4031" w:rsidRPr="006D6A5C">
        <w:rPr>
          <w:sz w:val="20"/>
          <w:szCs w:val="20"/>
        </w:rPr>
        <w:t>ith such Workstation; and</w:t>
      </w:r>
    </w:p>
    <w:p w14:paraId="7E7D1AC1" w14:textId="77777777" w:rsidR="00354F73" w:rsidRPr="006D6A5C" w:rsidRDefault="00591256" w:rsidP="004203FE">
      <w:pPr>
        <w:pStyle w:val="ListParagraph"/>
        <w:numPr>
          <w:ilvl w:val="0"/>
          <w:numId w:val="8"/>
        </w:numPr>
        <w:tabs>
          <w:tab w:val="left" w:pos="322"/>
        </w:tabs>
        <w:spacing w:before="60" w:after="120"/>
        <w:ind w:left="1944"/>
        <w:rPr>
          <w:sz w:val="20"/>
          <w:szCs w:val="20"/>
        </w:rPr>
      </w:pPr>
      <w:r w:rsidRPr="006D6A5C">
        <w:rPr>
          <w:sz w:val="20"/>
          <w:szCs w:val="20"/>
        </w:rPr>
        <w:t>ensuring that such Workstation meets Xerox's published specifications.</w:t>
      </w:r>
    </w:p>
    <w:p w14:paraId="2078667C" w14:textId="77777777" w:rsidR="000F4031" w:rsidRPr="00391C9A" w:rsidRDefault="00591256" w:rsidP="006D6A5C">
      <w:pPr>
        <w:pStyle w:val="ListParagraph"/>
        <w:numPr>
          <w:ilvl w:val="0"/>
          <w:numId w:val="12"/>
        </w:numPr>
        <w:tabs>
          <w:tab w:val="left" w:pos="302"/>
        </w:tabs>
        <w:spacing w:after="60"/>
        <w:ind w:left="720" w:hanging="288"/>
        <w:rPr>
          <w:sz w:val="20"/>
          <w:szCs w:val="20"/>
        </w:rPr>
      </w:pPr>
      <w:r w:rsidRPr="00391C9A">
        <w:rPr>
          <w:sz w:val="20"/>
          <w:szCs w:val="20"/>
        </w:rPr>
        <w:t xml:space="preserve">The following terms apply to FreeFlow Software licensed to U.S. government </w:t>
      </w:r>
      <w:r w:rsidR="00391C9A">
        <w:rPr>
          <w:sz w:val="20"/>
          <w:szCs w:val="20"/>
        </w:rPr>
        <w:t xml:space="preserve">customers. </w:t>
      </w:r>
      <w:r w:rsidRPr="00391C9A">
        <w:rPr>
          <w:sz w:val="20"/>
          <w:szCs w:val="20"/>
        </w:rPr>
        <w:t>Java technology contained in FreeFlow Software is subject to:</w:t>
      </w:r>
    </w:p>
    <w:p w14:paraId="46006D00" w14:textId="77777777" w:rsidR="000F4031" w:rsidRDefault="00591256" w:rsidP="006D6A5C">
      <w:pPr>
        <w:pStyle w:val="ListParagraph"/>
        <w:numPr>
          <w:ilvl w:val="0"/>
          <w:numId w:val="15"/>
        </w:numPr>
        <w:tabs>
          <w:tab w:val="left" w:pos="302"/>
        </w:tabs>
        <w:spacing w:after="60"/>
        <w:ind w:left="1368"/>
        <w:rPr>
          <w:sz w:val="20"/>
          <w:szCs w:val="20"/>
        </w:rPr>
      </w:pPr>
      <w:r w:rsidRPr="00876B39">
        <w:rPr>
          <w:sz w:val="20"/>
          <w:szCs w:val="20"/>
        </w:rPr>
        <w:t>FAR</w:t>
      </w:r>
      <w:r w:rsidRPr="000F4031">
        <w:rPr>
          <w:sz w:val="20"/>
          <w:szCs w:val="20"/>
        </w:rPr>
        <w:t xml:space="preserve"> </w:t>
      </w:r>
      <w:r w:rsidRPr="00876B39">
        <w:rPr>
          <w:sz w:val="20"/>
          <w:szCs w:val="20"/>
        </w:rPr>
        <w:t>52.227-</w:t>
      </w:r>
      <w:r w:rsidRPr="000F4031">
        <w:rPr>
          <w:sz w:val="20"/>
          <w:szCs w:val="20"/>
        </w:rPr>
        <w:t xml:space="preserve"> </w:t>
      </w:r>
      <w:r w:rsidRPr="00876B39">
        <w:rPr>
          <w:sz w:val="20"/>
          <w:szCs w:val="20"/>
        </w:rPr>
        <w:t>14(g)(2)</w:t>
      </w:r>
      <w:r w:rsidRPr="000F4031">
        <w:rPr>
          <w:sz w:val="20"/>
          <w:szCs w:val="20"/>
        </w:rPr>
        <w:t xml:space="preserve"> </w:t>
      </w:r>
      <w:r w:rsidRPr="00876B39">
        <w:rPr>
          <w:sz w:val="20"/>
          <w:szCs w:val="20"/>
        </w:rPr>
        <w:t>and</w:t>
      </w:r>
      <w:r w:rsidRPr="000F4031">
        <w:rPr>
          <w:sz w:val="20"/>
          <w:szCs w:val="20"/>
        </w:rPr>
        <w:t xml:space="preserve"> </w:t>
      </w:r>
      <w:r w:rsidRPr="00876B39">
        <w:rPr>
          <w:sz w:val="20"/>
          <w:szCs w:val="20"/>
        </w:rPr>
        <w:t>FAR</w:t>
      </w:r>
      <w:r w:rsidRPr="000F4031">
        <w:rPr>
          <w:sz w:val="20"/>
          <w:szCs w:val="20"/>
        </w:rPr>
        <w:t xml:space="preserve"> </w:t>
      </w:r>
      <w:r w:rsidRPr="00876B39">
        <w:rPr>
          <w:sz w:val="20"/>
          <w:szCs w:val="20"/>
        </w:rPr>
        <w:t>52.227-19;</w:t>
      </w:r>
      <w:r w:rsidRPr="000F4031">
        <w:rPr>
          <w:sz w:val="20"/>
          <w:szCs w:val="20"/>
        </w:rPr>
        <w:t xml:space="preserve"> </w:t>
      </w:r>
      <w:r w:rsidRPr="00876B39">
        <w:rPr>
          <w:sz w:val="20"/>
          <w:szCs w:val="20"/>
        </w:rPr>
        <w:t>and</w:t>
      </w:r>
    </w:p>
    <w:p w14:paraId="19627D8E" w14:textId="77777777" w:rsidR="00354F73" w:rsidRPr="006D6A5C" w:rsidRDefault="00591256" w:rsidP="006D6A5C">
      <w:pPr>
        <w:pStyle w:val="ListParagraph"/>
        <w:numPr>
          <w:ilvl w:val="0"/>
          <w:numId w:val="15"/>
        </w:numPr>
        <w:tabs>
          <w:tab w:val="left" w:pos="302"/>
        </w:tabs>
        <w:spacing w:after="60"/>
        <w:ind w:left="1368"/>
        <w:rPr>
          <w:sz w:val="20"/>
          <w:szCs w:val="20"/>
        </w:rPr>
      </w:pPr>
      <w:r w:rsidRPr="006D6A5C">
        <w:rPr>
          <w:sz w:val="20"/>
          <w:szCs w:val="20"/>
        </w:rPr>
        <w:t>if licensed to the U.S. Department of Defense ("DOD"), DFARS 252.227-7015(b) and DFARS 227.7202-3(a).</w:t>
      </w:r>
    </w:p>
    <w:p w14:paraId="72778148" w14:textId="77777777" w:rsidR="00354F73" w:rsidRDefault="00591256" w:rsidP="006D6A5C">
      <w:pPr>
        <w:pStyle w:val="ListParagraph"/>
        <w:numPr>
          <w:ilvl w:val="0"/>
          <w:numId w:val="16"/>
        </w:numPr>
        <w:tabs>
          <w:tab w:val="left" w:pos="302"/>
        </w:tabs>
        <w:spacing w:before="60"/>
        <w:ind w:left="1944"/>
        <w:rPr>
          <w:sz w:val="20"/>
          <w:szCs w:val="20"/>
        </w:rPr>
      </w:pPr>
      <w:r w:rsidRPr="00876B39">
        <w:rPr>
          <w:sz w:val="20"/>
          <w:szCs w:val="20"/>
        </w:rPr>
        <w:t>Adobe Software is a "commercial item," as that term is defined at FAR 2.101, consisting of "commercial computer software" and "commercial computer software documentation" as such terms are used in FAR 12.212, and is licensed to civilian agencies consistent with the policy set forth in FAR 12.212, or to the DOD consistent with the policies set forth in DFARS</w:t>
      </w:r>
      <w:r w:rsidRPr="000F4031">
        <w:rPr>
          <w:sz w:val="20"/>
          <w:szCs w:val="20"/>
        </w:rPr>
        <w:t xml:space="preserve"> </w:t>
      </w:r>
      <w:r w:rsidRPr="00876B39">
        <w:rPr>
          <w:sz w:val="20"/>
          <w:szCs w:val="20"/>
        </w:rPr>
        <w:t>227.7202-1.</w:t>
      </w:r>
    </w:p>
    <w:p w14:paraId="6DA7990B" w14:textId="77777777" w:rsidR="00354F73" w:rsidRPr="006D6A5C" w:rsidRDefault="00591256" w:rsidP="004203FE">
      <w:pPr>
        <w:pStyle w:val="ListParagraph"/>
        <w:numPr>
          <w:ilvl w:val="0"/>
          <w:numId w:val="16"/>
        </w:numPr>
        <w:tabs>
          <w:tab w:val="left" w:pos="302"/>
        </w:tabs>
        <w:spacing w:before="60" w:after="120"/>
        <w:ind w:left="1944"/>
        <w:rPr>
          <w:sz w:val="20"/>
          <w:szCs w:val="20"/>
        </w:rPr>
      </w:pPr>
      <w:r w:rsidRPr="006D6A5C">
        <w:rPr>
          <w:sz w:val="20"/>
          <w:szCs w:val="20"/>
        </w:rPr>
        <w:t>Oracle Database Express Edition is "commercial computer software" and is subject to the restrictions as set forth in the Rights in Technical Data and Computer Software Clauses in DFARS 252.227-7015 and FAR 52.227-19 as applicable.</w:t>
      </w:r>
    </w:p>
    <w:p w14:paraId="51A73ECB" w14:textId="77777777" w:rsidR="00354F73" w:rsidRPr="000F4031" w:rsidRDefault="00591256" w:rsidP="004203FE">
      <w:pPr>
        <w:pStyle w:val="ListParagraph"/>
        <w:numPr>
          <w:ilvl w:val="0"/>
          <w:numId w:val="12"/>
        </w:numPr>
        <w:tabs>
          <w:tab w:val="left" w:pos="302"/>
        </w:tabs>
        <w:spacing w:after="60"/>
        <w:ind w:left="720" w:hanging="288"/>
        <w:rPr>
          <w:sz w:val="20"/>
          <w:szCs w:val="20"/>
        </w:rPr>
      </w:pPr>
      <w:r w:rsidRPr="000F4031">
        <w:rPr>
          <w:sz w:val="20"/>
          <w:szCs w:val="20"/>
        </w:rPr>
        <w:lastRenderedPageBreak/>
        <w:t>FreeFlow Software may include Microsoft Embedded Standard operating system software to which the following terms apply:</w:t>
      </w:r>
    </w:p>
    <w:p w14:paraId="1820DF12" w14:textId="77777777" w:rsidR="00354F73" w:rsidRDefault="00591256" w:rsidP="004203FE">
      <w:pPr>
        <w:pStyle w:val="ListParagraph"/>
        <w:numPr>
          <w:ilvl w:val="0"/>
          <w:numId w:val="17"/>
        </w:numPr>
        <w:tabs>
          <w:tab w:val="left" w:pos="302"/>
        </w:tabs>
        <w:spacing w:after="60"/>
        <w:ind w:left="1368"/>
        <w:rPr>
          <w:sz w:val="20"/>
          <w:szCs w:val="20"/>
        </w:rPr>
      </w:pPr>
      <w:r w:rsidRPr="00876B39">
        <w:rPr>
          <w:sz w:val="20"/>
          <w:szCs w:val="20"/>
        </w:rPr>
        <w:t xml:space="preserve">You agree to and will comply with the Microsoft terms and conditions contained on the Xerox website, </w:t>
      </w:r>
      <w:hyperlink r:id="rId9">
        <w:r w:rsidRPr="00876B39">
          <w:rPr>
            <w:sz w:val="20"/>
            <w:szCs w:val="20"/>
          </w:rPr>
          <w:t>http://www.support.xerox.com/support/open-source-disclosures/fileredirect/</w:t>
        </w:r>
      </w:hyperlink>
      <w:r w:rsidRPr="00876B39">
        <w:rPr>
          <w:sz w:val="20"/>
          <w:szCs w:val="20"/>
        </w:rPr>
        <w:t xml:space="preserve"> enus.html?&amp;contentId=136023.</w:t>
      </w:r>
    </w:p>
    <w:p w14:paraId="401A698A" w14:textId="77777777" w:rsidR="00876B39" w:rsidRDefault="00591256" w:rsidP="004203FE">
      <w:pPr>
        <w:pStyle w:val="ListParagraph"/>
        <w:numPr>
          <w:ilvl w:val="0"/>
          <w:numId w:val="17"/>
        </w:numPr>
        <w:tabs>
          <w:tab w:val="left" w:pos="302"/>
        </w:tabs>
        <w:spacing w:after="60"/>
        <w:ind w:left="1368"/>
        <w:rPr>
          <w:sz w:val="20"/>
          <w:szCs w:val="20"/>
        </w:rPr>
      </w:pPr>
      <w:r w:rsidRPr="006D6A5C">
        <w:rPr>
          <w:sz w:val="20"/>
          <w:szCs w:val="20"/>
        </w:rPr>
        <w:t>Any updates, upgrades or reinstallations of Microsoft Embedded Standard operating system software are subject to the terms and conditions of this license and may be used only with the Xerox-brand Equipment with which it was delivered. Any other use of the software is strictly prohibited and m</w:t>
      </w:r>
      <w:r w:rsidR="00876B39" w:rsidRPr="006D6A5C">
        <w:rPr>
          <w:sz w:val="20"/>
          <w:szCs w:val="20"/>
        </w:rPr>
        <w:t>ay subject you to legal action.</w:t>
      </w:r>
    </w:p>
    <w:p w14:paraId="504FAF38" w14:textId="77777777" w:rsidR="00354F73" w:rsidRDefault="00591256" w:rsidP="004203FE">
      <w:pPr>
        <w:pStyle w:val="ListParagraph"/>
        <w:numPr>
          <w:ilvl w:val="0"/>
          <w:numId w:val="17"/>
        </w:numPr>
        <w:tabs>
          <w:tab w:val="left" w:pos="302"/>
        </w:tabs>
        <w:spacing w:after="60"/>
        <w:ind w:left="1368"/>
        <w:rPr>
          <w:sz w:val="20"/>
          <w:szCs w:val="20"/>
        </w:rPr>
      </w:pPr>
      <w:r w:rsidRPr="006D6A5C">
        <w:rPr>
          <w:sz w:val="20"/>
          <w:szCs w:val="20"/>
        </w:rPr>
        <w:t>If the Equipment includes Remote Desktop Services that enable it to connect to and access applications running on a server, such as Remote Desktop Protocol,</w:t>
      </w:r>
      <w:r w:rsidRPr="006D6A5C">
        <w:rPr>
          <w:spacing w:val="-13"/>
          <w:sz w:val="20"/>
          <w:szCs w:val="20"/>
        </w:rPr>
        <w:t xml:space="preserve"> </w:t>
      </w:r>
      <w:r w:rsidRPr="006D6A5C">
        <w:rPr>
          <w:sz w:val="20"/>
          <w:szCs w:val="20"/>
        </w:rPr>
        <w:t>Remote</w:t>
      </w:r>
      <w:r w:rsidR="00876B39" w:rsidRPr="006D6A5C">
        <w:rPr>
          <w:sz w:val="20"/>
          <w:szCs w:val="20"/>
        </w:rPr>
        <w:t xml:space="preserve"> </w:t>
      </w:r>
      <w:r w:rsidRPr="006D6A5C">
        <w:rPr>
          <w:sz w:val="20"/>
          <w:szCs w:val="20"/>
        </w:rPr>
        <w:t>Assistance and Independent Computer Architecture, such Desktop Functions will not run locally on the system, except for network/Internet browsing functions.</w:t>
      </w:r>
    </w:p>
    <w:p w14:paraId="1C01DA40" w14:textId="77777777" w:rsidR="00354F73" w:rsidRDefault="00591256" w:rsidP="004203FE">
      <w:pPr>
        <w:pStyle w:val="ListParagraph"/>
        <w:numPr>
          <w:ilvl w:val="0"/>
          <w:numId w:val="17"/>
        </w:numPr>
        <w:tabs>
          <w:tab w:val="left" w:pos="302"/>
        </w:tabs>
        <w:spacing w:after="60"/>
        <w:ind w:left="1368"/>
        <w:rPr>
          <w:sz w:val="20"/>
          <w:szCs w:val="20"/>
        </w:rPr>
      </w:pPr>
      <w:r w:rsidRPr="006D6A5C">
        <w:rPr>
          <w:sz w:val="20"/>
          <w:szCs w:val="20"/>
        </w:rPr>
        <w:t>The FreeFlow Base Software contains the Windows Update feature that allows you to access Windows Updates directly through the Microsoft Corp. Windows Update server. If you elect to activate this feature, any Windows Updates installed by you using the Windows Update feature may not function on the Equipment or may cause malfunctions or cause harm to the Equipment. Before you download a Windows Update using this feature, you should contact Xerox so that Xerox can ensure that</w:t>
      </w:r>
      <w:r w:rsidRPr="006D6A5C">
        <w:rPr>
          <w:spacing w:val="-24"/>
          <w:sz w:val="20"/>
          <w:szCs w:val="20"/>
        </w:rPr>
        <w:t xml:space="preserve"> </w:t>
      </w:r>
      <w:r w:rsidRPr="006D6A5C">
        <w:rPr>
          <w:sz w:val="20"/>
          <w:szCs w:val="20"/>
        </w:rPr>
        <w:t>each</w:t>
      </w:r>
      <w:r w:rsidR="00876B39" w:rsidRPr="006D6A5C">
        <w:rPr>
          <w:sz w:val="20"/>
          <w:szCs w:val="20"/>
        </w:rPr>
        <w:t xml:space="preserve"> </w:t>
      </w:r>
      <w:r w:rsidRPr="006D6A5C">
        <w:rPr>
          <w:sz w:val="20"/>
          <w:szCs w:val="20"/>
        </w:rPr>
        <w:t>Windows Update is suitable for use on the Equipment and provide any necessary technical support for the installation and use of such Windows Update.</w:t>
      </w:r>
    </w:p>
    <w:p w14:paraId="75E0263C" w14:textId="77777777" w:rsidR="008639C9" w:rsidRPr="008639C9" w:rsidRDefault="008639C9" w:rsidP="008639C9">
      <w:pPr>
        <w:tabs>
          <w:tab w:val="left" w:pos="302"/>
        </w:tabs>
        <w:spacing w:after="60"/>
        <w:rPr>
          <w:sz w:val="20"/>
          <w:szCs w:val="20"/>
        </w:rPr>
      </w:pPr>
    </w:p>
    <w:p w14:paraId="57D09BC5" w14:textId="2A679A7F" w:rsidR="008639C9" w:rsidRPr="0084509E" w:rsidRDefault="008639C9" w:rsidP="008639C9">
      <w:pPr>
        <w:pStyle w:val="BodyTextIndent"/>
        <w:widowControl/>
        <w:tabs>
          <w:tab w:val="center" w:pos="400"/>
        </w:tabs>
        <w:autoSpaceDE/>
        <w:autoSpaceDN/>
        <w:spacing w:before="60" w:after="0"/>
        <w:jc w:val="both"/>
        <w:rPr>
          <w:sz w:val="20"/>
        </w:rPr>
      </w:pPr>
      <w:r w:rsidRPr="00AB3A8C">
        <w:rPr>
          <w:b/>
          <w:sz w:val="20"/>
        </w:rPr>
        <w:t>MATHWORKS SOFTWARE LICENSE</w:t>
      </w:r>
      <w:r>
        <w:rPr>
          <w:b/>
          <w:sz w:val="20"/>
        </w:rPr>
        <w:t xml:space="preserve"> </w:t>
      </w:r>
      <w:r w:rsidRPr="003A2264">
        <w:rPr>
          <w:bCs/>
          <w:sz w:val="20"/>
        </w:rPr>
        <w:t>– applicable iGen Equipment incorporates software from MathWorks, Inc. (“MathWorks”) and the following terms apply to said software:</w:t>
      </w:r>
    </w:p>
    <w:p w14:paraId="78F4BAC4" w14:textId="77777777" w:rsidR="008639C9" w:rsidRDefault="008639C9" w:rsidP="008639C9">
      <w:pPr>
        <w:pStyle w:val="BodyTextIndent"/>
        <w:widowControl/>
        <w:numPr>
          <w:ilvl w:val="0"/>
          <w:numId w:val="20"/>
        </w:numPr>
        <w:tabs>
          <w:tab w:val="center" w:pos="400"/>
        </w:tabs>
        <w:autoSpaceDE/>
        <w:autoSpaceDN/>
        <w:spacing w:before="60"/>
        <w:ind w:left="1080"/>
        <w:jc w:val="both"/>
        <w:rPr>
          <w:sz w:val="20"/>
        </w:rPr>
      </w:pPr>
      <w:r w:rsidRPr="00AB3A8C">
        <w:rPr>
          <w:b/>
          <w:sz w:val="20"/>
        </w:rPr>
        <w:t>LICENSE GRANT.</w:t>
      </w:r>
      <w:r w:rsidRPr="0084509E">
        <w:rPr>
          <w:sz w:val="20"/>
        </w:rPr>
        <w:t xml:space="preserve"> Subject to the restrictions below, MathWorks hereby grants to P</w:t>
      </w:r>
      <w:r>
        <w:rPr>
          <w:sz w:val="20"/>
        </w:rPr>
        <w:t>urchasing</w:t>
      </w:r>
      <w:r w:rsidRPr="0084509E">
        <w:rPr>
          <w:sz w:val="20"/>
        </w:rPr>
        <w:t xml:space="preserve"> Entity a license to install and use the MATLAB Compiler Runtime Libraries (“MCR”), solely and expressly for the purpose of running software created with the MATLAB Compiler (the “Application Software”), and for no other purpose. This license is personal, nonexclusive, and nontransferable.</w:t>
      </w:r>
    </w:p>
    <w:p w14:paraId="5FADE81D" w14:textId="77777777" w:rsidR="008639C9" w:rsidRDefault="008639C9" w:rsidP="008639C9">
      <w:pPr>
        <w:pStyle w:val="BodyTextIndent"/>
        <w:widowControl/>
        <w:numPr>
          <w:ilvl w:val="0"/>
          <w:numId w:val="20"/>
        </w:numPr>
        <w:tabs>
          <w:tab w:val="center" w:pos="400"/>
        </w:tabs>
        <w:autoSpaceDE/>
        <w:autoSpaceDN/>
        <w:spacing w:before="60"/>
        <w:ind w:left="1080"/>
        <w:jc w:val="both"/>
        <w:rPr>
          <w:sz w:val="20"/>
        </w:rPr>
      </w:pPr>
      <w:r w:rsidRPr="0003056C">
        <w:rPr>
          <w:b/>
          <w:sz w:val="20"/>
        </w:rPr>
        <w:t>LICENSE RESTRICTIONS</w:t>
      </w:r>
      <w:r w:rsidRPr="0003056C">
        <w:rPr>
          <w:sz w:val="20"/>
        </w:rPr>
        <w:t>. Purchasing Entity shall not modify or adapt the MCR for any reason. Purchasing Entity shall not disassemble, decompile, or reverse engineer the MCR. Purchasing Entity shall not alter or remove any proprietary or other legal notices on or in copies of the MCR. Unless used to run Application Software, Purchasing Entity shall not rent, lease, or loan the MCR, time share the MCR, provide service bureau use, or use the MCR for supporting any other party’s use of the MCR. Purchasing Entity shall not sublicense, sell, or otherwise transfer the MCR to any third party. Purchasing Entity shall not republish any documentation that may be provided in connection with the MCR. All rights not granted, including without limitation rights to reproduce, sublicense, rent, sell, distribute, create derivative works, serve other software by means of, decompile, reverse engineer, and disassemble the MCR, are expressly reserved by MathWorks.</w:t>
      </w:r>
    </w:p>
    <w:p w14:paraId="2DAE8491" w14:textId="77777777" w:rsidR="008639C9" w:rsidRDefault="008639C9" w:rsidP="008639C9">
      <w:pPr>
        <w:pStyle w:val="BodyTextIndent"/>
        <w:widowControl/>
        <w:numPr>
          <w:ilvl w:val="0"/>
          <w:numId w:val="20"/>
        </w:numPr>
        <w:tabs>
          <w:tab w:val="center" w:pos="400"/>
        </w:tabs>
        <w:autoSpaceDE/>
        <w:autoSpaceDN/>
        <w:spacing w:before="60"/>
        <w:ind w:left="1080"/>
        <w:jc w:val="both"/>
        <w:rPr>
          <w:sz w:val="20"/>
        </w:rPr>
      </w:pPr>
      <w:r w:rsidRPr="0003056C">
        <w:rPr>
          <w:b/>
          <w:sz w:val="20"/>
        </w:rPr>
        <w:t>NO TECHNICAL SUPPORT</w:t>
      </w:r>
      <w:r w:rsidRPr="0003056C">
        <w:rPr>
          <w:sz w:val="20"/>
        </w:rPr>
        <w:t>. Technical support is not provided by MathWorks for users of the MCR under this license. MathWorks may, at its sole discretion, offer bug fixes or updates to the MCR.</w:t>
      </w:r>
    </w:p>
    <w:p w14:paraId="1B2074F6" w14:textId="77777777" w:rsidR="008639C9" w:rsidRDefault="008639C9" w:rsidP="008639C9">
      <w:pPr>
        <w:pStyle w:val="BodyTextIndent"/>
        <w:widowControl/>
        <w:numPr>
          <w:ilvl w:val="0"/>
          <w:numId w:val="20"/>
        </w:numPr>
        <w:tabs>
          <w:tab w:val="center" w:pos="400"/>
        </w:tabs>
        <w:autoSpaceDE/>
        <w:autoSpaceDN/>
        <w:spacing w:before="60"/>
        <w:ind w:left="1080"/>
        <w:jc w:val="both"/>
        <w:rPr>
          <w:sz w:val="20"/>
        </w:rPr>
      </w:pPr>
      <w:r w:rsidRPr="0003056C">
        <w:rPr>
          <w:b/>
          <w:sz w:val="20"/>
        </w:rPr>
        <w:t>TERM AND TERMINATION.</w:t>
      </w:r>
      <w:r w:rsidRPr="0003056C">
        <w:rPr>
          <w:sz w:val="20"/>
        </w:rPr>
        <w:t xml:space="preserve"> This license shall automatically terminate upon Purchasing Entity’s failure to comply with this license.</w:t>
      </w:r>
    </w:p>
    <w:p w14:paraId="4733C361" w14:textId="77777777" w:rsidR="008639C9" w:rsidRDefault="008639C9" w:rsidP="008639C9">
      <w:pPr>
        <w:pStyle w:val="BodyTextIndent"/>
        <w:widowControl/>
        <w:numPr>
          <w:ilvl w:val="0"/>
          <w:numId w:val="20"/>
        </w:numPr>
        <w:tabs>
          <w:tab w:val="center" w:pos="400"/>
        </w:tabs>
        <w:autoSpaceDE/>
        <w:autoSpaceDN/>
        <w:spacing w:before="60"/>
        <w:ind w:left="1080"/>
        <w:jc w:val="both"/>
        <w:rPr>
          <w:sz w:val="20"/>
        </w:rPr>
      </w:pPr>
      <w:r w:rsidRPr="0003056C">
        <w:rPr>
          <w:b/>
          <w:sz w:val="20"/>
        </w:rPr>
        <w:t>EXPORT CONTROL.</w:t>
      </w:r>
      <w:r w:rsidRPr="0003056C">
        <w:rPr>
          <w:sz w:val="20"/>
        </w:rPr>
        <w:t xml:space="preserve"> The MCR may be subject to U.S. and non-U.S. export control laws and other applicable governmental export and import laws and regulations.</w:t>
      </w:r>
      <w:r>
        <w:rPr>
          <w:sz w:val="20"/>
        </w:rPr>
        <w:t xml:space="preserve"> </w:t>
      </w:r>
      <w:r w:rsidRPr="0003056C">
        <w:rPr>
          <w:sz w:val="20"/>
        </w:rPr>
        <w:t xml:space="preserve">In exercising Purchasing Entity’s rights under this license, Purchasing Entity agrees not to violate any such laws and regulations. Purchasing Entity also represents and warrants that </w:t>
      </w:r>
      <w:r w:rsidRPr="00DD0767">
        <w:rPr>
          <w:b/>
          <w:sz w:val="20"/>
        </w:rPr>
        <w:t>(i)</w:t>
      </w:r>
      <w:r w:rsidRPr="0003056C">
        <w:rPr>
          <w:sz w:val="20"/>
        </w:rPr>
        <w:t xml:space="preserve"> Purchasing Entity is not located in a country that is subject to a U.S. Government embargo, or that has been designated by the U.S. Government as a “terrorist supporting” country; and </w:t>
      </w:r>
      <w:r w:rsidRPr="00DD0767">
        <w:rPr>
          <w:b/>
          <w:sz w:val="20"/>
        </w:rPr>
        <w:t>(ii)</w:t>
      </w:r>
      <w:r w:rsidRPr="0003056C">
        <w:rPr>
          <w:sz w:val="20"/>
        </w:rPr>
        <w:t xml:space="preserve"> Purchasing Entity is not listed on any U.S. Government list of prohibited or restricted parties.</w:t>
      </w:r>
    </w:p>
    <w:p w14:paraId="27DB3B0E" w14:textId="77777777" w:rsidR="008639C9" w:rsidRDefault="008639C9" w:rsidP="008639C9">
      <w:pPr>
        <w:pStyle w:val="BodyTextIndent"/>
        <w:widowControl/>
        <w:numPr>
          <w:ilvl w:val="0"/>
          <w:numId w:val="20"/>
        </w:numPr>
        <w:tabs>
          <w:tab w:val="center" w:pos="400"/>
        </w:tabs>
        <w:autoSpaceDE/>
        <w:autoSpaceDN/>
        <w:spacing w:before="60"/>
        <w:ind w:left="1080"/>
        <w:jc w:val="both"/>
        <w:rPr>
          <w:sz w:val="20"/>
        </w:rPr>
      </w:pPr>
      <w:r w:rsidRPr="0003056C">
        <w:rPr>
          <w:b/>
          <w:sz w:val="20"/>
        </w:rPr>
        <w:t>U.S. GOVERNMENT LICENSEES:</w:t>
      </w:r>
      <w:r w:rsidRPr="0003056C">
        <w:rPr>
          <w:sz w:val="20"/>
        </w:rPr>
        <w:t xml:space="preserve"> Purchasing Entity agrees that the MCR qualifies as commercial computer software or documentation as defined in the FAR and/or DFARS; that the terms and conditions of this MCR (MATLAB Compiler Runtime) LIBRARIES LICENSE shall govern Purchasing Entity’s use, reproduction, performance, display, and disclosure of the MCR, superseding any inconsistent government provisions.</w:t>
      </w:r>
    </w:p>
    <w:p w14:paraId="20754142" w14:textId="77777777" w:rsidR="008639C9" w:rsidRDefault="008639C9" w:rsidP="008639C9">
      <w:pPr>
        <w:pStyle w:val="BodyTextIndent"/>
        <w:widowControl/>
        <w:numPr>
          <w:ilvl w:val="0"/>
          <w:numId w:val="20"/>
        </w:numPr>
        <w:tabs>
          <w:tab w:val="center" w:pos="400"/>
        </w:tabs>
        <w:autoSpaceDE/>
        <w:autoSpaceDN/>
        <w:spacing w:before="60"/>
        <w:ind w:left="1080"/>
        <w:jc w:val="both"/>
        <w:rPr>
          <w:sz w:val="20"/>
        </w:rPr>
      </w:pPr>
      <w:r w:rsidRPr="0003056C">
        <w:rPr>
          <w:b/>
          <w:sz w:val="20"/>
        </w:rPr>
        <w:t>ASSIGNMENT.</w:t>
      </w:r>
      <w:r w:rsidRPr="0003056C">
        <w:rPr>
          <w:sz w:val="20"/>
        </w:rPr>
        <w:t xml:space="preserve"> Purchasing Entity may not assign or otherwise transfer this license and its rights and obligations hereunder, in whole or in part.</w:t>
      </w:r>
    </w:p>
    <w:p w14:paraId="4D554B28" w14:textId="77777777" w:rsidR="008639C9" w:rsidRPr="0003056C" w:rsidRDefault="008639C9" w:rsidP="008639C9">
      <w:pPr>
        <w:pStyle w:val="BodyTextIndent"/>
        <w:widowControl/>
        <w:numPr>
          <w:ilvl w:val="0"/>
          <w:numId w:val="20"/>
        </w:numPr>
        <w:tabs>
          <w:tab w:val="center" w:pos="400"/>
        </w:tabs>
        <w:autoSpaceDE/>
        <w:autoSpaceDN/>
        <w:spacing w:before="60"/>
        <w:ind w:left="1080"/>
        <w:jc w:val="both"/>
        <w:rPr>
          <w:sz w:val="20"/>
        </w:rPr>
      </w:pPr>
      <w:r w:rsidRPr="0003056C">
        <w:rPr>
          <w:b/>
          <w:sz w:val="20"/>
        </w:rPr>
        <w:t>MATHWORKS LIMITATION OF LIABILITY.</w:t>
      </w:r>
      <w:r w:rsidRPr="0003056C">
        <w:rPr>
          <w:sz w:val="20"/>
        </w:rPr>
        <w:t xml:space="preserve"> To the extent permitted by law, any liability of MathWorks (whether in relation to breach of contract, negligence or otherwise) shall be limited to ten dollars ($10.00 USD); and MathWorks shall have no liability for any indirect or consequential loss (whether foreseeable or otherwise and including loss of profits, loss of business, loss of opportunity, and loss of use, or unauthorized use or access, of any computer hardware or software). Some Participating States and Entities do not allow the exclusion or limitation of incidental or consequential damages, so the above exclusion or limitation may not apply to a Participating State or Entity. MathWorks’ liability for death or personal injury resulting from negligence or for any other matter in relation to which liability by law cannot be excluded or limited shall not be excluded or limited.</w:t>
      </w:r>
      <w:r>
        <w:rPr>
          <w:sz w:val="20"/>
        </w:rPr>
        <w:t xml:space="preserve"> For clarification, this provision limits the liability of MathWorks to the Participating State or Entity, but the liability of Xerox to the Participating State or Entity shall remain that limitation of liability</w:t>
      </w:r>
      <w:r w:rsidRPr="0003056C">
        <w:rPr>
          <w:sz w:val="20"/>
        </w:rPr>
        <w:t xml:space="preserve"> outlined in Section 5 of Attachment B, Xerox General Terms, of the Master Agreement, or as otherwise negotiated by each Participating State or Entity in their Participating Addendum. </w:t>
      </w:r>
    </w:p>
    <w:p w14:paraId="5C3110A0" w14:textId="77777777" w:rsidR="008639C9" w:rsidRDefault="008639C9" w:rsidP="008639C9">
      <w:pPr>
        <w:pStyle w:val="BodyTextIndent"/>
        <w:widowControl/>
        <w:numPr>
          <w:ilvl w:val="0"/>
          <w:numId w:val="20"/>
        </w:numPr>
        <w:tabs>
          <w:tab w:val="center" w:pos="400"/>
        </w:tabs>
        <w:autoSpaceDE/>
        <w:autoSpaceDN/>
        <w:spacing w:before="60"/>
        <w:ind w:left="1080"/>
        <w:jc w:val="both"/>
        <w:rPr>
          <w:sz w:val="20"/>
        </w:rPr>
      </w:pPr>
      <w:r w:rsidRPr="0003056C">
        <w:rPr>
          <w:b/>
          <w:sz w:val="20"/>
        </w:rPr>
        <w:t>DISCLAIMER OF WARRANTIES</w:t>
      </w:r>
      <w:r w:rsidRPr="0003056C">
        <w:rPr>
          <w:sz w:val="20"/>
        </w:rPr>
        <w:t>. The MCR is delivered “as is.” and MathWorks makes, and Purchasing Entity receives, no additional express or implied warranties. MathWorks hereby expressly disclaims any and all other conditions, warranties, or other terms of any kind or nature concerning the MCR (including, without limitation, any with regard to noninfringement, merchantability, quality, accuracy, or fitness for a particular purpose or for Purchasing Entity’s purpose). MathWorks also expressly disclaims any warranties that may be implied from usage of trade, course of dealing, or course of performance.</w:t>
      </w:r>
    </w:p>
    <w:p w14:paraId="6157B4D2" w14:textId="62F8BA75" w:rsidR="008639C9" w:rsidRDefault="008639C9" w:rsidP="008639C9">
      <w:pPr>
        <w:pStyle w:val="BodyTextIndent"/>
        <w:widowControl/>
        <w:numPr>
          <w:ilvl w:val="0"/>
          <w:numId w:val="20"/>
        </w:numPr>
        <w:tabs>
          <w:tab w:val="center" w:pos="400"/>
        </w:tabs>
        <w:autoSpaceDE/>
        <w:autoSpaceDN/>
        <w:spacing w:before="60"/>
        <w:ind w:left="1080"/>
        <w:jc w:val="both"/>
        <w:rPr>
          <w:sz w:val="20"/>
        </w:rPr>
      </w:pPr>
      <w:r w:rsidRPr="0003056C">
        <w:rPr>
          <w:b/>
          <w:sz w:val="20"/>
        </w:rPr>
        <w:t xml:space="preserve">GOVERNING LAW; JURISDICTION. </w:t>
      </w:r>
      <w:r w:rsidRPr="0003056C">
        <w:rPr>
          <w:sz w:val="20"/>
        </w:rPr>
        <w:t xml:space="preserve">This license shall be governed by the laws of the Purchasing </w:t>
      </w:r>
      <w:r w:rsidR="00A96173">
        <w:rPr>
          <w:sz w:val="20"/>
        </w:rPr>
        <w:t>Entity</w:t>
      </w:r>
      <w:bookmarkStart w:id="0" w:name="_GoBack"/>
      <w:bookmarkEnd w:id="0"/>
      <w:r w:rsidRPr="0003056C">
        <w:rPr>
          <w:sz w:val="20"/>
        </w:rPr>
        <w:t>. Neither the U.N. Convention on Contracts for the International Sale of Goods nor the Uniform Computer Information Transactions Act, or any version thereof (“UCITA”), shall apply to this license. To the extent that UCITA is applicable, the parties agree to opt out of the applicability of UCITA.</w:t>
      </w:r>
    </w:p>
    <w:p w14:paraId="7CC0CF4D" w14:textId="77777777" w:rsidR="008639C9" w:rsidRDefault="008639C9" w:rsidP="008639C9">
      <w:pPr>
        <w:pStyle w:val="BodyTextIndent"/>
        <w:widowControl/>
        <w:numPr>
          <w:ilvl w:val="0"/>
          <w:numId w:val="20"/>
        </w:numPr>
        <w:tabs>
          <w:tab w:val="center" w:pos="400"/>
        </w:tabs>
        <w:autoSpaceDE/>
        <w:autoSpaceDN/>
        <w:spacing w:before="60" w:after="0"/>
        <w:ind w:left="1080"/>
        <w:jc w:val="both"/>
        <w:rPr>
          <w:sz w:val="20"/>
        </w:rPr>
      </w:pPr>
      <w:r w:rsidRPr="0003056C">
        <w:rPr>
          <w:b/>
          <w:sz w:val="20"/>
        </w:rPr>
        <w:t>ENTIRE AGREEMENT.</w:t>
      </w:r>
      <w:r w:rsidRPr="0003056C">
        <w:rPr>
          <w:sz w:val="20"/>
        </w:rPr>
        <w:t xml:space="preserve"> This license contains the entire understanding of the parties with respect to the MCR provided hereunder, and may not be modified or amended except by written instrument, executed by MathWorks and Purchasing Entity. This license shall not supersede any product license Purchasing Entity have with MathWorks for the MATLAB Compiler.</w:t>
      </w:r>
    </w:p>
    <w:p w14:paraId="6A4B91D5" w14:textId="77777777" w:rsidR="008639C9" w:rsidRDefault="008639C9" w:rsidP="006B20AA">
      <w:pPr>
        <w:tabs>
          <w:tab w:val="left" w:pos="302"/>
        </w:tabs>
        <w:spacing w:after="60"/>
        <w:rPr>
          <w:sz w:val="20"/>
          <w:szCs w:val="20"/>
        </w:rPr>
      </w:pPr>
    </w:p>
    <w:p w14:paraId="2911426F" w14:textId="5072FC8E" w:rsidR="00194C2D" w:rsidRPr="00194C2D" w:rsidRDefault="00194C2D" w:rsidP="00194C2D">
      <w:pPr>
        <w:tabs>
          <w:tab w:val="left" w:pos="302"/>
        </w:tabs>
        <w:spacing w:after="60"/>
        <w:ind w:left="270"/>
        <w:rPr>
          <w:b/>
          <w:bCs/>
          <w:sz w:val="20"/>
          <w:szCs w:val="20"/>
        </w:rPr>
      </w:pPr>
      <w:r w:rsidRPr="00194C2D">
        <w:rPr>
          <w:b/>
          <w:bCs/>
          <w:sz w:val="20"/>
          <w:szCs w:val="20"/>
        </w:rPr>
        <w:t>ORACLE SOFTWARE LICENSE – applicable iGen Equipment incorporates software from Oracle America, Inc. ("Oracle") and the following terms apply to said software:</w:t>
      </w:r>
    </w:p>
    <w:p w14:paraId="225E226F" w14:textId="77777777" w:rsidR="00194C2D" w:rsidRDefault="00194C2D" w:rsidP="00194C2D">
      <w:pPr>
        <w:pStyle w:val="ListParagraph"/>
        <w:numPr>
          <w:ilvl w:val="0"/>
          <w:numId w:val="21"/>
        </w:numPr>
        <w:tabs>
          <w:tab w:val="left" w:pos="302"/>
        </w:tabs>
        <w:spacing w:after="120"/>
        <w:ind w:left="1080"/>
        <w:rPr>
          <w:sz w:val="20"/>
          <w:szCs w:val="20"/>
        </w:rPr>
      </w:pPr>
      <w:r w:rsidRPr="00194C2D">
        <w:rPr>
          <w:b/>
          <w:bCs/>
          <w:sz w:val="20"/>
          <w:szCs w:val="20"/>
        </w:rPr>
        <w:t>Java Technology Restrictions.</w:t>
      </w:r>
      <w:r w:rsidRPr="00194C2D">
        <w:rPr>
          <w:sz w:val="20"/>
          <w:szCs w:val="20"/>
        </w:rPr>
        <w:t xml:space="preserve"> You shall not create, modify, or change the behavior of classes, interfaces or sub packages that are in any way identified as "java", "javax", "sun" of similar convention as specified by licensor in any naming convention designated.  In the event that you create an additional API(s) which (i) extends the functionality of a Java Environment: and (ii) is exposed to third party software developers for the purpose of developing additional software that invokes such additional API, you must promptly publish broadly an accurate specification for such API for free use by all developers. </w:t>
      </w:r>
    </w:p>
    <w:p w14:paraId="71BA2CF1" w14:textId="77777777" w:rsidR="00194C2D" w:rsidRDefault="00194C2D" w:rsidP="00194C2D">
      <w:pPr>
        <w:pStyle w:val="ListParagraph"/>
        <w:numPr>
          <w:ilvl w:val="0"/>
          <w:numId w:val="21"/>
        </w:numPr>
        <w:tabs>
          <w:tab w:val="left" w:pos="302"/>
        </w:tabs>
        <w:spacing w:after="120"/>
        <w:ind w:left="1080"/>
        <w:rPr>
          <w:sz w:val="20"/>
          <w:szCs w:val="20"/>
        </w:rPr>
      </w:pPr>
      <w:r w:rsidRPr="00194C2D">
        <w:rPr>
          <w:b/>
          <w:bCs/>
          <w:sz w:val="20"/>
          <w:szCs w:val="20"/>
        </w:rPr>
        <w:t>Trademarks and Logos.</w:t>
      </w:r>
      <w:r w:rsidRPr="00194C2D">
        <w:rPr>
          <w:sz w:val="20"/>
          <w:szCs w:val="20"/>
        </w:rPr>
        <w:t xml:space="preserve">  This license does not authorize an end user licensee like you to use the Oracle America, Inc. name, trademarks, service mark, logo or icon.  You acknowledge that Oracle owns the Java trademark and all Java-related trademarks, logos, and icons including the Coffee Cup and Duke, ("Java Mark") and (i) comply with the Java Trademark Guidelines at http://www.oracle.com/html/3party.html; (b) not to do anything that is harmful to or inconsistent with Oracle's right in the Java Marks; and (c) assist Oracle in protecting those rights, including assigning to Oracle any rights acquired by you in any Java Mark.</w:t>
      </w:r>
    </w:p>
    <w:p w14:paraId="44206617" w14:textId="4536969E" w:rsidR="00194C2D" w:rsidRDefault="00194C2D" w:rsidP="00194C2D">
      <w:pPr>
        <w:pStyle w:val="ListParagraph"/>
        <w:numPr>
          <w:ilvl w:val="0"/>
          <w:numId w:val="21"/>
        </w:numPr>
        <w:tabs>
          <w:tab w:val="left" w:pos="302"/>
        </w:tabs>
        <w:spacing w:after="120"/>
        <w:ind w:left="1080"/>
        <w:rPr>
          <w:sz w:val="20"/>
          <w:szCs w:val="20"/>
        </w:rPr>
      </w:pPr>
      <w:r w:rsidRPr="00194C2D">
        <w:rPr>
          <w:b/>
          <w:bCs/>
          <w:sz w:val="20"/>
          <w:szCs w:val="20"/>
        </w:rPr>
        <w:t>Source Code.</w:t>
      </w:r>
      <w:r w:rsidRPr="00194C2D">
        <w:rPr>
          <w:sz w:val="20"/>
          <w:szCs w:val="20"/>
        </w:rPr>
        <w:t xml:space="preserve">  Software may contain a limited amount of source code that, unless expressly licensed for other purposes, is provided solely for reference purposes pursuant to the terms of this license.  Source code may not be modified nor redistributed unless expressly provided for in these license terms.</w:t>
      </w:r>
    </w:p>
    <w:p w14:paraId="33A6356B" w14:textId="77777777" w:rsidR="00194C2D" w:rsidRDefault="00194C2D" w:rsidP="00194C2D">
      <w:pPr>
        <w:pStyle w:val="ListParagraph"/>
        <w:numPr>
          <w:ilvl w:val="0"/>
          <w:numId w:val="21"/>
        </w:numPr>
        <w:tabs>
          <w:tab w:val="left" w:pos="302"/>
        </w:tabs>
        <w:spacing w:after="120"/>
        <w:ind w:left="1080"/>
        <w:rPr>
          <w:sz w:val="20"/>
          <w:szCs w:val="20"/>
        </w:rPr>
      </w:pPr>
      <w:r w:rsidRPr="00194C2D">
        <w:rPr>
          <w:b/>
          <w:bCs/>
          <w:sz w:val="20"/>
          <w:szCs w:val="20"/>
        </w:rPr>
        <w:t>Third Party Code.</w:t>
      </w:r>
      <w:r w:rsidRPr="00194C2D">
        <w:rPr>
          <w:sz w:val="20"/>
          <w:szCs w:val="20"/>
        </w:rPr>
        <w:t xml:space="preserve">  Additional copyright notices and license terms applicable to portions of the Software are set forth in the THIRDPARTYLICENSEREADME.txt file.</w:t>
      </w:r>
    </w:p>
    <w:p w14:paraId="1C5F61A9" w14:textId="58724AA3" w:rsidR="006B20AA" w:rsidRPr="00194C2D" w:rsidRDefault="00194C2D" w:rsidP="00194C2D">
      <w:pPr>
        <w:pStyle w:val="ListParagraph"/>
        <w:numPr>
          <w:ilvl w:val="0"/>
          <w:numId w:val="21"/>
        </w:numPr>
        <w:tabs>
          <w:tab w:val="left" w:pos="302"/>
        </w:tabs>
        <w:spacing w:after="60"/>
        <w:ind w:left="1080"/>
        <w:rPr>
          <w:sz w:val="20"/>
          <w:szCs w:val="20"/>
        </w:rPr>
      </w:pPr>
      <w:r w:rsidRPr="00194C2D">
        <w:rPr>
          <w:b/>
          <w:bCs/>
          <w:sz w:val="20"/>
          <w:szCs w:val="20"/>
        </w:rPr>
        <w:t>Commercial Features.</w:t>
      </w:r>
      <w:r w:rsidRPr="00194C2D">
        <w:rPr>
          <w:sz w:val="20"/>
          <w:szCs w:val="20"/>
        </w:rPr>
        <w:t xml:space="preserve">  Use of the Commercial Feature for any commercial or production purposes requires a separate license from Oracle.  "Commercial Features” means those features identified in Table 1 (Commercial Features in Java SE Product Editions) of the Software documentation accessible at http://www.oracle.com/technetwork/java/javase/documentation/index.html.</w:t>
      </w:r>
    </w:p>
    <w:sectPr w:rsidR="006B20AA" w:rsidRPr="00194C2D" w:rsidSect="00FA1CB8">
      <w:footerReference w:type="default" r:id="rId10"/>
      <w:pgSz w:w="12240" w:h="15840"/>
      <w:pgMar w:top="720" w:right="720" w:bottom="720" w:left="720" w:header="0" w:footer="144"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EF9C" w16cex:dateUtc="2023-10-17T00:21:00Z"/>
  <w16cex:commentExtensible w16cex:durableId="28D7EFA9" w16cex:dateUtc="2023-10-17T00:21:00Z"/>
  <w16cex:commentExtensible w16cex:durableId="28E625B1" w16cex:dateUtc="2023-10-27T19:04:00Z"/>
  <w16cex:commentExtensible w16cex:durableId="28D7EFC2" w16cex:dateUtc="2023-10-17T00:22:00Z"/>
  <w16cex:commentExtensible w16cex:durableId="28D7EFDA" w16cex:dateUtc="2023-10-17T00:22:00Z"/>
  <w16cex:commentExtensible w16cex:durableId="28D7EFF4" w16cex:dateUtc="2023-10-17T0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C56C3A" w16cid:durableId="28D7EF9C"/>
  <w16cid:commentId w16cid:paraId="6C9308C0" w16cid:durableId="2900896B"/>
  <w16cid:commentId w16cid:paraId="2C43C293" w16cid:durableId="28D7EFA9"/>
  <w16cid:commentId w16cid:paraId="1F3692BB" w16cid:durableId="28E625B1"/>
  <w16cid:commentId w16cid:paraId="461BDCDA" w16cid:durableId="28D7EF94"/>
  <w16cid:commentId w16cid:paraId="007C1457" w16cid:durableId="28D7EFC2"/>
  <w16cid:commentId w16cid:paraId="1C8DA3CF" w16cid:durableId="28D7EF95"/>
  <w16cid:commentId w16cid:paraId="2AF7C164" w16cid:durableId="28D7EFDA"/>
  <w16cid:commentId w16cid:paraId="2BAAE79F" w16cid:durableId="28D7EF96"/>
  <w16cid:commentId w16cid:paraId="01E98942" w16cid:durableId="28D7EF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8ED0B" w14:textId="77777777" w:rsidR="004920DC" w:rsidRDefault="004920DC">
      <w:r>
        <w:separator/>
      </w:r>
    </w:p>
  </w:endnote>
  <w:endnote w:type="continuationSeparator" w:id="0">
    <w:p w14:paraId="06312F13" w14:textId="77777777" w:rsidR="004920DC" w:rsidRDefault="0049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ECC9" w14:textId="5BBB4C85" w:rsidR="00354F73" w:rsidRDefault="00FA1CB8">
    <w:pPr>
      <w:pStyle w:val="BodyText"/>
      <w:spacing w:line="14" w:lineRule="auto"/>
      <w:ind w:left="0"/>
      <w:rPr>
        <w:sz w:val="20"/>
      </w:rPr>
    </w:pPr>
    <w:r w:rsidRPr="00FA1CB8">
      <w:rPr>
        <w:color w:val="4F81BD" w:themeColor="accent1"/>
        <w:sz w:val="20"/>
      </w:rPr>
      <w:t xml:space="preserve"> </w:t>
    </w:r>
    <w:r w:rsidRPr="00FA1CB8">
      <w:rPr>
        <w:rFonts w:asciiTheme="majorHAnsi" w:eastAsiaTheme="majorEastAsia" w:hAnsiTheme="majorHAnsi" w:cstheme="majorBidi"/>
        <w:color w:val="4F81BD" w:themeColor="accent1"/>
        <w:sz w:val="20"/>
        <w:szCs w:val="20"/>
      </w:rPr>
      <w:t xml:space="preserve">pg. </w:t>
    </w:r>
    <w:r w:rsidRPr="00FA1CB8">
      <w:rPr>
        <w:rFonts w:asciiTheme="minorHAnsi" w:eastAsiaTheme="minorEastAsia" w:hAnsiTheme="minorHAnsi" w:cstheme="minorBidi"/>
        <w:color w:val="4F81BD" w:themeColor="accent1"/>
        <w:sz w:val="20"/>
        <w:szCs w:val="20"/>
      </w:rPr>
      <w:fldChar w:fldCharType="begin"/>
    </w:r>
    <w:r w:rsidRPr="00FA1CB8">
      <w:rPr>
        <w:color w:val="4F81BD" w:themeColor="accent1"/>
        <w:sz w:val="20"/>
        <w:szCs w:val="20"/>
      </w:rPr>
      <w:instrText xml:space="preserve"> PAGE    \* MERGEFORMAT </w:instrText>
    </w:r>
    <w:r w:rsidRPr="00FA1CB8">
      <w:rPr>
        <w:rFonts w:asciiTheme="minorHAnsi" w:eastAsiaTheme="minorEastAsia" w:hAnsiTheme="minorHAnsi" w:cstheme="minorBidi"/>
        <w:color w:val="4F81BD" w:themeColor="accent1"/>
        <w:sz w:val="20"/>
        <w:szCs w:val="20"/>
      </w:rPr>
      <w:fldChar w:fldCharType="separate"/>
    </w:r>
    <w:r w:rsidR="002D4C33" w:rsidRPr="002D4C33">
      <w:rPr>
        <w:rFonts w:asciiTheme="majorHAnsi" w:eastAsiaTheme="majorEastAsia" w:hAnsiTheme="majorHAnsi" w:cstheme="majorBidi"/>
        <w:noProof/>
        <w:color w:val="4F81BD" w:themeColor="accent1"/>
        <w:sz w:val="20"/>
        <w:szCs w:val="20"/>
      </w:rPr>
      <w:t>1</w:t>
    </w:r>
    <w:r w:rsidRPr="00FA1CB8">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45BEB" w14:textId="77777777" w:rsidR="004920DC" w:rsidRDefault="004920DC">
      <w:r>
        <w:separator/>
      </w:r>
    </w:p>
  </w:footnote>
  <w:footnote w:type="continuationSeparator" w:id="0">
    <w:p w14:paraId="5C2E333F" w14:textId="77777777" w:rsidR="004920DC" w:rsidRDefault="00492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1A1"/>
    <w:multiLevelType w:val="hybridMultilevel"/>
    <w:tmpl w:val="10BAFC56"/>
    <w:lvl w:ilvl="0" w:tplc="F71A2FA2">
      <w:start w:val="4"/>
      <w:numFmt w:val="lowerLetter"/>
      <w:lvlText w:val="%1."/>
      <w:lvlJc w:val="left"/>
      <w:pPr>
        <w:ind w:left="100" w:hanging="202"/>
      </w:pPr>
      <w:rPr>
        <w:rFonts w:ascii="Arial" w:eastAsia="Arial" w:hAnsi="Arial" w:cs="Arial" w:hint="default"/>
        <w:spacing w:val="-6"/>
        <w:w w:val="99"/>
        <w:sz w:val="18"/>
        <w:szCs w:val="18"/>
      </w:rPr>
    </w:lvl>
    <w:lvl w:ilvl="1" w:tplc="9ECA1B64">
      <w:numFmt w:val="bullet"/>
      <w:lvlText w:val="•"/>
      <w:lvlJc w:val="left"/>
      <w:pPr>
        <w:ind w:left="1048" w:hanging="202"/>
      </w:pPr>
      <w:rPr>
        <w:rFonts w:hint="default"/>
      </w:rPr>
    </w:lvl>
    <w:lvl w:ilvl="2" w:tplc="0C9045E0">
      <w:numFmt w:val="bullet"/>
      <w:lvlText w:val="•"/>
      <w:lvlJc w:val="left"/>
      <w:pPr>
        <w:ind w:left="1996" w:hanging="202"/>
      </w:pPr>
      <w:rPr>
        <w:rFonts w:hint="default"/>
      </w:rPr>
    </w:lvl>
    <w:lvl w:ilvl="3" w:tplc="07689802">
      <w:numFmt w:val="bullet"/>
      <w:lvlText w:val="•"/>
      <w:lvlJc w:val="left"/>
      <w:pPr>
        <w:ind w:left="2944" w:hanging="202"/>
      </w:pPr>
      <w:rPr>
        <w:rFonts w:hint="default"/>
      </w:rPr>
    </w:lvl>
    <w:lvl w:ilvl="4" w:tplc="0EC0349A">
      <w:numFmt w:val="bullet"/>
      <w:lvlText w:val="•"/>
      <w:lvlJc w:val="left"/>
      <w:pPr>
        <w:ind w:left="3892" w:hanging="202"/>
      </w:pPr>
      <w:rPr>
        <w:rFonts w:hint="default"/>
      </w:rPr>
    </w:lvl>
    <w:lvl w:ilvl="5" w:tplc="761C9DB0">
      <w:numFmt w:val="bullet"/>
      <w:lvlText w:val="•"/>
      <w:lvlJc w:val="left"/>
      <w:pPr>
        <w:ind w:left="4840" w:hanging="202"/>
      </w:pPr>
      <w:rPr>
        <w:rFonts w:hint="default"/>
      </w:rPr>
    </w:lvl>
    <w:lvl w:ilvl="6" w:tplc="17243944">
      <w:numFmt w:val="bullet"/>
      <w:lvlText w:val="•"/>
      <w:lvlJc w:val="left"/>
      <w:pPr>
        <w:ind w:left="5788" w:hanging="202"/>
      </w:pPr>
      <w:rPr>
        <w:rFonts w:hint="default"/>
      </w:rPr>
    </w:lvl>
    <w:lvl w:ilvl="7" w:tplc="4BF46828">
      <w:numFmt w:val="bullet"/>
      <w:lvlText w:val="•"/>
      <w:lvlJc w:val="left"/>
      <w:pPr>
        <w:ind w:left="6736" w:hanging="202"/>
      </w:pPr>
      <w:rPr>
        <w:rFonts w:hint="default"/>
      </w:rPr>
    </w:lvl>
    <w:lvl w:ilvl="8" w:tplc="503C902A">
      <w:numFmt w:val="bullet"/>
      <w:lvlText w:val="•"/>
      <w:lvlJc w:val="left"/>
      <w:pPr>
        <w:ind w:left="7684" w:hanging="202"/>
      </w:pPr>
      <w:rPr>
        <w:rFonts w:hint="default"/>
      </w:rPr>
    </w:lvl>
  </w:abstractNum>
  <w:abstractNum w:abstractNumId="1" w15:restartNumberingAfterBreak="0">
    <w:nsid w:val="0399428C"/>
    <w:multiLevelType w:val="hybridMultilevel"/>
    <w:tmpl w:val="523407F2"/>
    <w:lvl w:ilvl="0" w:tplc="3BD2638C">
      <w:start w:val="1"/>
      <w:numFmt w:val="decimal"/>
      <w:lvlText w:val="%1)"/>
      <w:lvlJc w:val="left"/>
      <w:pPr>
        <w:ind w:left="2275" w:hanging="360"/>
      </w:pPr>
      <w:rPr>
        <w:b/>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2" w15:restartNumberingAfterBreak="0">
    <w:nsid w:val="06440C91"/>
    <w:multiLevelType w:val="hybridMultilevel"/>
    <w:tmpl w:val="8FC8891A"/>
    <w:lvl w:ilvl="0" w:tplc="3FB8EF84">
      <w:start w:val="6"/>
      <w:numFmt w:val="decimal"/>
      <w:lvlText w:val="%1."/>
      <w:lvlJc w:val="left"/>
      <w:pPr>
        <w:ind w:left="100" w:hanging="202"/>
      </w:pPr>
      <w:rPr>
        <w:rFonts w:ascii="Arial" w:eastAsia="Arial" w:hAnsi="Arial" w:cs="Arial" w:hint="default"/>
        <w:spacing w:val="-3"/>
        <w:w w:val="99"/>
        <w:sz w:val="18"/>
        <w:szCs w:val="18"/>
      </w:rPr>
    </w:lvl>
    <w:lvl w:ilvl="1" w:tplc="1F24F8DA">
      <w:start w:val="1"/>
      <w:numFmt w:val="lowerLetter"/>
      <w:lvlText w:val="%2."/>
      <w:lvlJc w:val="left"/>
      <w:pPr>
        <w:ind w:left="100" w:hanging="202"/>
      </w:pPr>
      <w:rPr>
        <w:rFonts w:ascii="Arial" w:eastAsia="Arial" w:hAnsi="Arial" w:cs="Arial" w:hint="default"/>
        <w:spacing w:val="-3"/>
        <w:w w:val="99"/>
        <w:sz w:val="18"/>
        <w:szCs w:val="18"/>
      </w:rPr>
    </w:lvl>
    <w:lvl w:ilvl="2" w:tplc="67C2F33E">
      <w:numFmt w:val="bullet"/>
      <w:lvlText w:val="•"/>
      <w:lvlJc w:val="left"/>
      <w:pPr>
        <w:ind w:left="1996" w:hanging="202"/>
      </w:pPr>
      <w:rPr>
        <w:rFonts w:hint="default"/>
      </w:rPr>
    </w:lvl>
    <w:lvl w:ilvl="3" w:tplc="244A7F18">
      <w:numFmt w:val="bullet"/>
      <w:lvlText w:val="•"/>
      <w:lvlJc w:val="left"/>
      <w:pPr>
        <w:ind w:left="2944" w:hanging="202"/>
      </w:pPr>
      <w:rPr>
        <w:rFonts w:hint="default"/>
      </w:rPr>
    </w:lvl>
    <w:lvl w:ilvl="4" w:tplc="1A8819B4">
      <w:numFmt w:val="bullet"/>
      <w:lvlText w:val="•"/>
      <w:lvlJc w:val="left"/>
      <w:pPr>
        <w:ind w:left="3892" w:hanging="202"/>
      </w:pPr>
      <w:rPr>
        <w:rFonts w:hint="default"/>
      </w:rPr>
    </w:lvl>
    <w:lvl w:ilvl="5" w:tplc="54C0A6E2">
      <w:numFmt w:val="bullet"/>
      <w:lvlText w:val="•"/>
      <w:lvlJc w:val="left"/>
      <w:pPr>
        <w:ind w:left="4840" w:hanging="202"/>
      </w:pPr>
      <w:rPr>
        <w:rFonts w:hint="default"/>
      </w:rPr>
    </w:lvl>
    <w:lvl w:ilvl="6" w:tplc="A09C0DF2">
      <w:numFmt w:val="bullet"/>
      <w:lvlText w:val="•"/>
      <w:lvlJc w:val="left"/>
      <w:pPr>
        <w:ind w:left="5788" w:hanging="202"/>
      </w:pPr>
      <w:rPr>
        <w:rFonts w:hint="default"/>
      </w:rPr>
    </w:lvl>
    <w:lvl w:ilvl="7" w:tplc="81BED3EE">
      <w:numFmt w:val="bullet"/>
      <w:lvlText w:val="•"/>
      <w:lvlJc w:val="left"/>
      <w:pPr>
        <w:ind w:left="6736" w:hanging="202"/>
      </w:pPr>
      <w:rPr>
        <w:rFonts w:hint="default"/>
      </w:rPr>
    </w:lvl>
    <w:lvl w:ilvl="8" w:tplc="FBFCB82C">
      <w:numFmt w:val="bullet"/>
      <w:lvlText w:val="•"/>
      <w:lvlJc w:val="left"/>
      <w:pPr>
        <w:ind w:left="7684" w:hanging="202"/>
      </w:pPr>
      <w:rPr>
        <w:rFonts w:hint="default"/>
      </w:rPr>
    </w:lvl>
  </w:abstractNum>
  <w:abstractNum w:abstractNumId="3" w15:restartNumberingAfterBreak="0">
    <w:nsid w:val="071A24CC"/>
    <w:multiLevelType w:val="hybridMultilevel"/>
    <w:tmpl w:val="DEA87D46"/>
    <w:lvl w:ilvl="0" w:tplc="85CEB7B2">
      <w:start w:val="1"/>
      <w:numFmt w:val="lowerLetter"/>
      <w:lvlText w:val="%1."/>
      <w:lvlJc w:val="left"/>
      <w:pPr>
        <w:ind w:left="1368" w:hanging="360"/>
      </w:pPr>
      <w:rPr>
        <w:b/>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 w15:restartNumberingAfterBreak="0">
    <w:nsid w:val="0A121760"/>
    <w:multiLevelType w:val="hybridMultilevel"/>
    <w:tmpl w:val="F7BC8622"/>
    <w:lvl w:ilvl="0" w:tplc="57A2476C">
      <w:start w:val="1"/>
      <w:numFmt w:val="decimal"/>
      <w:lvlText w:val="%1."/>
      <w:lvlJc w:val="left"/>
      <w:pPr>
        <w:ind w:left="360" w:hanging="360"/>
      </w:pPr>
      <w:rPr>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E64E1B"/>
    <w:multiLevelType w:val="hybridMultilevel"/>
    <w:tmpl w:val="BD9A6BB2"/>
    <w:lvl w:ilvl="0" w:tplc="E7DA45EA">
      <w:start w:val="1"/>
      <w:numFmt w:val="lowerLetter"/>
      <w:lvlText w:val="%1."/>
      <w:lvlJc w:val="left"/>
      <w:pPr>
        <w:ind w:left="1500" w:hanging="360"/>
      </w:pPr>
      <w:rPr>
        <w:rFonts w:hint="default"/>
        <w:b/>
        <w:bCs/>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87458C7"/>
    <w:multiLevelType w:val="hybridMultilevel"/>
    <w:tmpl w:val="01FEE358"/>
    <w:lvl w:ilvl="0" w:tplc="6D0492C0">
      <w:start w:val="1"/>
      <w:numFmt w:val="lowerRoman"/>
      <w:lvlText w:val="%1."/>
      <w:lvlJc w:val="right"/>
      <w:pPr>
        <w:ind w:left="1559" w:hanging="360"/>
      </w:pPr>
      <w:rPr>
        <w:b/>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7" w15:restartNumberingAfterBreak="0">
    <w:nsid w:val="22763BAE"/>
    <w:multiLevelType w:val="hybridMultilevel"/>
    <w:tmpl w:val="7E14390A"/>
    <w:lvl w:ilvl="0" w:tplc="E1041B12">
      <w:start w:val="1"/>
      <w:numFmt w:val="decimal"/>
      <w:lvlText w:val="%1)"/>
      <w:lvlJc w:val="left"/>
      <w:pPr>
        <w:ind w:left="2275" w:hanging="360"/>
      </w:pPr>
      <w:rPr>
        <w:b/>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8" w15:restartNumberingAfterBreak="0">
    <w:nsid w:val="3135019A"/>
    <w:multiLevelType w:val="hybridMultilevel"/>
    <w:tmpl w:val="F1A2648C"/>
    <w:lvl w:ilvl="0" w:tplc="CFF0AFAC">
      <w:start w:val="1"/>
      <w:numFmt w:val="lowerRoman"/>
      <w:lvlText w:val="%1."/>
      <w:lvlJc w:val="righ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120C2A"/>
    <w:multiLevelType w:val="hybridMultilevel"/>
    <w:tmpl w:val="F1A2648C"/>
    <w:lvl w:ilvl="0" w:tplc="CFF0AFAC">
      <w:start w:val="1"/>
      <w:numFmt w:val="lowerRoman"/>
      <w:lvlText w:val="%1."/>
      <w:lvlJc w:val="righ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5712E1"/>
    <w:multiLevelType w:val="hybridMultilevel"/>
    <w:tmpl w:val="F61AC64E"/>
    <w:lvl w:ilvl="0" w:tplc="27B0E474">
      <w:start w:val="1"/>
      <w:numFmt w:val="lowerRoman"/>
      <w:lvlText w:val="%1."/>
      <w:lvlJc w:val="right"/>
      <w:pPr>
        <w:ind w:left="1559" w:hanging="360"/>
      </w:pPr>
      <w:rPr>
        <w:b/>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1" w15:restartNumberingAfterBreak="0">
    <w:nsid w:val="3E2436DC"/>
    <w:multiLevelType w:val="hybridMultilevel"/>
    <w:tmpl w:val="B8AAD1B4"/>
    <w:lvl w:ilvl="0" w:tplc="97E47D74">
      <w:start w:val="1"/>
      <w:numFmt w:val="decimal"/>
      <w:lvlText w:val="%1."/>
      <w:lvlJc w:val="left"/>
      <w:pPr>
        <w:ind w:left="119" w:hanging="202"/>
      </w:pPr>
      <w:rPr>
        <w:rFonts w:ascii="Arial" w:eastAsia="Arial" w:hAnsi="Arial" w:cs="Arial" w:hint="default"/>
        <w:b/>
        <w:spacing w:val="-5"/>
        <w:w w:val="99"/>
        <w:sz w:val="18"/>
        <w:szCs w:val="18"/>
      </w:rPr>
    </w:lvl>
    <w:lvl w:ilvl="1" w:tplc="57140A24">
      <w:numFmt w:val="bullet"/>
      <w:lvlText w:val="•"/>
      <w:lvlJc w:val="left"/>
      <w:pPr>
        <w:ind w:left="1068" w:hanging="202"/>
      </w:pPr>
      <w:rPr>
        <w:rFonts w:hint="default"/>
      </w:rPr>
    </w:lvl>
    <w:lvl w:ilvl="2" w:tplc="7D3E44A2">
      <w:numFmt w:val="bullet"/>
      <w:lvlText w:val="•"/>
      <w:lvlJc w:val="left"/>
      <w:pPr>
        <w:ind w:left="2016" w:hanging="202"/>
      </w:pPr>
      <w:rPr>
        <w:rFonts w:hint="default"/>
      </w:rPr>
    </w:lvl>
    <w:lvl w:ilvl="3" w:tplc="6CB6EA02">
      <w:numFmt w:val="bullet"/>
      <w:lvlText w:val="•"/>
      <w:lvlJc w:val="left"/>
      <w:pPr>
        <w:ind w:left="2964" w:hanging="202"/>
      </w:pPr>
      <w:rPr>
        <w:rFonts w:hint="default"/>
      </w:rPr>
    </w:lvl>
    <w:lvl w:ilvl="4" w:tplc="F654A0DC">
      <w:numFmt w:val="bullet"/>
      <w:lvlText w:val="•"/>
      <w:lvlJc w:val="left"/>
      <w:pPr>
        <w:ind w:left="3912" w:hanging="202"/>
      </w:pPr>
      <w:rPr>
        <w:rFonts w:hint="default"/>
      </w:rPr>
    </w:lvl>
    <w:lvl w:ilvl="5" w:tplc="C64E1EB6">
      <w:numFmt w:val="bullet"/>
      <w:lvlText w:val="•"/>
      <w:lvlJc w:val="left"/>
      <w:pPr>
        <w:ind w:left="4860" w:hanging="202"/>
      </w:pPr>
      <w:rPr>
        <w:rFonts w:hint="default"/>
      </w:rPr>
    </w:lvl>
    <w:lvl w:ilvl="6" w:tplc="B052B842">
      <w:numFmt w:val="bullet"/>
      <w:lvlText w:val="•"/>
      <w:lvlJc w:val="left"/>
      <w:pPr>
        <w:ind w:left="5808" w:hanging="202"/>
      </w:pPr>
      <w:rPr>
        <w:rFonts w:hint="default"/>
      </w:rPr>
    </w:lvl>
    <w:lvl w:ilvl="7" w:tplc="620E3B98">
      <w:numFmt w:val="bullet"/>
      <w:lvlText w:val="•"/>
      <w:lvlJc w:val="left"/>
      <w:pPr>
        <w:ind w:left="6756" w:hanging="202"/>
      </w:pPr>
      <w:rPr>
        <w:rFonts w:hint="default"/>
      </w:rPr>
    </w:lvl>
    <w:lvl w:ilvl="8" w:tplc="BE429A82">
      <w:numFmt w:val="bullet"/>
      <w:lvlText w:val="•"/>
      <w:lvlJc w:val="left"/>
      <w:pPr>
        <w:ind w:left="7704" w:hanging="202"/>
      </w:pPr>
      <w:rPr>
        <w:rFonts w:hint="default"/>
      </w:rPr>
    </w:lvl>
  </w:abstractNum>
  <w:abstractNum w:abstractNumId="12" w15:restartNumberingAfterBreak="0">
    <w:nsid w:val="3FE60F3D"/>
    <w:multiLevelType w:val="hybridMultilevel"/>
    <w:tmpl w:val="5258676A"/>
    <w:lvl w:ilvl="0" w:tplc="CDE2EC6A">
      <w:start w:val="1"/>
      <w:numFmt w:val="lowerRoman"/>
      <w:lvlText w:val="%1."/>
      <w:lvlJc w:val="right"/>
      <w:pPr>
        <w:ind w:left="1559" w:hanging="360"/>
      </w:pPr>
      <w:rPr>
        <w:b/>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3" w15:restartNumberingAfterBreak="0">
    <w:nsid w:val="4FA70087"/>
    <w:multiLevelType w:val="hybridMultilevel"/>
    <w:tmpl w:val="72EC3752"/>
    <w:lvl w:ilvl="0" w:tplc="A3E619B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DE02FD"/>
    <w:multiLevelType w:val="hybridMultilevel"/>
    <w:tmpl w:val="F1A2648C"/>
    <w:lvl w:ilvl="0" w:tplc="CFF0AFAC">
      <w:start w:val="1"/>
      <w:numFmt w:val="lowerRoman"/>
      <w:lvlText w:val="%1."/>
      <w:lvlJc w:val="righ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75F2B3A"/>
    <w:multiLevelType w:val="hybridMultilevel"/>
    <w:tmpl w:val="08806264"/>
    <w:lvl w:ilvl="0" w:tplc="0409000F">
      <w:start w:val="1"/>
      <w:numFmt w:val="decimal"/>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6" w15:restartNumberingAfterBreak="0">
    <w:nsid w:val="582303E1"/>
    <w:multiLevelType w:val="hybridMultilevel"/>
    <w:tmpl w:val="C548FFD6"/>
    <w:lvl w:ilvl="0" w:tplc="5322CDFC">
      <w:start w:val="1"/>
      <w:numFmt w:val="lowerRoman"/>
      <w:lvlText w:val="%1."/>
      <w:lvlJc w:val="right"/>
      <w:pPr>
        <w:ind w:left="144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BA558A"/>
    <w:multiLevelType w:val="hybridMultilevel"/>
    <w:tmpl w:val="7E14390A"/>
    <w:lvl w:ilvl="0" w:tplc="E1041B12">
      <w:start w:val="1"/>
      <w:numFmt w:val="decimal"/>
      <w:lvlText w:val="%1)"/>
      <w:lvlJc w:val="left"/>
      <w:pPr>
        <w:ind w:left="2275" w:hanging="360"/>
      </w:pPr>
      <w:rPr>
        <w:b/>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18" w15:restartNumberingAfterBreak="0">
    <w:nsid w:val="6B2548AD"/>
    <w:multiLevelType w:val="hybridMultilevel"/>
    <w:tmpl w:val="BA921168"/>
    <w:lvl w:ilvl="0" w:tplc="2C341F80">
      <w:start w:val="1"/>
      <w:numFmt w:val="lowerRoman"/>
      <w:lvlText w:val="%1."/>
      <w:lvlJc w:val="right"/>
      <w:pPr>
        <w:ind w:left="1559" w:hanging="360"/>
      </w:pPr>
      <w:rPr>
        <w:b/>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9" w15:restartNumberingAfterBreak="0">
    <w:nsid w:val="6D495F4B"/>
    <w:multiLevelType w:val="hybridMultilevel"/>
    <w:tmpl w:val="646AD2F4"/>
    <w:lvl w:ilvl="0" w:tplc="85CEB7B2">
      <w:start w:val="1"/>
      <w:numFmt w:val="lowerLetter"/>
      <w:lvlText w:val="%1."/>
      <w:lvlJc w:val="left"/>
      <w:pPr>
        <w:ind w:left="839" w:hanging="360"/>
      </w:pPr>
      <w:rPr>
        <w:b/>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0" w15:restartNumberingAfterBreak="0">
    <w:nsid w:val="6EED48E1"/>
    <w:multiLevelType w:val="hybridMultilevel"/>
    <w:tmpl w:val="3926F232"/>
    <w:lvl w:ilvl="0" w:tplc="EFA2AD46">
      <w:start w:val="1"/>
      <w:numFmt w:val="decimal"/>
      <w:lvlText w:val="%1."/>
      <w:lvlJc w:val="left"/>
      <w:pPr>
        <w:ind w:left="119" w:hanging="202"/>
      </w:pPr>
      <w:rPr>
        <w:rFonts w:ascii="Arial" w:eastAsia="Arial" w:hAnsi="Arial" w:cs="Arial" w:hint="default"/>
        <w:spacing w:val="-4"/>
        <w:w w:val="99"/>
        <w:sz w:val="18"/>
        <w:szCs w:val="18"/>
      </w:rPr>
    </w:lvl>
    <w:lvl w:ilvl="1" w:tplc="0156ADB0">
      <w:numFmt w:val="bullet"/>
      <w:lvlText w:val="•"/>
      <w:lvlJc w:val="left"/>
      <w:pPr>
        <w:ind w:left="1068" w:hanging="202"/>
      </w:pPr>
      <w:rPr>
        <w:rFonts w:hint="default"/>
      </w:rPr>
    </w:lvl>
    <w:lvl w:ilvl="2" w:tplc="CFD6E322">
      <w:numFmt w:val="bullet"/>
      <w:lvlText w:val="•"/>
      <w:lvlJc w:val="left"/>
      <w:pPr>
        <w:ind w:left="2016" w:hanging="202"/>
      </w:pPr>
      <w:rPr>
        <w:rFonts w:hint="default"/>
      </w:rPr>
    </w:lvl>
    <w:lvl w:ilvl="3" w:tplc="23C819E0">
      <w:numFmt w:val="bullet"/>
      <w:lvlText w:val="•"/>
      <w:lvlJc w:val="left"/>
      <w:pPr>
        <w:ind w:left="2964" w:hanging="202"/>
      </w:pPr>
      <w:rPr>
        <w:rFonts w:hint="default"/>
      </w:rPr>
    </w:lvl>
    <w:lvl w:ilvl="4" w:tplc="21681192">
      <w:numFmt w:val="bullet"/>
      <w:lvlText w:val="•"/>
      <w:lvlJc w:val="left"/>
      <w:pPr>
        <w:ind w:left="3912" w:hanging="202"/>
      </w:pPr>
      <w:rPr>
        <w:rFonts w:hint="default"/>
      </w:rPr>
    </w:lvl>
    <w:lvl w:ilvl="5" w:tplc="4F583B9E">
      <w:numFmt w:val="bullet"/>
      <w:lvlText w:val="•"/>
      <w:lvlJc w:val="left"/>
      <w:pPr>
        <w:ind w:left="4860" w:hanging="202"/>
      </w:pPr>
      <w:rPr>
        <w:rFonts w:hint="default"/>
      </w:rPr>
    </w:lvl>
    <w:lvl w:ilvl="6" w:tplc="A972EE50">
      <w:numFmt w:val="bullet"/>
      <w:lvlText w:val="•"/>
      <w:lvlJc w:val="left"/>
      <w:pPr>
        <w:ind w:left="5808" w:hanging="202"/>
      </w:pPr>
      <w:rPr>
        <w:rFonts w:hint="default"/>
      </w:rPr>
    </w:lvl>
    <w:lvl w:ilvl="7" w:tplc="2F18F33C">
      <w:numFmt w:val="bullet"/>
      <w:lvlText w:val="•"/>
      <w:lvlJc w:val="left"/>
      <w:pPr>
        <w:ind w:left="6756" w:hanging="202"/>
      </w:pPr>
      <w:rPr>
        <w:rFonts w:hint="default"/>
      </w:rPr>
    </w:lvl>
    <w:lvl w:ilvl="8" w:tplc="E31AE130">
      <w:numFmt w:val="bullet"/>
      <w:lvlText w:val="•"/>
      <w:lvlJc w:val="left"/>
      <w:pPr>
        <w:ind w:left="7704" w:hanging="202"/>
      </w:pPr>
      <w:rPr>
        <w:rFonts w:hint="default"/>
      </w:rPr>
    </w:lvl>
  </w:abstractNum>
  <w:num w:numId="1">
    <w:abstractNumId w:val="0"/>
  </w:num>
  <w:num w:numId="2">
    <w:abstractNumId w:val="2"/>
  </w:num>
  <w:num w:numId="3">
    <w:abstractNumId w:val="20"/>
  </w:num>
  <w:num w:numId="4">
    <w:abstractNumId w:val="11"/>
  </w:num>
  <w:num w:numId="5">
    <w:abstractNumId w:val="19"/>
  </w:num>
  <w:num w:numId="6">
    <w:abstractNumId w:val="18"/>
  </w:num>
  <w:num w:numId="7">
    <w:abstractNumId w:val="10"/>
  </w:num>
  <w:num w:numId="8">
    <w:abstractNumId w:val="7"/>
  </w:num>
  <w:num w:numId="9">
    <w:abstractNumId w:val="6"/>
  </w:num>
  <w:num w:numId="10">
    <w:abstractNumId w:val="1"/>
  </w:num>
  <w:num w:numId="11">
    <w:abstractNumId w:val="12"/>
  </w:num>
  <w:num w:numId="12">
    <w:abstractNumId w:val="3"/>
  </w:num>
  <w:num w:numId="13">
    <w:abstractNumId w:val="16"/>
  </w:num>
  <w:num w:numId="14">
    <w:abstractNumId w:val="8"/>
  </w:num>
  <w:num w:numId="15">
    <w:abstractNumId w:val="14"/>
  </w:num>
  <w:num w:numId="16">
    <w:abstractNumId w:val="17"/>
  </w:num>
  <w:num w:numId="17">
    <w:abstractNumId w:val="9"/>
  </w:num>
  <w:num w:numId="18">
    <w:abstractNumId w:val="15"/>
  </w:num>
  <w:num w:numId="19">
    <w:abstractNumId w:val="4"/>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73"/>
    <w:rsid w:val="000F4031"/>
    <w:rsid w:val="00194C2D"/>
    <w:rsid w:val="001B3AF7"/>
    <w:rsid w:val="002D4C33"/>
    <w:rsid w:val="00314A60"/>
    <w:rsid w:val="003275B9"/>
    <w:rsid w:val="00354F73"/>
    <w:rsid w:val="00391C9A"/>
    <w:rsid w:val="003A2264"/>
    <w:rsid w:val="00415648"/>
    <w:rsid w:val="004203FE"/>
    <w:rsid w:val="004920DC"/>
    <w:rsid w:val="00591256"/>
    <w:rsid w:val="006579ED"/>
    <w:rsid w:val="00661237"/>
    <w:rsid w:val="006B20AA"/>
    <w:rsid w:val="006C4D95"/>
    <w:rsid w:val="006D6A5C"/>
    <w:rsid w:val="00747B08"/>
    <w:rsid w:val="00851B06"/>
    <w:rsid w:val="008639C9"/>
    <w:rsid w:val="00876B39"/>
    <w:rsid w:val="008F2D4A"/>
    <w:rsid w:val="0095134C"/>
    <w:rsid w:val="00961D2A"/>
    <w:rsid w:val="00A05E6A"/>
    <w:rsid w:val="00A96173"/>
    <w:rsid w:val="00B60B34"/>
    <w:rsid w:val="00C943BD"/>
    <w:rsid w:val="00D33058"/>
    <w:rsid w:val="00D5466F"/>
    <w:rsid w:val="00DD05E0"/>
    <w:rsid w:val="00E2530D"/>
    <w:rsid w:val="00E45B13"/>
    <w:rsid w:val="00E57D32"/>
    <w:rsid w:val="00ED4812"/>
    <w:rsid w:val="00FA1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EB432"/>
  <w15:docId w15:val="{A9F7D03D-E81E-4A0A-94A0-6C570FB1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8"/>
      <w:szCs w:val="18"/>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1C9A"/>
    <w:pPr>
      <w:tabs>
        <w:tab w:val="center" w:pos="4680"/>
        <w:tab w:val="right" w:pos="9360"/>
      </w:tabs>
    </w:pPr>
  </w:style>
  <w:style w:type="character" w:customStyle="1" w:styleId="HeaderChar">
    <w:name w:val="Header Char"/>
    <w:basedOn w:val="DefaultParagraphFont"/>
    <w:link w:val="Header"/>
    <w:uiPriority w:val="99"/>
    <w:rsid w:val="00391C9A"/>
    <w:rPr>
      <w:rFonts w:ascii="Arial" w:eastAsia="Arial" w:hAnsi="Arial" w:cs="Arial"/>
    </w:rPr>
  </w:style>
  <w:style w:type="paragraph" w:styleId="Footer">
    <w:name w:val="footer"/>
    <w:basedOn w:val="Normal"/>
    <w:link w:val="FooterChar"/>
    <w:uiPriority w:val="99"/>
    <w:unhideWhenUsed/>
    <w:rsid w:val="00391C9A"/>
    <w:pPr>
      <w:tabs>
        <w:tab w:val="center" w:pos="4680"/>
        <w:tab w:val="right" w:pos="9360"/>
      </w:tabs>
    </w:pPr>
  </w:style>
  <w:style w:type="character" w:customStyle="1" w:styleId="FooterChar">
    <w:name w:val="Footer Char"/>
    <w:basedOn w:val="DefaultParagraphFont"/>
    <w:link w:val="Footer"/>
    <w:uiPriority w:val="99"/>
    <w:rsid w:val="00391C9A"/>
    <w:rPr>
      <w:rFonts w:ascii="Arial" w:eastAsia="Arial" w:hAnsi="Arial" w:cs="Arial"/>
    </w:rPr>
  </w:style>
  <w:style w:type="paragraph" w:styleId="Revision">
    <w:name w:val="Revision"/>
    <w:hidden/>
    <w:uiPriority w:val="99"/>
    <w:semiHidden/>
    <w:rsid w:val="008639C9"/>
    <w:pPr>
      <w:widowControl/>
      <w:autoSpaceDE/>
      <w:autoSpaceDN/>
    </w:pPr>
    <w:rPr>
      <w:rFonts w:ascii="Arial" w:eastAsia="Arial" w:hAnsi="Arial" w:cs="Arial"/>
    </w:rPr>
  </w:style>
  <w:style w:type="paragraph" w:styleId="BodyTextIndent">
    <w:name w:val="Body Text Indent"/>
    <w:basedOn w:val="Normal"/>
    <w:link w:val="BodyTextIndentChar"/>
    <w:uiPriority w:val="99"/>
    <w:semiHidden/>
    <w:unhideWhenUsed/>
    <w:rsid w:val="008639C9"/>
    <w:pPr>
      <w:spacing w:after="120"/>
      <w:ind w:left="360"/>
    </w:pPr>
  </w:style>
  <w:style w:type="character" w:customStyle="1" w:styleId="BodyTextIndentChar">
    <w:name w:val="Body Text Indent Char"/>
    <w:basedOn w:val="DefaultParagraphFont"/>
    <w:link w:val="BodyTextIndent"/>
    <w:uiPriority w:val="99"/>
    <w:semiHidden/>
    <w:rsid w:val="008639C9"/>
    <w:rPr>
      <w:rFonts w:ascii="Arial" w:eastAsia="Arial" w:hAnsi="Arial" w:cs="Arial"/>
    </w:rPr>
  </w:style>
  <w:style w:type="character" w:styleId="CommentReference">
    <w:name w:val="annotation reference"/>
    <w:basedOn w:val="DefaultParagraphFont"/>
    <w:uiPriority w:val="99"/>
    <w:semiHidden/>
    <w:unhideWhenUsed/>
    <w:rsid w:val="008639C9"/>
    <w:rPr>
      <w:sz w:val="16"/>
      <w:szCs w:val="16"/>
    </w:rPr>
  </w:style>
  <w:style w:type="paragraph" w:styleId="CommentText">
    <w:name w:val="annotation text"/>
    <w:basedOn w:val="Normal"/>
    <w:link w:val="CommentTextChar"/>
    <w:uiPriority w:val="99"/>
    <w:unhideWhenUsed/>
    <w:rsid w:val="008639C9"/>
    <w:rPr>
      <w:sz w:val="20"/>
      <w:szCs w:val="20"/>
    </w:rPr>
  </w:style>
  <w:style w:type="character" w:customStyle="1" w:styleId="CommentTextChar">
    <w:name w:val="Comment Text Char"/>
    <w:basedOn w:val="DefaultParagraphFont"/>
    <w:link w:val="CommentText"/>
    <w:uiPriority w:val="99"/>
    <w:rsid w:val="008639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639C9"/>
    <w:rPr>
      <w:b/>
      <w:bCs/>
    </w:rPr>
  </w:style>
  <w:style w:type="character" w:customStyle="1" w:styleId="CommentSubjectChar">
    <w:name w:val="Comment Subject Char"/>
    <w:basedOn w:val="CommentTextChar"/>
    <w:link w:val="CommentSubject"/>
    <w:uiPriority w:val="99"/>
    <w:semiHidden/>
    <w:rsid w:val="008639C9"/>
    <w:rPr>
      <w:rFonts w:ascii="Arial" w:eastAsia="Arial" w:hAnsi="Arial" w:cs="Arial"/>
      <w:b/>
      <w:bCs/>
      <w:sz w:val="20"/>
      <w:szCs w:val="20"/>
    </w:rPr>
  </w:style>
  <w:style w:type="paragraph" w:styleId="BalloonText">
    <w:name w:val="Balloon Text"/>
    <w:basedOn w:val="Normal"/>
    <w:link w:val="BalloonTextChar"/>
    <w:uiPriority w:val="99"/>
    <w:semiHidden/>
    <w:unhideWhenUsed/>
    <w:rsid w:val="00A96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17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pyright.com/"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adobe.com/type/browser/legal/embeddingeul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upport.xerox.com/support/open-source-disclosures/fileredirect/"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Tofte, Rosa</dc:creator>
  <cp:lastModifiedBy>Pollack, Nikki</cp:lastModifiedBy>
  <cp:revision>2</cp:revision>
  <dcterms:created xsi:type="dcterms:W3CDTF">2023-11-20T19:45:00Z</dcterms:created>
  <dcterms:modified xsi:type="dcterms:W3CDTF">2023-11-20T19:45:00Z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Acrobat PDFMaker 15 for Word</vt:lpwstr>
  </property>
  <property fmtid="{D5CDD505-2E9C-101B-9397-08002B2CF9AE}" pid="4" name="LastSaved">
    <vt:filetime>2019-05-28T00:00:00Z</vt:filetime>
  </property>
</Properties>
</file>