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FF5F3" w14:textId="31F78A9F" w:rsidR="009E697C" w:rsidRPr="00E847D4" w:rsidRDefault="009E697C" w:rsidP="009E697C">
      <w:pPr>
        <w:pStyle w:val="Heading1"/>
        <w:spacing w:before="0"/>
        <w:jc w:val="center"/>
        <w:rPr>
          <w:rFonts w:ascii="Arial" w:hAnsi="Arial" w:cs="Arial"/>
          <w:color w:val="000000" w:themeColor="text1"/>
          <w:sz w:val="20"/>
          <w:szCs w:val="20"/>
        </w:rPr>
      </w:pPr>
      <w:bookmarkStart w:id="0" w:name="_Toc15396374"/>
      <w:r w:rsidRPr="00E847D4">
        <w:rPr>
          <w:rFonts w:ascii="Arial" w:hAnsi="Arial" w:cs="Arial"/>
          <w:color w:val="000000" w:themeColor="text1"/>
          <w:sz w:val="20"/>
          <w:szCs w:val="20"/>
        </w:rPr>
        <w:t xml:space="preserve">ATTACHMENT </w:t>
      </w:r>
      <w:r w:rsidR="00333CC0" w:rsidRPr="00E847D4">
        <w:rPr>
          <w:rFonts w:ascii="Arial" w:hAnsi="Arial" w:cs="Arial"/>
          <w:color w:val="000000" w:themeColor="text1"/>
          <w:sz w:val="20"/>
          <w:szCs w:val="20"/>
        </w:rPr>
        <w:t>A -</w:t>
      </w:r>
      <w:r w:rsidRPr="00E847D4">
        <w:rPr>
          <w:rFonts w:ascii="Arial" w:hAnsi="Arial" w:cs="Arial"/>
          <w:color w:val="000000" w:themeColor="text1"/>
          <w:sz w:val="20"/>
          <w:szCs w:val="20"/>
        </w:rPr>
        <w:t xml:space="preserve"> XEROX GENERAL TERMS</w:t>
      </w:r>
      <w:bookmarkEnd w:id="0"/>
      <w:r w:rsidRPr="00E847D4">
        <w:rPr>
          <w:rFonts w:ascii="Arial" w:hAnsi="Arial" w:cs="Arial"/>
          <w:color w:val="000000" w:themeColor="text1"/>
          <w:sz w:val="20"/>
          <w:szCs w:val="20"/>
        </w:rPr>
        <w:t xml:space="preserve"> </w:t>
      </w:r>
    </w:p>
    <w:p w14:paraId="7BD2AAD2" w14:textId="77777777" w:rsidR="00333CC0" w:rsidRPr="00E847D4" w:rsidRDefault="00333CC0" w:rsidP="009E697C">
      <w:pPr>
        <w:rPr>
          <w:rFonts w:cs="Arial"/>
          <w:sz w:val="20"/>
        </w:rPr>
      </w:pPr>
    </w:p>
    <w:p w14:paraId="74CB3108" w14:textId="008DB4EE" w:rsidR="009E697C" w:rsidRPr="00E847D4" w:rsidRDefault="00333CC0" w:rsidP="009E697C">
      <w:pPr>
        <w:rPr>
          <w:rFonts w:cs="Arial"/>
          <w:sz w:val="20"/>
        </w:rPr>
      </w:pPr>
      <w:r w:rsidRPr="00E847D4">
        <w:rPr>
          <w:rFonts w:cs="Arial"/>
          <w:sz w:val="20"/>
        </w:rPr>
        <w:t>The following terms and conditions apply to all Xerox transactions.</w:t>
      </w:r>
    </w:p>
    <w:p w14:paraId="3225043B" w14:textId="77777777" w:rsidR="009E697C" w:rsidRPr="00E847D4" w:rsidRDefault="009E697C" w:rsidP="009E697C">
      <w:pPr>
        <w:rPr>
          <w:rFonts w:cs="Arial"/>
          <w:sz w:val="20"/>
        </w:rPr>
      </w:pPr>
    </w:p>
    <w:p w14:paraId="51201CE1" w14:textId="77777777" w:rsidR="009E697C" w:rsidRPr="00E847D4" w:rsidRDefault="009E697C" w:rsidP="009E697C">
      <w:pPr>
        <w:rPr>
          <w:rFonts w:cs="Arial"/>
          <w:b/>
          <w:sz w:val="20"/>
        </w:rPr>
      </w:pPr>
      <w:r w:rsidRPr="00E847D4">
        <w:rPr>
          <w:rFonts w:cs="Arial"/>
          <w:b/>
          <w:sz w:val="20"/>
        </w:rPr>
        <w:t>GENERAL TERMS &amp; CONDITIONS:</w:t>
      </w:r>
    </w:p>
    <w:p w14:paraId="5800CE96" w14:textId="77777777" w:rsidR="009E697C" w:rsidRPr="00E847D4" w:rsidRDefault="009E697C" w:rsidP="009E697C">
      <w:pPr>
        <w:pStyle w:val="ListParagraph"/>
        <w:widowControl w:val="0"/>
        <w:numPr>
          <w:ilvl w:val="0"/>
          <w:numId w:val="2"/>
        </w:numPr>
        <w:tabs>
          <w:tab w:val="left" w:pos="561"/>
        </w:tabs>
        <w:autoSpaceDE w:val="0"/>
        <w:autoSpaceDN w:val="0"/>
        <w:spacing w:before="95" w:line="276" w:lineRule="auto"/>
        <w:ind w:left="562" w:right="346" w:hanging="360"/>
        <w:contextualSpacing w:val="0"/>
        <w:jc w:val="both"/>
        <w:rPr>
          <w:rFonts w:cs="Arial"/>
          <w:sz w:val="20"/>
          <w:szCs w:val="20"/>
        </w:rPr>
      </w:pPr>
      <w:r w:rsidRPr="00E847D4">
        <w:rPr>
          <w:rFonts w:cs="Arial"/>
          <w:b/>
          <w:sz w:val="20"/>
          <w:szCs w:val="20"/>
        </w:rPr>
        <w:t xml:space="preserve">REPRESENTATIONS. </w:t>
      </w:r>
      <w:r w:rsidRPr="00E847D4">
        <w:rPr>
          <w:rFonts w:cs="Arial"/>
          <w:sz w:val="20"/>
          <w:szCs w:val="20"/>
        </w:rPr>
        <w:t>The individuals entering into this Agreement are duly authorized to do so and all financial information you provide completely and accurately represents your financial</w:t>
      </w:r>
      <w:r w:rsidRPr="00E847D4">
        <w:rPr>
          <w:rFonts w:cs="Arial"/>
          <w:spacing w:val="-17"/>
          <w:sz w:val="20"/>
          <w:szCs w:val="20"/>
        </w:rPr>
        <w:t xml:space="preserve"> </w:t>
      </w:r>
      <w:r w:rsidRPr="00E847D4">
        <w:rPr>
          <w:rFonts w:cs="Arial"/>
          <w:sz w:val="20"/>
          <w:szCs w:val="20"/>
        </w:rPr>
        <w:t>condition.</w:t>
      </w:r>
    </w:p>
    <w:p w14:paraId="32022B15" w14:textId="16781618" w:rsidR="009E697C" w:rsidRPr="00E847D4" w:rsidRDefault="009E697C" w:rsidP="009E697C">
      <w:pPr>
        <w:pStyle w:val="ListParagraph"/>
        <w:widowControl w:val="0"/>
        <w:numPr>
          <w:ilvl w:val="0"/>
          <w:numId w:val="2"/>
        </w:numPr>
        <w:tabs>
          <w:tab w:val="left" w:pos="561"/>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CONSUMABLE SUPPLIES</w:t>
      </w:r>
      <w:r w:rsidRPr="00E847D4">
        <w:rPr>
          <w:rFonts w:cs="Arial"/>
          <w:sz w:val="20"/>
          <w:szCs w:val="20"/>
        </w:rPr>
        <w:t>.</w:t>
      </w:r>
      <w:r w:rsidR="00106B92" w:rsidRPr="00E847D4">
        <w:rPr>
          <w:rFonts w:cs="Arial"/>
          <w:sz w:val="20"/>
          <w:szCs w:val="20"/>
        </w:rPr>
        <w:t xml:space="preserve"> Consumable Supplies vary depending upon the Equipment model.  If “Consumable Supplies” is identified in Maintenance Plan features, Consumable Supplies include: (i) for black and white Equipment, standard black toner and/or dry ink, black developer, Copy Cartridges, and, if applicable, fuser agent required to make impressions; (ii) for full color Equipment, the items in (i) plus standard cyan, magenta, and yellow toners and dry inks (and their associated developers); and, (iii) for Equipment identified as “Phaser”, only, if applicable, black solid ink, color solid ink, imaging units, waste cartridges, transfer rolls, transfer belts, transfer units, belt cleaner, maintenance kits, print Cartridges, drum Cartridges, waste trays and cleaning kits.  Unless otherwise set forth herein, Consumable Supplies exclude paper and staples.  Xerox may charge a shipping fee for Consumable Supplies.  Consumable Supplies are Xerox's property until used by you, and you will use them only with the Equipment for which "Consumable Supplies" is identified in Maintenance Plan Features.  If Consumables Supplies are furnished with recycling information, you will return the used item to Xerox for remanufacturing.  Shipping information is available at Xerox.com/GWA.  Upon expiration of this Agreement, you will include any unused Consumable Supplies with the Equipment for return to Xerox at the time of removal.  If your use of Consumable Supplies exceeds Xerox's published yield by more than 10%, Xerox will notify you of such excess usage.  If such excess usage does not cease within 30 days after such notice, Xerox may charge you for such excess usage.  Upon request, you will provide current meter reads and/or an inventory of Consumable Supplies in your possession.</w:t>
      </w:r>
    </w:p>
    <w:p w14:paraId="02C2786F" w14:textId="77777777" w:rsidR="00106B92" w:rsidRPr="00E847D4" w:rsidRDefault="009E697C" w:rsidP="009E697C">
      <w:pPr>
        <w:pStyle w:val="ListParagraph"/>
        <w:widowControl w:val="0"/>
        <w:numPr>
          <w:ilvl w:val="0"/>
          <w:numId w:val="2"/>
        </w:numPr>
        <w:tabs>
          <w:tab w:val="left" w:pos="560"/>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 xml:space="preserve">CARTRIDGES. </w:t>
      </w:r>
      <w:r w:rsidR="00106B92" w:rsidRPr="00E847D4">
        <w:rPr>
          <w:rFonts w:cs="Arial"/>
          <w:sz w:val="20"/>
          <w:szCs w:val="20"/>
        </w:rPr>
        <w:t xml:space="preserve">If Xerox is providing Maintenance Services for Equipment utilizing cartridges designated by Xerox as customer replaceable units, including copy/print cartridges and xerographic modules or fuser modules ("Cartridges"), you agree to use only unmodified Cartridges purchased directly from Xerox or its authorized resellers in the U.S.  Cartridges packed with Equipment and replacement Cartridges may be new, remanufactured or reprocessed.  Remanufactured and reprocessed Cartridges meet Xerox's new Cartridge performance standards and contain new or reprocessed components.  To enhance print quality, Cartridge(s) for many models of Equipment have been designed to cease functioning at a predetermined point.  In addition, many Equipment models are designed to function only with Cartridges that are newly manufactured original Xerox Cartridges or with Cartridges intended for use in the U.S. </w:t>
      </w:r>
    </w:p>
    <w:p w14:paraId="0ADB7753" w14:textId="46B464C0" w:rsidR="00F671FF" w:rsidRPr="00E847D4" w:rsidRDefault="009E697C" w:rsidP="002B559A">
      <w:pPr>
        <w:pStyle w:val="ListParagraph"/>
        <w:numPr>
          <w:ilvl w:val="0"/>
          <w:numId w:val="2"/>
        </w:numPr>
        <w:tabs>
          <w:tab w:val="left" w:pos="560"/>
        </w:tabs>
        <w:spacing w:before="95" w:line="276" w:lineRule="auto"/>
        <w:ind w:left="562" w:right="331" w:hanging="360"/>
        <w:contextualSpacing w:val="0"/>
        <w:jc w:val="both"/>
        <w:rPr>
          <w:rFonts w:cs="Arial"/>
          <w:bCs/>
          <w:spacing w:val="-7"/>
          <w:sz w:val="20"/>
          <w:szCs w:val="20"/>
        </w:rPr>
      </w:pPr>
      <w:bookmarkStart w:id="1" w:name="_GoBack"/>
      <w:r w:rsidRPr="00E847D4">
        <w:rPr>
          <w:rFonts w:cs="Arial"/>
          <w:b/>
          <w:sz w:val="20"/>
          <w:szCs w:val="20"/>
        </w:rPr>
        <w:t>“</w:t>
      </w:r>
      <w:r w:rsidR="00CC61DC" w:rsidRPr="00E847D4">
        <w:rPr>
          <w:rFonts w:cs="Arial"/>
          <w:b/>
          <w:sz w:val="20"/>
          <w:szCs w:val="20"/>
        </w:rPr>
        <w:t>GUARANTEE PERIOD</w:t>
      </w:r>
      <w:r w:rsidRPr="00E847D4">
        <w:rPr>
          <w:rFonts w:cs="Arial"/>
          <w:b/>
          <w:sz w:val="20"/>
          <w:szCs w:val="20"/>
        </w:rPr>
        <w:t>”</w:t>
      </w:r>
      <w:r w:rsidRPr="00E847D4">
        <w:rPr>
          <w:rFonts w:cs="Arial"/>
          <w:b/>
          <w:spacing w:val="-7"/>
          <w:sz w:val="20"/>
          <w:szCs w:val="20"/>
        </w:rPr>
        <w:t xml:space="preserve"> </w:t>
      </w:r>
      <w:r w:rsidR="00F671FF" w:rsidRPr="00E847D4">
        <w:rPr>
          <w:rFonts w:cs="Arial"/>
          <w:sz w:val="20"/>
          <w:szCs w:val="20"/>
        </w:rPr>
        <w:t>Xerox warrants equipment performance not just for 90 days like many manufacturers, but for the entire term of a lease agreement or 36 months for equipment that is purchased. The only time this is not applicable is for a limited number of Group C products which are special production units that need at least 180 days to implement unique applications.</w:t>
      </w:r>
    </w:p>
    <w:bookmarkEnd w:id="1"/>
    <w:p w14:paraId="3FF3AD85" w14:textId="4838E745" w:rsidR="009E697C" w:rsidRPr="00E847D4" w:rsidRDefault="00F671FF" w:rsidP="00F671FF">
      <w:pPr>
        <w:pStyle w:val="ListParagraph"/>
        <w:widowControl w:val="0"/>
        <w:tabs>
          <w:tab w:val="left" w:pos="560"/>
        </w:tabs>
        <w:autoSpaceDE w:val="0"/>
        <w:autoSpaceDN w:val="0"/>
        <w:spacing w:before="95" w:line="276" w:lineRule="auto"/>
        <w:ind w:left="560" w:right="331"/>
        <w:contextualSpacing w:val="0"/>
        <w:jc w:val="both"/>
        <w:rPr>
          <w:rFonts w:cs="Arial"/>
          <w:sz w:val="20"/>
          <w:szCs w:val="20"/>
        </w:rPr>
      </w:pPr>
      <w:r w:rsidRPr="00E847D4">
        <w:rPr>
          <w:rFonts w:cs="Arial"/>
          <w:sz w:val="20"/>
          <w:szCs w:val="20"/>
        </w:rPr>
        <w:t xml:space="preserve">In the case of those Group C products that have an implementation period for unique applications the team will work with the customer to agree upon a Customer Expectations Document (“CED”) that will lay out the performance expectations.  As long as the equipment is continuously maintained on a Xerox Full Service Maintenance Agreement during its term or for 36 months from purchase, if the Equipment is not performing substantially consistent with the performance expectations outlined in the Customer Expectations Document (“CED”) or such other </w:t>
      </w:r>
      <w:r w:rsidRPr="00E847D4">
        <w:rPr>
          <w:rFonts w:cs="Arial"/>
          <w:sz w:val="20"/>
          <w:szCs w:val="20"/>
        </w:rPr>
        <w:lastRenderedPageBreak/>
        <w:t>documentation provided with the Equipment if a CED does not accompany the Equipment (the “Documentation”), Xerox will, after attempting to repair the device per the Maintenance Services provision hereto and upon the Participating Entity’s request but in Xerox’s sole discretion, replace such Equipment without charge with identical Equipment or with other Equipment with comparable features and capabilities.</w:t>
      </w:r>
    </w:p>
    <w:p w14:paraId="44C60C9C" w14:textId="27AA7CFD" w:rsidR="008D08AA" w:rsidRPr="00E847D4" w:rsidRDefault="008D08AA" w:rsidP="002B559A">
      <w:pPr>
        <w:pStyle w:val="ListParagraph"/>
        <w:numPr>
          <w:ilvl w:val="0"/>
          <w:numId w:val="2"/>
        </w:numPr>
        <w:spacing w:before="95"/>
        <w:ind w:left="562" w:hanging="360"/>
        <w:contextualSpacing w:val="0"/>
        <w:rPr>
          <w:rFonts w:cs="Arial"/>
          <w:b/>
          <w:sz w:val="20"/>
          <w:szCs w:val="20"/>
        </w:rPr>
      </w:pPr>
      <w:r w:rsidRPr="00E847D4">
        <w:rPr>
          <w:rFonts w:cs="Arial"/>
          <w:b/>
          <w:sz w:val="20"/>
          <w:szCs w:val="20"/>
        </w:rPr>
        <w:t xml:space="preserve">NON-APPROPRIATION OF FUNDS. </w:t>
      </w:r>
      <w:r w:rsidRPr="00E847D4">
        <w:rPr>
          <w:rFonts w:cs="Arial"/>
          <w:sz w:val="20"/>
          <w:szCs w:val="20"/>
        </w:rPr>
        <w:t>The continuation of any lease, rental purchase or maintenance agreement will be subject to, and contingent upon, sufficient funds being made available by the Participating State, Purchasing Entity local source, State Legislature and/or federal sources. The Purchasing Entity may terminate any such lease or rental agreement, and Xerox waives any and all claim(s) for damages, effective immediately upon receipt of written notice (or any date specified therein) if for any reason the Purchasing Entity’s funding sources are not available.</w:t>
      </w:r>
    </w:p>
    <w:p w14:paraId="0254994B" w14:textId="77777777" w:rsidR="009E697C" w:rsidRPr="00E847D4" w:rsidRDefault="009E697C" w:rsidP="009E697C">
      <w:pPr>
        <w:pStyle w:val="ListParagraph"/>
        <w:widowControl w:val="0"/>
        <w:numPr>
          <w:ilvl w:val="0"/>
          <w:numId w:val="2"/>
        </w:numPr>
        <w:tabs>
          <w:tab w:val="left" w:pos="561"/>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LIMITATION</w:t>
      </w:r>
      <w:r w:rsidRPr="00E847D4">
        <w:rPr>
          <w:rFonts w:cs="Arial"/>
          <w:b/>
          <w:spacing w:val="-6"/>
          <w:sz w:val="20"/>
          <w:szCs w:val="20"/>
        </w:rPr>
        <w:t xml:space="preserve"> </w:t>
      </w:r>
      <w:r w:rsidRPr="00E847D4">
        <w:rPr>
          <w:rFonts w:cs="Arial"/>
          <w:b/>
          <w:sz w:val="20"/>
          <w:szCs w:val="20"/>
        </w:rPr>
        <w:t>OF</w:t>
      </w:r>
      <w:r w:rsidRPr="00E847D4">
        <w:rPr>
          <w:rFonts w:cs="Arial"/>
          <w:b/>
          <w:spacing w:val="-5"/>
          <w:sz w:val="20"/>
          <w:szCs w:val="20"/>
        </w:rPr>
        <w:t xml:space="preserve"> </w:t>
      </w:r>
      <w:r w:rsidRPr="00E847D4">
        <w:rPr>
          <w:rFonts w:cs="Arial"/>
          <w:b/>
          <w:sz w:val="20"/>
          <w:szCs w:val="20"/>
        </w:rPr>
        <w:t>LIABILITY.</w:t>
      </w:r>
      <w:r w:rsidRPr="00E847D4">
        <w:rPr>
          <w:rFonts w:cs="Arial"/>
          <w:b/>
          <w:spacing w:val="-4"/>
          <w:sz w:val="20"/>
          <w:szCs w:val="20"/>
        </w:rPr>
        <w:t xml:space="preserve"> </w:t>
      </w:r>
      <w:r w:rsidRPr="00E847D4">
        <w:rPr>
          <w:rFonts w:cs="Arial"/>
          <w:sz w:val="20"/>
          <w:szCs w:val="20"/>
        </w:rPr>
        <w:t>For</w:t>
      </w:r>
      <w:r w:rsidRPr="00E847D4">
        <w:rPr>
          <w:rFonts w:cs="Arial"/>
          <w:spacing w:val="-8"/>
          <w:sz w:val="20"/>
          <w:szCs w:val="20"/>
        </w:rPr>
        <w:t xml:space="preserve"> </w:t>
      </w:r>
      <w:r w:rsidRPr="00E847D4">
        <w:rPr>
          <w:rFonts w:cs="Arial"/>
          <w:sz w:val="20"/>
          <w:szCs w:val="20"/>
        </w:rPr>
        <w:t>claims</w:t>
      </w:r>
      <w:r w:rsidRPr="00E847D4">
        <w:rPr>
          <w:rFonts w:cs="Arial"/>
          <w:spacing w:val="-6"/>
          <w:sz w:val="20"/>
          <w:szCs w:val="20"/>
        </w:rPr>
        <w:t xml:space="preserve"> </w:t>
      </w:r>
      <w:r w:rsidRPr="00E847D4">
        <w:rPr>
          <w:rFonts w:cs="Arial"/>
          <w:sz w:val="20"/>
          <w:szCs w:val="20"/>
        </w:rPr>
        <w:t>arising</w:t>
      </w:r>
      <w:r w:rsidRPr="00E847D4">
        <w:rPr>
          <w:rFonts w:cs="Arial"/>
          <w:spacing w:val="-8"/>
          <w:sz w:val="20"/>
          <w:szCs w:val="20"/>
        </w:rPr>
        <w:t xml:space="preserve"> </w:t>
      </w:r>
      <w:r w:rsidRPr="00E847D4">
        <w:rPr>
          <w:rFonts w:cs="Arial"/>
          <w:sz w:val="20"/>
          <w:szCs w:val="20"/>
        </w:rPr>
        <w:t>out</w:t>
      </w:r>
      <w:r w:rsidRPr="00E847D4">
        <w:rPr>
          <w:rFonts w:cs="Arial"/>
          <w:spacing w:val="-6"/>
          <w:sz w:val="20"/>
          <w:szCs w:val="20"/>
        </w:rPr>
        <w:t xml:space="preserve"> </w:t>
      </w:r>
      <w:r w:rsidRPr="00E847D4">
        <w:rPr>
          <w:rFonts w:cs="Arial"/>
          <w:sz w:val="20"/>
          <w:szCs w:val="20"/>
        </w:rPr>
        <w:t>of</w:t>
      </w:r>
      <w:r w:rsidRPr="00E847D4">
        <w:rPr>
          <w:rFonts w:cs="Arial"/>
          <w:spacing w:val="-6"/>
          <w:sz w:val="20"/>
          <w:szCs w:val="20"/>
        </w:rPr>
        <w:t xml:space="preserve"> </w:t>
      </w:r>
      <w:r w:rsidRPr="00E847D4">
        <w:rPr>
          <w:rFonts w:cs="Arial"/>
          <w:sz w:val="20"/>
          <w:szCs w:val="20"/>
        </w:rPr>
        <w:t>or</w:t>
      </w:r>
      <w:r w:rsidRPr="00E847D4">
        <w:rPr>
          <w:rFonts w:cs="Arial"/>
          <w:spacing w:val="-5"/>
          <w:sz w:val="20"/>
          <w:szCs w:val="20"/>
        </w:rPr>
        <w:t xml:space="preserve"> </w:t>
      </w:r>
      <w:r w:rsidRPr="00E847D4">
        <w:rPr>
          <w:rFonts w:cs="Arial"/>
          <w:sz w:val="20"/>
          <w:szCs w:val="20"/>
        </w:rPr>
        <w:t>relating</w:t>
      </w:r>
      <w:r w:rsidRPr="00E847D4">
        <w:rPr>
          <w:rFonts w:cs="Arial"/>
          <w:spacing w:val="-8"/>
          <w:sz w:val="20"/>
          <w:szCs w:val="20"/>
        </w:rPr>
        <w:t xml:space="preserve"> </w:t>
      </w:r>
      <w:r w:rsidRPr="00E847D4">
        <w:rPr>
          <w:rFonts w:cs="Arial"/>
          <w:sz w:val="20"/>
          <w:szCs w:val="20"/>
        </w:rPr>
        <w:t>to</w:t>
      </w:r>
      <w:r w:rsidRPr="00E847D4">
        <w:rPr>
          <w:rFonts w:cs="Arial"/>
          <w:spacing w:val="-8"/>
          <w:sz w:val="20"/>
          <w:szCs w:val="20"/>
        </w:rPr>
        <w:t xml:space="preserve"> </w:t>
      </w:r>
      <w:r w:rsidRPr="00E847D4">
        <w:rPr>
          <w:rFonts w:cs="Arial"/>
          <w:sz w:val="20"/>
          <w:szCs w:val="20"/>
        </w:rPr>
        <w:t>this</w:t>
      </w:r>
      <w:r w:rsidRPr="00E847D4">
        <w:rPr>
          <w:rFonts w:cs="Arial"/>
          <w:spacing w:val="-6"/>
          <w:sz w:val="20"/>
          <w:szCs w:val="20"/>
        </w:rPr>
        <w:t xml:space="preserve"> </w:t>
      </w:r>
      <w:r w:rsidRPr="00E847D4">
        <w:rPr>
          <w:rFonts w:cs="Arial"/>
          <w:sz w:val="20"/>
          <w:szCs w:val="20"/>
        </w:rPr>
        <w:t>Agreement,</w:t>
      </w:r>
      <w:r w:rsidRPr="00E847D4">
        <w:rPr>
          <w:rFonts w:cs="Arial"/>
          <w:spacing w:val="-6"/>
          <w:sz w:val="20"/>
          <w:szCs w:val="20"/>
        </w:rPr>
        <w:t xml:space="preserve"> </w:t>
      </w:r>
      <w:r w:rsidRPr="00E847D4">
        <w:rPr>
          <w:rFonts w:cs="Arial"/>
          <w:sz w:val="20"/>
          <w:szCs w:val="20"/>
        </w:rPr>
        <w:t>whether</w:t>
      </w:r>
      <w:r w:rsidRPr="00E847D4">
        <w:rPr>
          <w:rFonts w:cs="Arial"/>
          <w:spacing w:val="-5"/>
          <w:sz w:val="20"/>
          <w:szCs w:val="20"/>
        </w:rPr>
        <w:t xml:space="preserve"> </w:t>
      </w:r>
      <w:r w:rsidRPr="00E847D4">
        <w:rPr>
          <w:rFonts w:cs="Arial"/>
          <w:sz w:val="20"/>
          <w:szCs w:val="20"/>
        </w:rPr>
        <w:t>the</w:t>
      </w:r>
      <w:r w:rsidRPr="00E847D4">
        <w:rPr>
          <w:rFonts w:cs="Arial"/>
          <w:spacing w:val="-8"/>
          <w:sz w:val="20"/>
          <w:szCs w:val="20"/>
        </w:rPr>
        <w:t xml:space="preserve"> </w:t>
      </w:r>
      <w:r w:rsidRPr="00E847D4">
        <w:rPr>
          <w:rFonts w:cs="Arial"/>
          <w:sz w:val="20"/>
          <w:szCs w:val="20"/>
        </w:rPr>
        <w:t>claim</w:t>
      </w:r>
      <w:r w:rsidRPr="00E847D4">
        <w:rPr>
          <w:rFonts w:cs="Arial"/>
          <w:spacing w:val="-4"/>
          <w:sz w:val="20"/>
          <w:szCs w:val="20"/>
        </w:rPr>
        <w:t xml:space="preserve"> </w:t>
      </w:r>
      <w:r w:rsidRPr="00E847D4">
        <w:rPr>
          <w:rFonts w:cs="Arial"/>
          <w:sz w:val="20"/>
          <w:szCs w:val="20"/>
        </w:rPr>
        <w:t>alleges</w:t>
      </w:r>
      <w:r w:rsidRPr="00E847D4">
        <w:rPr>
          <w:rFonts w:cs="Arial"/>
          <w:spacing w:val="-6"/>
          <w:sz w:val="20"/>
          <w:szCs w:val="20"/>
        </w:rPr>
        <w:t xml:space="preserve"> </w:t>
      </w:r>
      <w:r w:rsidRPr="00E847D4">
        <w:rPr>
          <w:rFonts w:cs="Arial"/>
          <w:sz w:val="20"/>
          <w:szCs w:val="20"/>
        </w:rPr>
        <w:t>tortious</w:t>
      </w:r>
      <w:r w:rsidRPr="00E847D4">
        <w:rPr>
          <w:rFonts w:cs="Arial"/>
          <w:spacing w:val="-6"/>
          <w:sz w:val="20"/>
          <w:szCs w:val="20"/>
        </w:rPr>
        <w:t xml:space="preserve"> </w:t>
      </w:r>
      <w:r w:rsidRPr="00E847D4">
        <w:rPr>
          <w:rFonts w:cs="Arial"/>
          <w:sz w:val="20"/>
          <w:szCs w:val="20"/>
        </w:rPr>
        <w:t>conduct</w:t>
      </w:r>
      <w:r w:rsidRPr="00E847D4">
        <w:rPr>
          <w:rFonts w:cs="Arial"/>
          <w:spacing w:val="-6"/>
          <w:sz w:val="20"/>
          <w:szCs w:val="20"/>
        </w:rPr>
        <w:t xml:space="preserve"> </w:t>
      </w:r>
      <w:r w:rsidRPr="00E847D4">
        <w:rPr>
          <w:rFonts w:cs="Arial"/>
          <w:sz w:val="20"/>
          <w:szCs w:val="20"/>
        </w:rPr>
        <w:t>(including</w:t>
      </w:r>
      <w:r w:rsidRPr="00E847D4">
        <w:rPr>
          <w:rFonts w:cs="Arial"/>
          <w:spacing w:val="-5"/>
          <w:sz w:val="20"/>
          <w:szCs w:val="20"/>
        </w:rPr>
        <w:t xml:space="preserve"> </w:t>
      </w:r>
      <w:r w:rsidRPr="00E847D4">
        <w:rPr>
          <w:rFonts w:cs="Arial"/>
          <w:sz w:val="20"/>
          <w:szCs w:val="20"/>
        </w:rPr>
        <w:t>negligence) or</w:t>
      </w:r>
      <w:r w:rsidRPr="00E847D4">
        <w:rPr>
          <w:rFonts w:cs="Arial"/>
          <w:spacing w:val="-7"/>
          <w:sz w:val="20"/>
          <w:szCs w:val="20"/>
        </w:rPr>
        <w:t xml:space="preserve"> </w:t>
      </w:r>
      <w:r w:rsidRPr="00E847D4">
        <w:rPr>
          <w:rFonts w:cs="Arial"/>
          <w:sz w:val="20"/>
          <w:szCs w:val="20"/>
        </w:rPr>
        <w:t>any</w:t>
      </w:r>
      <w:r w:rsidRPr="00E847D4">
        <w:rPr>
          <w:rFonts w:cs="Arial"/>
          <w:spacing w:val="-7"/>
          <w:sz w:val="20"/>
          <w:szCs w:val="20"/>
        </w:rPr>
        <w:t xml:space="preserve"> </w:t>
      </w:r>
      <w:r w:rsidRPr="00E847D4">
        <w:rPr>
          <w:rFonts w:cs="Arial"/>
          <w:sz w:val="20"/>
          <w:szCs w:val="20"/>
        </w:rPr>
        <w:t>other</w:t>
      </w:r>
      <w:r w:rsidRPr="00E847D4">
        <w:rPr>
          <w:rFonts w:cs="Arial"/>
          <w:spacing w:val="-7"/>
          <w:sz w:val="20"/>
          <w:szCs w:val="20"/>
        </w:rPr>
        <w:t xml:space="preserve"> </w:t>
      </w:r>
      <w:r w:rsidRPr="00E847D4">
        <w:rPr>
          <w:rFonts w:cs="Arial"/>
          <w:sz w:val="20"/>
          <w:szCs w:val="20"/>
        </w:rPr>
        <w:t>legal</w:t>
      </w:r>
      <w:r w:rsidRPr="00E847D4">
        <w:rPr>
          <w:rFonts w:cs="Arial"/>
          <w:spacing w:val="-6"/>
          <w:sz w:val="20"/>
          <w:szCs w:val="20"/>
        </w:rPr>
        <w:t xml:space="preserve"> </w:t>
      </w:r>
      <w:r w:rsidRPr="00E847D4">
        <w:rPr>
          <w:rFonts w:cs="Arial"/>
          <w:sz w:val="20"/>
          <w:szCs w:val="20"/>
        </w:rPr>
        <w:t>theory,</w:t>
      </w:r>
      <w:r w:rsidRPr="00E847D4">
        <w:rPr>
          <w:rFonts w:cs="Arial"/>
          <w:spacing w:val="-5"/>
          <w:sz w:val="20"/>
          <w:szCs w:val="20"/>
        </w:rPr>
        <w:t xml:space="preserve"> </w:t>
      </w:r>
      <w:r w:rsidRPr="00E847D4">
        <w:rPr>
          <w:rFonts w:cs="Arial"/>
          <w:sz w:val="20"/>
          <w:szCs w:val="20"/>
        </w:rPr>
        <w:t>but</w:t>
      </w:r>
      <w:r w:rsidRPr="00E847D4">
        <w:rPr>
          <w:rFonts w:cs="Arial"/>
          <w:spacing w:val="-5"/>
          <w:sz w:val="20"/>
          <w:szCs w:val="20"/>
        </w:rPr>
        <w:t xml:space="preserve"> </w:t>
      </w:r>
      <w:r w:rsidRPr="00E847D4">
        <w:rPr>
          <w:rFonts w:cs="Arial"/>
          <w:sz w:val="20"/>
          <w:szCs w:val="20"/>
        </w:rPr>
        <w:t>excepting</w:t>
      </w:r>
      <w:r w:rsidRPr="00E847D4">
        <w:rPr>
          <w:rFonts w:cs="Arial"/>
          <w:spacing w:val="-7"/>
          <w:sz w:val="20"/>
          <w:szCs w:val="20"/>
        </w:rPr>
        <w:t xml:space="preserve"> </w:t>
      </w:r>
      <w:r w:rsidRPr="00E847D4">
        <w:rPr>
          <w:rFonts w:cs="Arial"/>
          <w:sz w:val="20"/>
          <w:szCs w:val="20"/>
        </w:rPr>
        <w:t>liability</w:t>
      </w:r>
      <w:r w:rsidRPr="00E847D4">
        <w:rPr>
          <w:rFonts w:cs="Arial"/>
          <w:spacing w:val="-7"/>
          <w:sz w:val="20"/>
          <w:szCs w:val="20"/>
        </w:rPr>
        <w:t xml:space="preserve"> </w:t>
      </w:r>
      <w:r w:rsidRPr="00E847D4">
        <w:rPr>
          <w:rFonts w:cs="Arial"/>
          <w:sz w:val="20"/>
          <w:szCs w:val="20"/>
        </w:rPr>
        <w:t>under</w:t>
      </w:r>
      <w:r w:rsidRPr="00E847D4">
        <w:rPr>
          <w:rFonts w:cs="Arial"/>
          <w:spacing w:val="-7"/>
          <w:sz w:val="20"/>
          <w:szCs w:val="20"/>
        </w:rPr>
        <w:t xml:space="preserve"> </w:t>
      </w:r>
      <w:r w:rsidRPr="00E847D4">
        <w:rPr>
          <w:rFonts w:cs="Arial"/>
          <w:sz w:val="20"/>
          <w:szCs w:val="20"/>
        </w:rPr>
        <w:t>the</w:t>
      </w:r>
      <w:r w:rsidRPr="00E847D4">
        <w:rPr>
          <w:rFonts w:cs="Arial"/>
          <w:spacing w:val="-7"/>
          <w:sz w:val="20"/>
          <w:szCs w:val="20"/>
        </w:rPr>
        <w:t xml:space="preserve"> </w:t>
      </w:r>
      <w:r w:rsidRPr="00E847D4">
        <w:rPr>
          <w:rFonts w:cs="Arial"/>
          <w:sz w:val="20"/>
          <w:szCs w:val="20"/>
        </w:rPr>
        <w:t>indemnification</w:t>
      </w:r>
      <w:r w:rsidRPr="00E847D4">
        <w:rPr>
          <w:rFonts w:cs="Arial"/>
          <w:spacing w:val="-7"/>
          <w:sz w:val="20"/>
          <w:szCs w:val="20"/>
        </w:rPr>
        <w:t xml:space="preserve"> </w:t>
      </w:r>
      <w:r w:rsidRPr="00E847D4">
        <w:rPr>
          <w:rFonts w:cs="Arial"/>
          <w:sz w:val="20"/>
          <w:szCs w:val="20"/>
        </w:rPr>
        <w:t>obligations</w:t>
      </w:r>
      <w:r w:rsidRPr="00E847D4">
        <w:rPr>
          <w:rFonts w:cs="Arial"/>
          <w:spacing w:val="-7"/>
          <w:sz w:val="20"/>
          <w:szCs w:val="20"/>
        </w:rPr>
        <w:t xml:space="preserve"> </w:t>
      </w:r>
      <w:r w:rsidRPr="00E847D4">
        <w:rPr>
          <w:rFonts w:cs="Arial"/>
          <w:sz w:val="20"/>
          <w:szCs w:val="20"/>
        </w:rPr>
        <w:t>set</w:t>
      </w:r>
      <w:r w:rsidRPr="00E847D4">
        <w:rPr>
          <w:rFonts w:cs="Arial"/>
          <w:spacing w:val="-8"/>
          <w:sz w:val="20"/>
          <w:szCs w:val="20"/>
        </w:rPr>
        <w:t xml:space="preserve"> </w:t>
      </w:r>
      <w:r w:rsidRPr="00E847D4">
        <w:rPr>
          <w:rFonts w:cs="Arial"/>
          <w:sz w:val="20"/>
          <w:szCs w:val="20"/>
        </w:rPr>
        <w:t>forth</w:t>
      </w:r>
      <w:r w:rsidRPr="00E847D4">
        <w:rPr>
          <w:rFonts w:cs="Arial"/>
          <w:spacing w:val="-7"/>
          <w:sz w:val="20"/>
          <w:szCs w:val="20"/>
        </w:rPr>
        <w:t xml:space="preserve"> </w:t>
      </w:r>
      <w:r w:rsidRPr="00E847D4">
        <w:rPr>
          <w:rFonts w:cs="Arial"/>
          <w:sz w:val="20"/>
          <w:szCs w:val="20"/>
        </w:rPr>
        <w:t>in</w:t>
      </w:r>
      <w:r w:rsidRPr="00E847D4">
        <w:rPr>
          <w:rFonts w:cs="Arial"/>
          <w:spacing w:val="-9"/>
          <w:sz w:val="20"/>
          <w:szCs w:val="20"/>
        </w:rPr>
        <w:t xml:space="preserve"> </w:t>
      </w:r>
      <w:r w:rsidRPr="00E847D4">
        <w:rPr>
          <w:rFonts w:cs="Arial"/>
          <w:sz w:val="20"/>
          <w:szCs w:val="20"/>
        </w:rPr>
        <w:t>this</w:t>
      </w:r>
      <w:r w:rsidRPr="00E847D4">
        <w:rPr>
          <w:rFonts w:cs="Arial"/>
          <w:spacing w:val="-7"/>
          <w:sz w:val="20"/>
          <w:szCs w:val="20"/>
        </w:rPr>
        <w:t xml:space="preserve"> </w:t>
      </w:r>
      <w:r w:rsidRPr="00E847D4">
        <w:rPr>
          <w:rFonts w:cs="Arial"/>
          <w:sz w:val="20"/>
          <w:szCs w:val="20"/>
        </w:rPr>
        <w:t>Agreement,</w:t>
      </w:r>
      <w:r w:rsidRPr="00E847D4">
        <w:rPr>
          <w:rFonts w:cs="Arial"/>
          <w:spacing w:val="-5"/>
          <w:sz w:val="20"/>
          <w:szCs w:val="20"/>
        </w:rPr>
        <w:t xml:space="preserve"> </w:t>
      </w:r>
      <w:r w:rsidRPr="00E847D4">
        <w:rPr>
          <w:rFonts w:cs="Arial"/>
          <w:sz w:val="20"/>
          <w:szCs w:val="20"/>
        </w:rPr>
        <w:t>Xerox</w:t>
      </w:r>
      <w:r w:rsidRPr="00E847D4">
        <w:rPr>
          <w:rFonts w:cs="Arial"/>
          <w:spacing w:val="-7"/>
          <w:sz w:val="20"/>
          <w:szCs w:val="20"/>
        </w:rPr>
        <w:t xml:space="preserve"> </w:t>
      </w:r>
      <w:r w:rsidRPr="00E847D4">
        <w:rPr>
          <w:rFonts w:cs="Arial"/>
          <w:sz w:val="20"/>
          <w:szCs w:val="20"/>
        </w:rPr>
        <w:t>will</w:t>
      </w:r>
      <w:r w:rsidRPr="00E847D4">
        <w:rPr>
          <w:rFonts w:cs="Arial"/>
          <w:spacing w:val="-6"/>
          <w:sz w:val="20"/>
          <w:szCs w:val="20"/>
        </w:rPr>
        <w:t xml:space="preserve"> </w:t>
      </w:r>
      <w:r w:rsidRPr="00E847D4">
        <w:rPr>
          <w:rFonts w:cs="Arial"/>
          <w:sz w:val="20"/>
          <w:szCs w:val="20"/>
        </w:rPr>
        <w:t>not</w:t>
      </w:r>
      <w:r w:rsidRPr="00E847D4">
        <w:rPr>
          <w:rFonts w:cs="Arial"/>
          <w:spacing w:val="-5"/>
          <w:sz w:val="20"/>
          <w:szCs w:val="20"/>
        </w:rPr>
        <w:t xml:space="preserve"> </w:t>
      </w:r>
      <w:r w:rsidRPr="00E847D4">
        <w:rPr>
          <w:rFonts w:cs="Arial"/>
          <w:sz w:val="20"/>
          <w:szCs w:val="20"/>
        </w:rPr>
        <w:t>be</w:t>
      </w:r>
      <w:r w:rsidRPr="00E847D4">
        <w:rPr>
          <w:rFonts w:cs="Arial"/>
          <w:spacing w:val="-7"/>
          <w:sz w:val="20"/>
          <w:szCs w:val="20"/>
        </w:rPr>
        <w:t xml:space="preserve"> </w:t>
      </w:r>
      <w:r w:rsidRPr="00E847D4">
        <w:rPr>
          <w:rFonts w:cs="Arial"/>
          <w:sz w:val="20"/>
          <w:szCs w:val="20"/>
        </w:rPr>
        <w:t>liable</w:t>
      </w:r>
      <w:r w:rsidRPr="00E847D4">
        <w:rPr>
          <w:rFonts w:cs="Arial"/>
          <w:spacing w:val="-7"/>
          <w:sz w:val="20"/>
          <w:szCs w:val="20"/>
        </w:rPr>
        <w:t xml:space="preserve"> </w:t>
      </w:r>
      <w:r w:rsidRPr="00E847D4">
        <w:rPr>
          <w:rFonts w:cs="Arial"/>
          <w:sz w:val="20"/>
          <w:szCs w:val="20"/>
        </w:rPr>
        <w:t>to</w:t>
      </w:r>
      <w:r w:rsidRPr="00E847D4">
        <w:rPr>
          <w:rFonts w:cs="Arial"/>
          <w:spacing w:val="-9"/>
          <w:sz w:val="20"/>
          <w:szCs w:val="20"/>
        </w:rPr>
        <w:t xml:space="preserve"> </w:t>
      </w:r>
      <w:r w:rsidRPr="00E847D4">
        <w:rPr>
          <w:rFonts w:cs="Arial"/>
          <w:sz w:val="20"/>
          <w:szCs w:val="20"/>
        </w:rPr>
        <w:t>you</w:t>
      </w:r>
      <w:r w:rsidRPr="00E847D4">
        <w:rPr>
          <w:rFonts w:cs="Arial"/>
          <w:spacing w:val="-7"/>
          <w:sz w:val="20"/>
          <w:szCs w:val="20"/>
        </w:rPr>
        <w:t xml:space="preserve"> </w:t>
      </w:r>
      <w:r w:rsidRPr="00E847D4">
        <w:rPr>
          <w:rFonts w:cs="Arial"/>
          <w:sz w:val="20"/>
          <w:szCs w:val="20"/>
        </w:rPr>
        <w:t>for</w:t>
      </w:r>
      <w:r w:rsidRPr="00E847D4">
        <w:rPr>
          <w:rFonts w:cs="Arial"/>
          <w:spacing w:val="-7"/>
          <w:sz w:val="20"/>
          <w:szCs w:val="20"/>
        </w:rPr>
        <w:t xml:space="preserve"> </w:t>
      </w:r>
      <w:r w:rsidRPr="00E847D4">
        <w:rPr>
          <w:rFonts w:cs="Arial"/>
          <w:sz w:val="20"/>
          <w:szCs w:val="20"/>
        </w:rPr>
        <w:t>any direct</w:t>
      </w:r>
      <w:r w:rsidRPr="00E847D4">
        <w:rPr>
          <w:rFonts w:cs="Arial"/>
          <w:spacing w:val="-5"/>
          <w:sz w:val="20"/>
          <w:szCs w:val="20"/>
        </w:rPr>
        <w:t xml:space="preserve"> </w:t>
      </w:r>
      <w:r w:rsidRPr="00E847D4">
        <w:rPr>
          <w:rFonts w:cs="Arial"/>
          <w:sz w:val="20"/>
          <w:szCs w:val="20"/>
        </w:rPr>
        <w:t>damages</w:t>
      </w:r>
      <w:r w:rsidRPr="00E847D4">
        <w:rPr>
          <w:rFonts w:cs="Arial"/>
          <w:spacing w:val="-5"/>
          <w:sz w:val="20"/>
          <w:szCs w:val="20"/>
        </w:rPr>
        <w:t xml:space="preserve"> </w:t>
      </w:r>
      <w:r w:rsidRPr="00E847D4">
        <w:rPr>
          <w:rFonts w:cs="Arial"/>
          <w:sz w:val="20"/>
          <w:szCs w:val="20"/>
        </w:rPr>
        <w:t>in</w:t>
      </w:r>
      <w:r w:rsidRPr="00E847D4">
        <w:rPr>
          <w:rFonts w:cs="Arial"/>
          <w:spacing w:val="-7"/>
          <w:sz w:val="20"/>
          <w:szCs w:val="20"/>
        </w:rPr>
        <w:t xml:space="preserve"> </w:t>
      </w:r>
      <w:r w:rsidRPr="00E847D4">
        <w:rPr>
          <w:rFonts w:cs="Arial"/>
          <w:sz w:val="20"/>
          <w:szCs w:val="20"/>
        </w:rPr>
        <w:t>excess</w:t>
      </w:r>
      <w:r w:rsidRPr="00E847D4">
        <w:rPr>
          <w:rFonts w:cs="Arial"/>
          <w:spacing w:val="-5"/>
          <w:sz w:val="20"/>
          <w:szCs w:val="20"/>
        </w:rPr>
        <w:t xml:space="preserve"> </w:t>
      </w:r>
      <w:r w:rsidRPr="00E847D4">
        <w:rPr>
          <w:rFonts w:cs="Arial"/>
          <w:sz w:val="20"/>
          <w:szCs w:val="20"/>
        </w:rPr>
        <w:t>of</w:t>
      </w:r>
      <w:r w:rsidRPr="00E847D4">
        <w:rPr>
          <w:rFonts w:cs="Arial"/>
          <w:spacing w:val="-5"/>
          <w:sz w:val="20"/>
          <w:szCs w:val="20"/>
        </w:rPr>
        <w:t xml:space="preserve"> </w:t>
      </w:r>
      <w:r w:rsidRPr="00E847D4">
        <w:rPr>
          <w:rFonts w:cs="Arial"/>
          <w:sz w:val="20"/>
          <w:szCs w:val="20"/>
        </w:rPr>
        <w:t>$10,000</w:t>
      </w:r>
      <w:r w:rsidRPr="00E847D4">
        <w:rPr>
          <w:rFonts w:cs="Arial"/>
          <w:spacing w:val="-7"/>
          <w:sz w:val="20"/>
          <w:szCs w:val="20"/>
        </w:rPr>
        <w:t xml:space="preserve"> </w:t>
      </w:r>
      <w:r w:rsidRPr="00E847D4">
        <w:rPr>
          <w:rFonts w:cs="Arial"/>
          <w:sz w:val="20"/>
          <w:szCs w:val="20"/>
        </w:rPr>
        <w:t>or</w:t>
      </w:r>
      <w:r w:rsidRPr="00E847D4">
        <w:rPr>
          <w:rFonts w:cs="Arial"/>
          <w:spacing w:val="-7"/>
          <w:sz w:val="20"/>
          <w:szCs w:val="20"/>
        </w:rPr>
        <w:t xml:space="preserve"> </w:t>
      </w:r>
      <w:r w:rsidRPr="00E847D4">
        <w:rPr>
          <w:rFonts w:cs="Arial"/>
          <w:sz w:val="20"/>
          <w:szCs w:val="20"/>
        </w:rPr>
        <w:t>the</w:t>
      </w:r>
      <w:r w:rsidRPr="00E847D4">
        <w:rPr>
          <w:rFonts w:cs="Arial"/>
          <w:spacing w:val="-7"/>
          <w:sz w:val="20"/>
          <w:szCs w:val="20"/>
        </w:rPr>
        <w:t xml:space="preserve"> </w:t>
      </w:r>
      <w:r w:rsidRPr="00E847D4">
        <w:rPr>
          <w:rFonts w:cs="Arial"/>
          <w:sz w:val="20"/>
          <w:szCs w:val="20"/>
        </w:rPr>
        <w:t>amounts</w:t>
      </w:r>
      <w:r w:rsidRPr="00E847D4">
        <w:rPr>
          <w:rFonts w:cs="Arial"/>
          <w:spacing w:val="-5"/>
          <w:sz w:val="20"/>
          <w:szCs w:val="20"/>
        </w:rPr>
        <w:t xml:space="preserve"> </w:t>
      </w:r>
      <w:r w:rsidRPr="00E847D4">
        <w:rPr>
          <w:rFonts w:cs="Arial"/>
          <w:sz w:val="20"/>
          <w:szCs w:val="20"/>
        </w:rPr>
        <w:t>paid</w:t>
      </w:r>
      <w:r w:rsidRPr="00E847D4">
        <w:rPr>
          <w:rFonts w:cs="Arial"/>
          <w:spacing w:val="-7"/>
          <w:sz w:val="20"/>
          <w:szCs w:val="20"/>
        </w:rPr>
        <w:t xml:space="preserve"> </w:t>
      </w:r>
      <w:r w:rsidRPr="00E847D4">
        <w:rPr>
          <w:rFonts w:cs="Arial"/>
          <w:sz w:val="20"/>
          <w:szCs w:val="20"/>
        </w:rPr>
        <w:t>hereunder,</w:t>
      </w:r>
      <w:r w:rsidRPr="00E847D4">
        <w:rPr>
          <w:rFonts w:cs="Arial"/>
          <w:spacing w:val="-8"/>
          <w:sz w:val="20"/>
          <w:szCs w:val="20"/>
        </w:rPr>
        <w:t xml:space="preserve"> </w:t>
      </w:r>
      <w:r w:rsidRPr="00E847D4">
        <w:rPr>
          <w:rFonts w:cs="Arial"/>
          <w:sz w:val="20"/>
          <w:szCs w:val="20"/>
        </w:rPr>
        <w:t>whichever</w:t>
      </w:r>
      <w:r w:rsidRPr="00E847D4">
        <w:rPr>
          <w:rFonts w:cs="Arial"/>
          <w:spacing w:val="-7"/>
          <w:sz w:val="20"/>
          <w:szCs w:val="20"/>
        </w:rPr>
        <w:t xml:space="preserve"> </w:t>
      </w:r>
      <w:r w:rsidRPr="00E847D4">
        <w:rPr>
          <w:rFonts w:cs="Arial"/>
          <w:sz w:val="20"/>
          <w:szCs w:val="20"/>
        </w:rPr>
        <w:t>is</w:t>
      </w:r>
      <w:r w:rsidRPr="00E847D4">
        <w:rPr>
          <w:rFonts w:cs="Arial"/>
          <w:spacing w:val="-5"/>
          <w:sz w:val="20"/>
          <w:szCs w:val="20"/>
        </w:rPr>
        <w:t xml:space="preserve"> </w:t>
      </w:r>
      <w:r w:rsidRPr="00E847D4">
        <w:rPr>
          <w:rFonts w:cs="Arial"/>
          <w:sz w:val="20"/>
          <w:szCs w:val="20"/>
        </w:rPr>
        <w:t>greater,</w:t>
      </w:r>
      <w:r w:rsidRPr="00E847D4">
        <w:rPr>
          <w:rFonts w:cs="Arial"/>
          <w:spacing w:val="-5"/>
          <w:sz w:val="20"/>
          <w:szCs w:val="20"/>
        </w:rPr>
        <w:t xml:space="preserve"> </w:t>
      </w:r>
      <w:r w:rsidRPr="00E847D4">
        <w:rPr>
          <w:rFonts w:cs="Arial"/>
          <w:sz w:val="20"/>
          <w:szCs w:val="20"/>
        </w:rPr>
        <w:t>and</w:t>
      </w:r>
      <w:r w:rsidRPr="00E847D4">
        <w:rPr>
          <w:rFonts w:cs="Arial"/>
          <w:spacing w:val="-7"/>
          <w:sz w:val="20"/>
          <w:szCs w:val="20"/>
        </w:rPr>
        <w:t xml:space="preserve"> </w:t>
      </w:r>
      <w:r w:rsidRPr="00E847D4">
        <w:rPr>
          <w:rFonts w:cs="Arial"/>
          <w:sz w:val="20"/>
          <w:szCs w:val="20"/>
        </w:rPr>
        <w:t>neither</w:t>
      </w:r>
      <w:r w:rsidRPr="00E847D4">
        <w:rPr>
          <w:rFonts w:cs="Arial"/>
          <w:spacing w:val="-7"/>
          <w:sz w:val="20"/>
          <w:szCs w:val="20"/>
        </w:rPr>
        <w:t xml:space="preserve"> </w:t>
      </w:r>
      <w:r w:rsidRPr="00E847D4">
        <w:rPr>
          <w:rFonts w:cs="Arial"/>
          <w:sz w:val="20"/>
          <w:szCs w:val="20"/>
        </w:rPr>
        <w:t>party</w:t>
      </w:r>
      <w:r w:rsidRPr="00E847D4">
        <w:rPr>
          <w:rFonts w:cs="Arial"/>
          <w:spacing w:val="-7"/>
          <w:sz w:val="20"/>
          <w:szCs w:val="20"/>
        </w:rPr>
        <w:t xml:space="preserve"> </w:t>
      </w:r>
      <w:r w:rsidRPr="00E847D4">
        <w:rPr>
          <w:rFonts w:cs="Arial"/>
          <w:sz w:val="20"/>
          <w:szCs w:val="20"/>
        </w:rPr>
        <w:t>will</w:t>
      </w:r>
      <w:r w:rsidRPr="00E847D4">
        <w:rPr>
          <w:rFonts w:cs="Arial"/>
          <w:spacing w:val="-6"/>
          <w:sz w:val="20"/>
          <w:szCs w:val="20"/>
        </w:rPr>
        <w:t xml:space="preserve"> </w:t>
      </w:r>
      <w:r w:rsidRPr="00E847D4">
        <w:rPr>
          <w:rFonts w:cs="Arial"/>
          <w:sz w:val="20"/>
          <w:szCs w:val="20"/>
        </w:rPr>
        <w:t>be</w:t>
      </w:r>
      <w:r w:rsidRPr="00E847D4">
        <w:rPr>
          <w:rFonts w:cs="Arial"/>
          <w:spacing w:val="-7"/>
          <w:sz w:val="20"/>
          <w:szCs w:val="20"/>
        </w:rPr>
        <w:t xml:space="preserve"> </w:t>
      </w:r>
      <w:r w:rsidRPr="00E847D4">
        <w:rPr>
          <w:rFonts w:cs="Arial"/>
          <w:sz w:val="20"/>
          <w:szCs w:val="20"/>
        </w:rPr>
        <w:t>liable</w:t>
      </w:r>
      <w:r w:rsidRPr="00E847D4">
        <w:rPr>
          <w:rFonts w:cs="Arial"/>
          <w:spacing w:val="-7"/>
          <w:sz w:val="20"/>
          <w:szCs w:val="20"/>
        </w:rPr>
        <w:t xml:space="preserve"> </w:t>
      </w:r>
      <w:r w:rsidRPr="00E847D4">
        <w:rPr>
          <w:rFonts w:cs="Arial"/>
          <w:sz w:val="20"/>
          <w:szCs w:val="20"/>
        </w:rPr>
        <w:t>to</w:t>
      </w:r>
      <w:r w:rsidRPr="00E847D4">
        <w:rPr>
          <w:rFonts w:cs="Arial"/>
          <w:spacing w:val="-7"/>
          <w:sz w:val="20"/>
          <w:szCs w:val="20"/>
        </w:rPr>
        <w:t xml:space="preserve"> </w:t>
      </w:r>
      <w:r w:rsidRPr="00E847D4">
        <w:rPr>
          <w:rFonts w:cs="Arial"/>
          <w:sz w:val="20"/>
          <w:szCs w:val="20"/>
        </w:rPr>
        <w:t>the</w:t>
      </w:r>
      <w:r w:rsidRPr="00E847D4">
        <w:rPr>
          <w:rFonts w:cs="Arial"/>
          <w:spacing w:val="-7"/>
          <w:sz w:val="20"/>
          <w:szCs w:val="20"/>
        </w:rPr>
        <w:t xml:space="preserve"> </w:t>
      </w:r>
      <w:r w:rsidRPr="00E847D4">
        <w:rPr>
          <w:rFonts w:cs="Arial"/>
          <w:sz w:val="20"/>
          <w:szCs w:val="20"/>
        </w:rPr>
        <w:t>other</w:t>
      </w:r>
      <w:r w:rsidRPr="00E847D4">
        <w:rPr>
          <w:rFonts w:cs="Arial"/>
          <w:spacing w:val="-7"/>
          <w:sz w:val="20"/>
          <w:szCs w:val="20"/>
        </w:rPr>
        <w:t xml:space="preserve"> </w:t>
      </w:r>
      <w:r w:rsidRPr="00E847D4">
        <w:rPr>
          <w:rFonts w:cs="Arial"/>
          <w:sz w:val="20"/>
          <w:szCs w:val="20"/>
        </w:rPr>
        <w:t>for</w:t>
      </w:r>
      <w:r w:rsidRPr="00E847D4">
        <w:rPr>
          <w:rFonts w:cs="Arial"/>
          <w:spacing w:val="-7"/>
          <w:sz w:val="20"/>
          <w:szCs w:val="20"/>
        </w:rPr>
        <w:t xml:space="preserve"> </w:t>
      </w:r>
      <w:r w:rsidRPr="00E847D4">
        <w:rPr>
          <w:rFonts w:cs="Arial"/>
          <w:sz w:val="20"/>
          <w:szCs w:val="20"/>
        </w:rPr>
        <w:t>any</w:t>
      </w:r>
      <w:r w:rsidRPr="00E847D4">
        <w:rPr>
          <w:rFonts w:cs="Arial"/>
          <w:spacing w:val="-7"/>
          <w:sz w:val="20"/>
          <w:szCs w:val="20"/>
        </w:rPr>
        <w:t xml:space="preserve"> </w:t>
      </w:r>
      <w:r w:rsidRPr="00E847D4">
        <w:rPr>
          <w:rFonts w:cs="Arial"/>
          <w:sz w:val="20"/>
          <w:szCs w:val="20"/>
        </w:rPr>
        <w:t>special, indirect, incidental, consequential or punitive damages. Any action you take against Xerox must be commenced within 2 years after the event that caused</w:t>
      </w:r>
      <w:r w:rsidRPr="00E847D4">
        <w:rPr>
          <w:rFonts w:cs="Arial"/>
          <w:spacing w:val="-2"/>
          <w:sz w:val="20"/>
          <w:szCs w:val="20"/>
        </w:rPr>
        <w:t xml:space="preserve"> </w:t>
      </w:r>
      <w:r w:rsidRPr="00E847D4">
        <w:rPr>
          <w:rFonts w:cs="Arial"/>
          <w:sz w:val="20"/>
          <w:szCs w:val="20"/>
        </w:rPr>
        <w:t>it.</w:t>
      </w:r>
    </w:p>
    <w:p w14:paraId="02897AC9" w14:textId="77777777" w:rsidR="009E697C" w:rsidRPr="00E847D4" w:rsidRDefault="009E697C" w:rsidP="009E697C">
      <w:pPr>
        <w:pStyle w:val="ListParagraph"/>
        <w:widowControl w:val="0"/>
        <w:numPr>
          <w:ilvl w:val="0"/>
          <w:numId w:val="2"/>
        </w:numPr>
        <w:tabs>
          <w:tab w:val="left" w:pos="561"/>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 xml:space="preserve">ASSIGNMENT. </w:t>
      </w:r>
      <w:r w:rsidRPr="00E847D4">
        <w:rPr>
          <w:rFonts w:cs="Arial"/>
          <w:sz w:val="20"/>
          <w:szCs w:val="20"/>
        </w:rPr>
        <w:t>Xerox reserves the right to assign this Agreement to a parent, subsidiary, or third party, upon written notification to the Lead State and Purchasing Entity, for the purpose</w:t>
      </w:r>
      <w:r w:rsidRPr="00E847D4">
        <w:rPr>
          <w:rFonts w:cs="Arial"/>
          <w:spacing w:val="-3"/>
          <w:sz w:val="20"/>
          <w:szCs w:val="20"/>
        </w:rPr>
        <w:t xml:space="preserve"> </w:t>
      </w:r>
      <w:r w:rsidRPr="00E847D4">
        <w:rPr>
          <w:rFonts w:cs="Arial"/>
          <w:sz w:val="20"/>
          <w:szCs w:val="20"/>
        </w:rPr>
        <w:t>of</w:t>
      </w:r>
      <w:r w:rsidRPr="00E847D4">
        <w:rPr>
          <w:rFonts w:cs="Arial"/>
          <w:spacing w:val="-3"/>
          <w:sz w:val="20"/>
          <w:szCs w:val="20"/>
        </w:rPr>
        <w:t xml:space="preserve"> </w:t>
      </w:r>
      <w:r w:rsidRPr="00E847D4">
        <w:rPr>
          <w:rFonts w:cs="Arial"/>
          <w:sz w:val="20"/>
          <w:szCs w:val="20"/>
        </w:rPr>
        <w:t>securitizing</w:t>
      </w:r>
      <w:r w:rsidRPr="00E847D4">
        <w:rPr>
          <w:rFonts w:cs="Arial"/>
          <w:spacing w:val="-3"/>
          <w:sz w:val="20"/>
          <w:szCs w:val="20"/>
        </w:rPr>
        <w:t xml:space="preserve"> </w:t>
      </w:r>
      <w:r w:rsidRPr="00E847D4">
        <w:rPr>
          <w:rFonts w:cs="Arial"/>
          <w:sz w:val="20"/>
          <w:szCs w:val="20"/>
        </w:rPr>
        <w:t>or</w:t>
      </w:r>
      <w:r w:rsidRPr="00E847D4">
        <w:rPr>
          <w:rFonts w:cs="Arial"/>
          <w:spacing w:val="-7"/>
          <w:sz w:val="20"/>
          <w:szCs w:val="20"/>
        </w:rPr>
        <w:t xml:space="preserve"> </w:t>
      </w:r>
      <w:r w:rsidRPr="00E847D4">
        <w:rPr>
          <w:rFonts w:cs="Arial"/>
          <w:sz w:val="20"/>
          <w:szCs w:val="20"/>
        </w:rPr>
        <w:t>monetization</w:t>
      </w:r>
      <w:r w:rsidRPr="00E847D4">
        <w:rPr>
          <w:rFonts w:cs="Arial"/>
          <w:spacing w:val="-3"/>
          <w:sz w:val="20"/>
          <w:szCs w:val="20"/>
        </w:rPr>
        <w:t xml:space="preserve"> </w:t>
      </w:r>
      <w:r w:rsidRPr="00E847D4">
        <w:rPr>
          <w:rFonts w:cs="Arial"/>
          <w:sz w:val="20"/>
          <w:szCs w:val="20"/>
        </w:rPr>
        <w:t>the</w:t>
      </w:r>
      <w:r w:rsidRPr="00E847D4">
        <w:rPr>
          <w:rFonts w:cs="Arial"/>
          <w:spacing w:val="-4"/>
          <w:sz w:val="20"/>
          <w:szCs w:val="20"/>
        </w:rPr>
        <w:t xml:space="preserve"> </w:t>
      </w:r>
      <w:r w:rsidRPr="00E847D4">
        <w:rPr>
          <w:rFonts w:cs="Arial"/>
          <w:sz w:val="20"/>
          <w:szCs w:val="20"/>
        </w:rPr>
        <w:t>transaction.</w:t>
      </w:r>
      <w:r w:rsidRPr="00E847D4">
        <w:rPr>
          <w:rFonts w:cs="Arial"/>
          <w:spacing w:val="-3"/>
          <w:sz w:val="20"/>
          <w:szCs w:val="20"/>
        </w:rPr>
        <w:t xml:space="preserve"> </w:t>
      </w:r>
      <w:r w:rsidRPr="00E847D4">
        <w:rPr>
          <w:rFonts w:cs="Arial"/>
          <w:sz w:val="20"/>
          <w:szCs w:val="20"/>
        </w:rPr>
        <w:t>Xerox</w:t>
      </w:r>
      <w:r w:rsidRPr="00E847D4">
        <w:rPr>
          <w:rFonts w:cs="Arial"/>
          <w:spacing w:val="-3"/>
          <w:sz w:val="20"/>
          <w:szCs w:val="20"/>
        </w:rPr>
        <w:t xml:space="preserve"> </w:t>
      </w:r>
      <w:r w:rsidRPr="00E847D4">
        <w:rPr>
          <w:rFonts w:cs="Arial"/>
          <w:sz w:val="20"/>
          <w:szCs w:val="20"/>
        </w:rPr>
        <w:t>will</w:t>
      </w:r>
      <w:r w:rsidRPr="00E847D4">
        <w:rPr>
          <w:rFonts w:cs="Arial"/>
          <w:spacing w:val="-2"/>
          <w:sz w:val="20"/>
          <w:szCs w:val="20"/>
        </w:rPr>
        <w:t xml:space="preserve"> </w:t>
      </w:r>
      <w:r w:rsidRPr="00E847D4">
        <w:rPr>
          <w:rFonts w:cs="Arial"/>
          <w:sz w:val="20"/>
          <w:szCs w:val="20"/>
        </w:rPr>
        <w:t>remain</w:t>
      </w:r>
      <w:r w:rsidRPr="00E847D4">
        <w:rPr>
          <w:rFonts w:cs="Arial"/>
          <w:spacing w:val="-3"/>
          <w:sz w:val="20"/>
          <w:szCs w:val="20"/>
        </w:rPr>
        <w:t xml:space="preserve"> </w:t>
      </w:r>
      <w:r w:rsidRPr="00E847D4">
        <w:rPr>
          <w:rFonts w:cs="Arial"/>
          <w:sz w:val="20"/>
          <w:szCs w:val="20"/>
        </w:rPr>
        <w:t>100%</w:t>
      </w:r>
      <w:r w:rsidRPr="00E847D4">
        <w:rPr>
          <w:rFonts w:cs="Arial"/>
          <w:spacing w:val="-3"/>
          <w:sz w:val="20"/>
          <w:szCs w:val="20"/>
        </w:rPr>
        <w:t xml:space="preserve"> </w:t>
      </w:r>
      <w:r w:rsidRPr="00E847D4">
        <w:rPr>
          <w:rFonts w:cs="Arial"/>
          <w:sz w:val="20"/>
          <w:szCs w:val="20"/>
        </w:rPr>
        <w:t>responsible</w:t>
      </w:r>
      <w:r w:rsidRPr="00E847D4">
        <w:rPr>
          <w:rFonts w:cs="Arial"/>
          <w:spacing w:val="-4"/>
          <w:sz w:val="20"/>
          <w:szCs w:val="20"/>
        </w:rPr>
        <w:t xml:space="preserve"> </w:t>
      </w:r>
      <w:r w:rsidRPr="00E847D4">
        <w:rPr>
          <w:rFonts w:cs="Arial"/>
          <w:sz w:val="20"/>
          <w:szCs w:val="20"/>
        </w:rPr>
        <w:t>for</w:t>
      </w:r>
      <w:r w:rsidRPr="00E847D4">
        <w:rPr>
          <w:rFonts w:cs="Arial"/>
          <w:spacing w:val="-3"/>
          <w:sz w:val="20"/>
          <w:szCs w:val="20"/>
        </w:rPr>
        <w:t xml:space="preserve"> </w:t>
      </w:r>
      <w:r w:rsidRPr="00E847D4">
        <w:rPr>
          <w:rFonts w:cs="Arial"/>
          <w:sz w:val="20"/>
          <w:szCs w:val="20"/>
        </w:rPr>
        <w:t>all</w:t>
      </w:r>
      <w:r w:rsidRPr="00E847D4">
        <w:rPr>
          <w:rFonts w:cs="Arial"/>
          <w:spacing w:val="-3"/>
          <w:sz w:val="20"/>
          <w:szCs w:val="20"/>
        </w:rPr>
        <w:t xml:space="preserve"> </w:t>
      </w:r>
      <w:r w:rsidRPr="00E847D4">
        <w:rPr>
          <w:rFonts w:cs="Arial"/>
          <w:sz w:val="20"/>
          <w:szCs w:val="20"/>
        </w:rPr>
        <w:t>aspects</w:t>
      </w:r>
      <w:r w:rsidRPr="00E847D4">
        <w:rPr>
          <w:rFonts w:cs="Arial"/>
          <w:spacing w:val="-1"/>
          <w:sz w:val="20"/>
          <w:szCs w:val="20"/>
        </w:rPr>
        <w:t xml:space="preserve"> </w:t>
      </w:r>
      <w:r w:rsidRPr="00E847D4">
        <w:rPr>
          <w:rFonts w:cs="Arial"/>
          <w:sz w:val="20"/>
          <w:szCs w:val="20"/>
        </w:rPr>
        <w:t>of</w:t>
      </w:r>
      <w:r w:rsidRPr="00E847D4">
        <w:rPr>
          <w:rFonts w:cs="Arial"/>
          <w:spacing w:val="-3"/>
          <w:sz w:val="20"/>
          <w:szCs w:val="20"/>
        </w:rPr>
        <w:t xml:space="preserve"> </w:t>
      </w:r>
      <w:r w:rsidRPr="00E847D4">
        <w:rPr>
          <w:rFonts w:cs="Arial"/>
          <w:sz w:val="20"/>
          <w:szCs w:val="20"/>
        </w:rPr>
        <w:t>the</w:t>
      </w:r>
      <w:r w:rsidRPr="00E847D4">
        <w:rPr>
          <w:rFonts w:cs="Arial"/>
          <w:spacing w:val="-4"/>
          <w:sz w:val="20"/>
          <w:szCs w:val="20"/>
        </w:rPr>
        <w:t xml:space="preserve"> </w:t>
      </w:r>
      <w:r w:rsidRPr="00E847D4">
        <w:rPr>
          <w:rFonts w:cs="Arial"/>
          <w:sz w:val="20"/>
          <w:szCs w:val="20"/>
        </w:rPr>
        <w:t>contract</w:t>
      </w:r>
      <w:r w:rsidRPr="00E847D4">
        <w:rPr>
          <w:rFonts w:cs="Arial"/>
          <w:spacing w:val="-1"/>
          <w:sz w:val="20"/>
          <w:szCs w:val="20"/>
        </w:rPr>
        <w:t xml:space="preserve"> </w:t>
      </w:r>
      <w:r w:rsidRPr="00E847D4">
        <w:rPr>
          <w:rFonts w:cs="Arial"/>
          <w:sz w:val="20"/>
          <w:szCs w:val="20"/>
        </w:rPr>
        <w:t>after</w:t>
      </w:r>
      <w:r w:rsidRPr="00E847D4">
        <w:rPr>
          <w:rFonts w:cs="Arial"/>
          <w:spacing w:val="-3"/>
          <w:sz w:val="20"/>
          <w:szCs w:val="20"/>
        </w:rPr>
        <w:t xml:space="preserve"> </w:t>
      </w:r>
      <w:r w:rsidRPr="00E847D4">
        <w:rPr>
          <w:rFonts w:cs="Arial"/>
          <w:sz w:val="20"/>
          <w:szCs w:val="20"/>
        </w:rPr>
        <w:t>assignment.</w:t>
      </w:r>
    </w:p>
    <w:p w14:paraId="6F382EC3" w14:textId="3CD09023" w:rsidR="009E697C" w:rsidRPr="00E847D4" w:rsidRDefault="009E697C" w:rsidP="009E697C">
      <w:pPr>
        <w:pStyle w:val="ListParagraph"/>
        <w:widowControl w:val="0"/>
        <w:numPr>
          <w:ilvl w:val="0"/>
          <w:numId w:val="2"/>
        </w:numPr>
        <w:tabs>
          <w:tab w:val="left" w:pos="561"/>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TAXES.</w:t>
      </w:r>
      <w:r w:rsidRPr="00E847D4">
        <w:rPr>
          <w:rFonts w:cs="Arial"/>
          <w:sz w:val="20"/>
          <w:szCs w:val="20"/>
        </w:rPr>
        <w:t xml:space="preserve"> The Purchasing Entity will be responsible for all applicable taxes, fees or charges of any kind (including interest and penalties) assessed by any governmental entity on this Agreement or the amounts payable under this Agreement ("Taxes"), which will be included in Xerox's invoice unless you timely provide proof of your tax exempt status. Taxes do not include personal property taxes in jurisdictions where Xerox is required to pay personal property taxes, and taxes on Xerox's income. </w:t>
      </w:r>
    </w:p>
    <w:p w14:paraId="5966D317" w14:textId="77777777" w:rsidR="009E697C" w:rsidRPr="00E847D4" w:rsidRDefault="009E697C" w:rsidP="009E697C">
      <w:pPr>
        <w:pStyle w:val="ListParagraph"/>
        <w:widowControl w:val="0"/>
        <w:numPr>
          <w:ilvl w:val="0"/>
          <w:numId w:val="1"/>
        </w:numPr>
        <w:tabs>
          <w:tab w:val="left" w:pos="561"/>
        </w:tabs>
        <w:autoSpaceDE w:val="0"/>
        <w:autoSpaceDN w:val="0"/>
        <w:spacing w:before="95" w:line="276" w:lineRule="auto"/>
        <w:ind w:left="562" w:hanging="360"/>
        <w:contextualSpacing w:val="0"/>
        <w:rPr>
          <w:rFonts w:cs="Arial"/>
          <w:sz w:val="20"/>
          <w:szCs w:val="20"/>
        </w:rPr>
      </w:pPr>
      <w:r w:rsidRPr="00E847D4">
        <w:rPr>
          <w:rFonts w:cs="Arial"/>
          <w:b/>
          <w:sz w:val="20"/>
          <w:szCs w:val="20"/>
        </w:rPr>
        <w:t>CREDIT</w:t>
      </w:r>
      <w:r w:rsidRPr="00E847D4">
        <w:rPr>
          <w:rFonts w:cs="Arial"/>
          <w:b/>
          <w:spacing w:val="-4"/>
          <w:sz w:val="20"/>
          <w:szCs w:val="20"/>
        </w:rPr>
        <w:t xml:space="preserve"> </w:t>
      </w:r>
      <w:r w:rsidRPr="00E847D4">
        <w:rPr>
          <w:rFonts w:cs="Arial"/>
          <w:b/>
          <w:sz w:val="20"/>
          <w:szCs w:val="20"/>
        </w:rPr>
        <w:t>REPORTS.</w:t>
      </w:r>
      <w:r w:rsidRPr="00E847D4">
        <w:rPr>
          <w:rFonts w:cs="Arial"/>
          <w:b/>
          <w:spacing w:val="-5"/>
          <w:sz w:val="20"/>
          <w:szCs w:val="20"/>
        </w:rPr>
        <w:t xml:space="preserve"> </w:t>
      </w:r>
      <w:r w:rsidRPr="00E847D4">
        <w:rPr>
          <w:rFonts w:cs="Arial"/>
          <w:sz w:val="20"/>
          <w:szCs w:val="20"/>
        </w:rPr>
        <w:t>You</w:t>
      </w:r>
      <w:r w:rsidRPr="00E847D4">
        <w:rPr>
          <w:rFonts w:cs="Arial"/>
          <w:spacing w:val="-2"/>
          <w:sz w:val="20"/>
          <w:szCs w:val="20"/>
        </w:rPr>
        <w:t xml:space="preserve"> </w:t>
      </w:r>
      <w:r w:rsidRPr="00E847D4">
        <w:rPr>
          <w:rFonts w:cs="Arial"/>
          <w:sz w:val="20"/>
          <w:szCs w:val="20"/>
        </w:rPr>
        <w:t>authorize</w:t>
      </w:r>
      <w:r w:rsidRPr="00E847D4">
        <w:rPr>
          <w:rFonts w:cs="Arial"/>
          <w:spacing w:val="-2"/>
          <w:sz w:val="20"/>
          <w:szCs w:val="20"/>
        </w:rPr>
        <w:t xml:space="preserve"> </w:t>
      </w:r>
      <w:r w:rsidRPr="00E847D4">
        <w:rPr>
          <w:rFonts w:cs="Arial"/>
          <w:sz w:val="20"/>
          <w:szCs w:val="20"/>
        </w:rPr>
        <w:t>Xerox</w:t>
      </w:r>
      <w:r w:rsidRPr="00E847D4">
        <w:rPr>
          <w:rFonts w:cs="Arial"/>
          <w:spacing w:val="-5"/>
          <w:sz w:val="20"/>
          <w:szCs w:val="20"/>
        </w:rPr>
        <w:t xml:space="preserve"> </w:t>
      </w:r>
      <w:r w:rsidRPr="00E847D4">
        <w:rPr>
          <w:rFonts w:cs="Arial"/>
          <w:sz w:val="20"/>
          <w:szCs w:val="20"/>
        </w:rPr>
        <w:t>or</w:t>
      </w:r>
      <w:r w:rsidRPr="00E847D4">
        <w:rPr>
          <w:rFonts w:cs="Arial"/>
          <w:spacing w:val="-2"/>
          <w:sz w:val="20"/>
          <w:szCs w:val="20"/>
        </w:rPr>
        <w:t xml:space="preserve"> </w:t>
      </w:r>
      <w:r w:rsidRPr="00E847D4">
        <w:rPr>
          <w:rFonts w:cs="Arial"/>
          <w:sz w:val="20"/>
          <w:szCs w:val="20"/>
        </w:rPr>
        <w:t>its</w:t>
      </w:r>
      <w:r w:rsidRPr="00E847D4">
        <w:rPr>
          <w:rFonts w:cs="Arial"/>
          <w:spacing w:val="-2"/>
          <w:sz w:val="20"/>
          <w:szCs w:val="20"/>
        </w:rPr>
        <w:t xml:space="preserve"> </w:t>
      </w:r>
      <w:r w:rsidRPr="00E847D4">
        <w:rPr>
          <w:rFonts w:cs="Arial"/>
          <w:sz w:val="20"/>
          <w:szCs w:val="20"/>
        </w:rPr>
        <w:t>agent</w:t>
      </w:r>
      <w:r w:rsidRPr="00E847D4">
        <w:rPr>
          <w:rFonts w:cs="Arial"/>
          <w:spacing w:val="-3"/>
          <w:sz w:val="20"/>
          <w:szCs w:val="20"/>
        </w:rPr>
        <w:t xml:space="preserve"> </w:t>
      </w:r>
      <w:r w:rsidRPr="00E847D4">
        <w:rPr>
          <w:rFonts w:cs="Arial"/>
          <w:sz w:val="20"/>
          <w:szCs w:val="20"/>
        </w:rPr>
        <w:t>to</w:t>
      </w:r>
      <w:r w:rsidRPr="00E847D4">
        <w:rPr>
          <w:rFonts w:cs="Arial"/>
          <w:spacing w:val="-2"/>
          <w:sz w:val="20"/>
          <w:szCs w:val="20"/>
        </w:rPr>
        <w:t xml:space="preserve"> </w:t>
      </w:r>
      <w:r w:rsidRPr="00E847D4">
        <w:rPr>
          <w:rFonts w:cs="Arial"/>
          <w:sz w:val="20"/>
          <w:szCs w:val="20"/>
        </w:rPr>
        <w:t>obtain</w:t>
      </w:r>
      <w:r w:rsidRPr="00E847D4">
        <w:rPr>
          <w:rFonts w:cs="Arial"/>
          <w:spacing w:val="-4"/>
          <w:sz w:val="20"/>
          <w:szCs w:val="20"/>
        </w:rPr>
        <w:t xml:space="preserve"> </w:t>
      </w:r>
      <w:r w:rsidRPr="00E847D4">
        <w:rPr>
          <w:rFonts w:cs="Arial"/>
          <w:sz w:val="20"/>
          <w:szCs w:val="20"/>
        </w:rPr>
        <w:t>credit</w:t>
      </w:r>
      <w:r w:rsidRPr="00E847D4">
        <w:rPr>
          <w:rFonts w:cs="Arial"/>
          <w:spacing w:val="-1"/>
          <w:sz w:val="20"/>
          <w:szCs w:val="20"/>
        </w:rPr>
        <w:t xml:space="preserve"> </w:t>
      </w:r>
      <w:r w:rsidRPr="00E847D4">
        <w:rPr>
          <w:rFonts w:cs="Arial"/>
          <w:sz w:val="20"/>
          <w:szCs w:val="20"/>
        </w:rPr>
        <w:t>reports</w:t>
      </w:r>
      <w:r w:rsidRPr="00E847D4">
        <w:rPr>
          <w:rFonts w:cs="Arial"/>
          <w:spacing w:val="-2"/>
          <w:sz w:val="20"/>
          <w:szCs w:val="20"/>
        </w:rPr>
        <w:t xml:space="preserve"> </w:t>
      </w:r>
      <w:r w:rsidRPr="00E847D4">
        <w:rPr>
          <w:rFonts w:cs="Arial"/>
          <w:sz w:val="20"/>
          <w:szCs w:val="20"/>
        </w:rPr>
        <w:t>from</w:t>
      </w:r>
      <w:r w:rsidRPr="00E847D4">
        <w:rPr>
          <w:rFonts w:cs="Arial"/>
          <w:spacing w:val="-3"/>
          <w:sz w:val="20"/>
          <w:szCs w:val="20"/>
        </w:rPr>
        <w:t xml:space="preserve"> </w:t>
      </w:r>
      <w:r w:rsidRPr="00E847D4">
        <w:rPr>
          <w:rFonts w:cs="Arial"/>
          <w:sz w:val="20"/>
          <w:szCs w:val="20"/>
        </w:rPr>
        <w:t>commercial</w:t>
      </w:r>
      <w:r w:rsidRPr="00E847D4">
        <w:rPr>
          <w:rFonts w:cs="Arial"/>
          <w:spacing w:val="-3"/>
          <w:sz w:val="20"/>
          <w:szCs w:val="20"/>
        </w:rPr>
        <w:t xml:space="preserve"> </w:t>
      </w:r>
      <w:r w:rsidRPr="00E847D4">
        <w:rPr>
          <w:rFonts w:cs="Arial"/>
          <w:sz w:val="20"/>
          <w:szCs w:val="20"/>
        </w:rPr>
        <w:t>credit</w:t>
      </w:r>
      <w:r w:rsidRPr="00E847D4">
        <w:rPr>
          <w:rFonts w:cs="Arial"/>
          <w:spacing w:val="-1"/>
          <w:sz w:val="20"/>
          <w:szCs w:val="20"/>
        </w:rPr>
        <w:t xml:space="preserve"> </w:t>
      </w:r>
      <w:r w:rsidRPr="00E847D4">
        <w:rPr>
          <w:rFonts w:cs="Arial"/>
          <w:sz w:val="20"/>
          <w:szCs w:val="20"/>
        </w:rPr>
        <w:t>reporting</w:t>
      </w:r>
      <w:r w:rsidRPr="00E847D4">
        <w:rPr>
          <w:rFonts w:cs="Arial"/>
          <w:spacing w:val="-2"/>
          <w:sz w:val="20"/>
          <w:szCs w:val="20"/>
        </w:rPr>
        <w:t xml:space="preserve"> </w:t>
      </w:r>
      <w:r w:rsidRPr="00E847D4">
        <w:rPr>
          <w:rFonts w:cs="Arial"/>
          <w:sz w:val="20"/>
          <w:szCs w:val="20"/>
        </w:rPr>
        <w:t>agencies.</w:t>
      </w:r>
    </w:p>
    <w:p w14:paraId="01488890" w14:textId="5DB225B7" w:rsidR="008D08AA" w:rsidRPr="00E847D4" w:rsidRDefault="009E697C" w:rsidP="008D08AA">
      <w:pPr>
        <w:pStyle w:val="ListParagraph"/>
        <w:widowControl w:val="0"/>
        <w:numPr>
          <w:ilvl w:val="0"/>
          <w:numId w:val="1"/>
        </w:numPr>
        <w:tabs>
          <w:tab w:val="left" w:pos="561"/>
        </w:tabs>
        <w:autoSpaceDE w:val="0"/>
        <w:autoSpaceDN w:val="0"/>
        <w:spacing w:before="95" w:line="276" w:lineRule="auto"/>
        <w:ind w:left="562" w:right="331" w:hanging="360"/>
        <w:contextualSpacing w:val="0"/>
        <w:jc w:val="both"/>
        <w:rPr>
          <w:rFonts w:cs="Arial"/>
          <w:sz w:val="20"/>
          <w:szCs w:val="20"/>
        </w:rPr>
      </w:pPr>
      <w:r w:rsidRPr="00E847D4">
        <w:rPr>
          <w:rFonts w:cs="Arial"/>
          <w:b/>
          <w:sz w:val="20"/>
          <w:szCs w:val="20"/>
        </w:rPr>
        <w:t xml:space="preserve">WARRANTY DISCLAIMER. </w:t>
      </w:r>
      <w:r w:rsidRPr="00E847D4">
        <w:rPr>
          <w:rFonts w:cs="Arial"/>
          <w:sz w:val="20"/>
          <w:szCs w:val="20"/>
        </w:rPr>
        <w:t>XEROX DISCLAIMS THE IMPLIED WARRANTIES OF NON-INFRINGEMENT AND FITNESS FOR A PARTICULAR PURPOSE AND, FOR THIRD PARTY PRODUCTS, THE IMPLIED WARRANTY OF</w:t>
      </w:r>
      <w:r w:rsidRPr="00E847D4">
        <w:rPr>
          <w:rFonts w:cs="Arial"/>
          <w:spacing w:val="-24"/>
          <w:sz w:val="20"/>
          <w:szCs w:val="20"/>
        </w:rPr>
        <w:t xml:space="preserve"> </w:t>
      </w:r>
      <w:r w:rsidRPr="00E847D4">
        <w:rPr>
          <w:rFonts w:cs="Arial"/>
          <w:sz w:val="20"/>
          <w:szCs w:val="20"/>
        </w:rPr>
        <w:t>MERCHANTABILITY.</w:t>
      </w:r>
    </w:p>
    <w:p w14:paraId="571B9B17" w14:textId="5A9B3F1F" w:rsidR="00106B92" w:rsidRPr="00E847D4" w:rsidRDefault="009E697C" w:rsidP="002B559A">
      <w:pPr>
        <w:pStyle w:val="ListParagraph"/>
        <w:numPr>
          <w:ilvl w:val="0"/>
          <w:numId w:val="1"/>
        </w:numPr>
        <w:spacing w:before="95"/>
        <w:ind w:left="562" w:hanging="360"/>
        <w:contextualSpacing w:val="0"/>
        <w:rPr>
          <w:rFonts w:cs="Arial"/>
          <w:sz w:val="20"/>
          <w:szCs w:val="20"/>
        </w:rPr>
      </w:pPr>
      <w:r w:rsidRPr="00E847D4">
        <w:rPr>
          <w:rFonts w:cs="Arial"/>
          <w:b/>
          <w:sz w:val="20"/>
          <w:szCs w:val="20"/>
        </w:rPr>
        <w:t>REMOTE SERVICES.</w:t>
      </w:r>
      <w:r w:rsidRPr="00E847D4">
        <w:rPr>
          <w:rFonts w:cs="Arial"/>
          <w:sz w:val="20"/>
          <w:szCs w:val="20"/>
        </w:rPr>
        <w:t xml:space="preserve"> </w:t>
      </w:r>
      <w:r w:rsidR="00106B92" w:rsidRPr="00E847D4">
        <w:rPr>
          <w:rFonts w:cs="Arial"/>
          <w:sz w:val="20"/>
          <w:szCs w:val="20"/>
        </w:rPr>
        <w:t>REMOTE SERVICES. Certain models of Equipment are supported and serviced using product information that is automatically collected by Xerox or transmitted to or from Xerox by the Equipment connected to your network ("Remote Product Info") via electronic transmission to a secure off-site location ("Remote Data Transmission").  Remote Transmission also enables Xerox to transmit to you Releases for Software and to remotely diagnose and modify Equipment to repair and correct malfunctions.  Examples of Remote Product Info include product registration, meter read, supply level, Equipment configuration and settings, software version, and problem/fault code information.  Remote Product Info may be used by Xerox for billing, report generation, supplies replenishment, support services, recommending additional products and services, and product improvement/development purposes.  Remote Product will be transmitted to and from you in a secure manner mutually agreeable to the parties.  Remote Transmission will not allow Xerox to read, view or download the content of any of your documents or other information residing on or passing through the Equipment or your information management systems.  You grant the right to Xerox, without charge, to conduct Remote Transmission for the purposes described above.  Upon Xerox’s request, you will (a) provide contact information for Equipment such as name and address of your contact and IP and physical addresses/locations of Equipment, and (b) ensure that any Maintenance Release or Update released by Xerox to provide security patches, releases and/or certificates for the Remote Transmission and/or Software is promptly enabled by you upon notification by Xerox or by the Equipment or when otherwise made available on xerox.com.  You will enable Remote Transmission via a method mutually agreeable to the parties, and you will provide reasonable assistance to allow Xerox to provide Remote Transmission.  Unless Xerox deems Equipment incapable of Remote Transmission, you will ensure that Remote Transmission is maintained at all times Maintenance Services are being performed.  If you are unable to maintain Remote Transmission, or if Xerox disables Remote Transmission from any Equipment at your request, or if you disable Remote Transmission from any Equipment, Xerox reserves the right to charge you a per device fee</w:t>
      </w:r>
      <w:r w:rsidR="0016783F">
        <w:rPr>
          <w:rFonts w:cs="Arial"/>
          <w:sz w:val="20"/>
          <w:szCs w:val="20"/>
        </w:rPr>
        <w:t>, per the NASPO ValuePoint Master Agreement (“Master Agreement”),</w:t>
      </w:r>
      <w:r w:rsidR="00106B92" w:rsidRPr="00E847D4">
        <w:rPr>
          <w:rFonts w:cs="Arial"/>
          <w:sz w:val="20"/>
          <w:szCs w:val="20"/>
        </w:rPr>
        <w:t xml:space="preserve"> for such affected Equipment due to the increased service visits that will be required in order to: (x) obtain such information, (y) provide such transmissions, and (z) provide such Maintenance Services and Consumable Supplies that otherwise would have been provided remotely and/or proactively.</w:t>
      </w:r>
    </w:p>
    <w:p w14:paraId="1B7B7E1A" w14:textId="59199426" w:rsidR="009E697C" w:rsidRPr="00E847D4" w:rsidRDefault="009E697C" w:rsidP="00106B92">
      <w:pPr>
        <w:pStyle w:val="ListParagraph"/>
        <w:widowControl w:val="0"/>
        <w:tabs>
          <w:tab w:val="left" w:pos="560"/>
        </w:tabs>
        <w:autoSpaceDE w:val="0"/>
        <w:autoSpaceDN w:val="0"/>
        <w:spacing w:before="95" w:line="276" w:lineRule="auto"/>
        <w:ind w:left="562" w:right="331"/>
        <w:contextualSpacing w:val="0"/>
        <w:jc w:val="both"/>
        <w:rPr>
          <w:rFonts w:cs="Arial"/>
          <w:b/>
          <w:sz w:val="20"/>
          <w:szCs w:val="20"/>
        </w:rPr>
      </w:pPr>
    </w:p>
    <w:p w14:paraId="6BA15AF3" w14:textId="77777777" w:rsidR="009E697C" w:rsidRPr="00E847D4" w:rsidRDefault="009E697C" w:rsidP="009E697C">
      <w:pPr>
        <w:rPr>
          <w:rFonts w:cs="Arial"/>
          <w:b/>
          <w:sz w:val="20"/>
        </w:rPr>
      </w:pPr>
      <w:r w:rsidRPr="00E847D4">
        <w:rPr>
          <w:rFonts w:cs="Arial"/>
          <w:b/>
          <w:sz w:val="20"/>
        </w:rPr>
        <w:t>SOFTWARE</w:t>
      </w:r>
    </w:p>
    <w:p w14:paraId="7C3F89B0" w14:textId="265C64E5" w:rsidR="00106B92" w:rsidRPr="00E847D4" w:rsidRDefault="009E697C" w:rsidP="009E697C">
      <w:pPr>
        <w:pStyle w:val="ListParagraph"/>
        <w:widowControl w:val="0"/>
        <w:numPr>
          <w:ilvl w:val="0"/>
          <w:numId w:val="1"/>
        </w:numPr>
        <w:tabs>
          <w:tab w:val="left" w:pos="560"/>
        </w:tabs>
        <w:autoSpaceDE w:val="0"/>
        <w:autoSpaceDN w:val="0"/>
        <w:spacing w:before="95" w:line="276" w:lineRule="auto"/>
        <w:ind w:right="331"/>
        <w:contextualSpacing w:val="0"/>
        <w:jc w:val="both"/>
        <w:rPr>
          <w:rFonts w:cs="Arial"/>
          <w:sz w:val="20"/>
          <w:szCs w:val="20"/>
        </w:rPr>
      </w:pPr>
      <w:r w:rsidRPr="00E847D4">
        <w:rPr>
          <w:rFonts w:cs="Arial"/>
          <w:b/>
          <w:sz w:val="20"/>
          <w:szCs w:val="20"/>
        </w:rPr>
        <w:t>SOFTWARE</w:t>
      </w:r>
      <w:r w:rsidRPr="00E847D4">
        <w:rPr>
          <w:rFonts w:cs="Arial"/>
          <w:b/>
          <w:spacing w:val="-10"/>
          <w:sz w:val="20"/>
          <w:szCs w:val="20"/>
        </w:rPr>
        <w:t xml:space="preserve"> </w:t>
      </w:r>
      <w:r w:rsidRPr="00E847D4">
        <w:rPr>
          <w:rFonts w:cs="Arial"/>
          <w:b/>
          <w:sz w:val="20"/>
          <w:szCs w:val="20"/>
        </w:rPr>
        <w:t>LICENSE.</w:t>
      </w:r>
      <w:r w:rsidRPr="00E847D4">
        <w:rPr>
          <w:rFonts w:cs="Arial"/>
          <w:b/>
          <w:spacing w:val="-4"/>
          <w:sz w:val="20"/>
          <w:szCs w:val="20"/>
        </w:rPr>
        <w:t xml:space="preserve"> </w:t>
      </w:r>
      <w:r w:rsidR="00106B92" w:rsidRPr="00E847D4">
        <w:rPr>
          <w:rFonts w:cs="Arial"/>
          <w:sz w:val="20"/>
          <w:szCs w:val="20"/>
        </w:rPr>
        <w:t xml:space="preserve">Xerox grants </w:t>
      </w:r>
      <w:r w:rsidR="00AF38AA" w:rsidRPr="00E847D4">
        <w:rPr>
          <w:rFonts w:cs="Arial"/>
          <w:sz w:val="20"/>
          <w:szCs w:val="20"/>
        </w:rPr>
        <w:t>you</w:t>
      </w:r>
      <w:r w:rsidR="00106B92" w:rsidRPr="00E847D4">
        <w:rPr>
          <w:rFonts w:cs="Arial"/>
          <w:sz w:val="20"/>
          <w:szCs w:val="20"/>
        </w:rPr>
        <w:t xml:space="preserve"> a non-exclusive, non-transferable license to use in the U.S.: (a) software and accompanying documentation provided with Xerox-brand Equipment and/or Third Party Hardware ("Base Software”) only with the Xerox-brand Equipment and/or Third Party Hardware with which it was delivered; and (b) Software and/or Third Party Software that is set forth as a separate line item in this Agreement (“Application Software”) (including its accompanying documentation) and may only be used on any single unit of Equipment or Third Party Hardware, as applicable, for as long as you are current in the payment of all applicable software license fees.  "Base Software" and "Application Software" are referred to collectively as "Licensed Software".  </w:t>
      </w:r>
      <w:r w:rsidR="00AF38AA" w:rsidRPr="00E847D4">
        <w:rPr>
          <w:rFonts w:cs="Arial"/>
          <w:sz w:val="20"/>
          <w:szCs w:val="20"/>
        </w:rPr>
        <w:t>The Purchasing Entity has</w:t>
      </w:r>
      <w:r w:rsidR="00106B92" w:rsidRPr="00E847D4">
        <w:rPr>
          <w:rFonts w:cs="Arial"/>
          <w:sz w:val="20"/>
          <w:szCs w:val="20"/>
        </w:rPr>
        <w:t xml:space="preserve"> no other rights and may not: (1) distribute, copy, modify, create derivatives of, decompile, or reverse engineer Licensed Software; (2) activate Licensed Software delivered with the Equipment and/or Third Party Hardware in an inactivated state; or (3) allow others to engage in same.  Title to, and all intellectual property rights in, Licensed Software will reside solely with Xerox and/or its licensors (who will be considered third-party beneficiaries of this Section).  Licensed Software may contain code capable of automatically disabling the Equipment.  Disabling code may be activated if: (</w:t>
      </w:r>
      <w:r w:rsidR="00AF38AA" w:rsidRPr="00E847D4">
        <w:rPr>
          <w:rFonts w:cs="Arial"/>
          <w:sz w:val="20"/>
          <w:szCs w:val="20"/>
        </w:rPr>
        <w:t>a</w:t>
      </w:r>
      <w:r w:rsidR="00106B92" w:rsidRPr="00E847D4">
        <w:rPr>
          <w:rFonts w:cs="Arial"/>
          <w:sz w:val="20"/>
          <w:szCs w:val="20"/>
        </w:rPr>
        <w:t>) Xerox is denied access to periodically reset such code; (</w:t>
      </w:r>
      <w:r w:rsidR="00AF38AA" w:rsidRPr="00E847D4">
        <w:rPr>
          <w:rFonts w:cs="Arial"/>
          <w:sz w:val="20"/>
          <w:szCs w:val="20"/>
        </w:rPr>
        <w:t>b</w:t>
      </w:r>
      <w:r w:rsidR="00106B92" w:rsidRPr="00E847D4">
        <w:rPr>
          <w:rFonts w:cs="Arial"/>
          <w:sz w:val="20"/>
          <w:szCs w:val="20"/>
        </w:rPr>
        <w:t>) you are notified of a default under this Agreement; or (</w:t>
      </w:r>
      <w:r w:rsidR="00AF38AA" w:rsidRPr="00E847D4">
        <w:rPr>
          <w:rFonts w:cs="Arial"/>
          <w:sz w:val="20"/>
          <w:szCs w:val="20"/>
        </w:rPr>
        <w:t>c</w:t>
      </w:r>
      <w:r w:rsidR="00106B92" w:rsidRPr="00E847D4">
        <w:rPr>
          <w:rFonts w:cs="Arial"/>
          <w:sz w:val="20"/>
          <w:szCs w:val="20"/>
        </w:rPr>
        <w:t>) your license is terminated or expires.  The Base Software license will terminate: (i) if you no longer use or possess the Equipment and/or Third Party Hardware; (ii) you are a lessor of the Equipment and/or Third Party Hardware and your first lessee no longer uses or possesses it; or (iii) upon the expiration or termination of this Agreement, unless you have exercised your option to purchase the Equipment and/or Third Party Hardware, as applicable.  Neither Xerox nor its licensors warrant that Licensed Software will be free from errors or that its operation will be uninterrupted.  The foregoing terms do not apply to Diagnostic Software or to Licensed Software/documentation accompanied by a clickwrap or shrinkwrap license agreement or otherwise made subject to a separate license agreement.</w:t>
      </w:r>
    </w:p>
    <w:p w14:paraId="141C640B" w14:textId="45D0F478" w:rsidR="009E697C" w:rsidRPr="00E847D4" w:rsidRDefault="009E697C" w:rsidP="009E697C">
      <w:pPr>
        <w:pStyle w:val="ListParagraph"/>
        <w:widowControl w:val="0"/>
        <w:numPr>
          <w:ilvl w:val="0"/>
          <w:numId w:val="1"/>
        </w:numPr>
        <w:tabs>
          <w:tab w:val="left" w:pos="560"/>
        </w:tabs>
        <w:autoSpaceDE w:val="0"/>
        <w:autoSpaceDN w:val="0"/>
        <w:spacing w:before="95" w:line="276" w:lineRule="auto"/>
        <w:ind w:right="331"/>
        <w:contextualSpacing w:val="0"/>
        <w:jc w:val="both"/>
        <w:rPr>
          <w:rFonts w:cs="Arial"/>
          <w:sz w:val="20"/>
          <w:szCs w:val="20"/>
        </w:rPr>
      </w:pPr>
      <w:r w:rsidRPr="00E847D4">
        <w:rPr>
          <w:rFonts w:cs="Arial"/>
          <w:b/>
          <w:sz w:val="20"/>
          <w:szCs w:val="20"/>
        </w:rPr>
        <w:t>SOFTWARE SUPPORT</w:t>
      </w:r>
      <w:r w:rsidRPr="00E847D4">
        <w:rPr>
          <w:rFonts w:cs="Arial"/>
          <w:sz w:val="20"/>
          <w:szCs w:val="20"/>
        </w:rPr>
        <w:t>. Except for Products and/or Third Party Products identified as "No Svc.", Xerox (or a designated servicer) will provide the software support set forth below ("Software Support"). As used in this Agreement, “Base Software” means software and accompanying documentation provided with Xerox-brand Equipment and/or Third Party Hardware. For Base Software for Equipment, Software Support will be provided during the initial Term and any renewal period, but in no event longer than 5 years after Xerox stops taking customer orders for the subject model of Equipment. For Base Software for Third Party Hardware, Software Support will be provided during the initial Term and any renewal period but in no event longer than the Third Party Hardware vendor provides similar support for it. For Software and/or Third Party Software that is set forth as a separate line item in this Agreement (“Application Software”) (including its accompanying documentation), Software Support will be provided as long as you are current in the payment of all applicable software license and support fees. Xerox will maintain a web-based or toll-free hotline during Xerox's standard working hours to report Licensed Software problems and answer Licensed Software-related questions. Xerox, either directly or with its vendors, will make reasonable efforts to: (a) assure that Licensed Software performs in material conformity with its user documentation; (b) provide available workarounds or patches to resolve Software performance problems; and (c) resolve coding errors for (i) the current Release and (ii) the previous Release for a period of 6 months after the current Release is made available to you. Xerox will not be required to provide Licensed Software Support if you have modified the Software. New releases of Licensed Software that primarily incorporate compliance updates and coding error fixes are designated as "Maintenance Releases" or "Updates". Maintenance Releases or Updates that Xerox may make available will be provided at no charge and must be implemented within six months. New releases of Licensed Software that include new content or functionality ("Feature Releases") will be subject to additional license fees at Xerox's then Master Agreement pricing. Maintenance Releases, Updates and Feature Releases are collectively referred to as "Releases". Each Release will be considered Licensed Software governed by the Licensed Software License and Licensed Software Support provisions of this Agreement (unless otherwise noted). Implementation of a Release may require you to procure, at your expense, additional hardware and/or software from Xerox or another entity. Upon installation of a Release, you will return or destroy all prior Releases. For Third Party Software identified as ‘No Svc.”, you may enter into a support agreement with a Third Party Software vendor or its support services provider, who shall be solely responsible for the quality, timeliness and other terms and conditions of such support services. Xerox shall have no liability for the acts or omissions of such third party support services provider.</w:t>
      </w:r>
    </w:p>
    <w:p w14:paraId="2036BB56" w14:textId="5904E909" w:rsidR="009E697C" w:rsidRPr="00E847D4" w:rsidRDefault="009E697C" w:rsidP="009E697C">
      <w:pPr>
        <w:pStyle w:val="ListParagraph"/>
        <w:widowControl w:val="0"/>
        <w:numPr>
          <w:ilvl w:val="0"/>
          <w:numId w:val="1"/>
        </w:numPr>
        <w:tabs>
          <w:tab w:val="left" w:pos="560"/>
        </w:tabs>
        <w:autoSpaceDE w:val="0"/>
        <w:autoSpaceDN w:val="0"/>
        <w:spacing w:before="95" w:line="276" w:lineRule="auto"/>
        <w:ind w:right="334"/>
        <w:contextualSpacing w:val="0"/>
        <w:jc w:val="both"/>
        <w:rPr>
          <w:rFonts w:cs="Arial"/>
          <w:sz w:val="20"/>
          <w:szCs w:val="20"/>
        </w:rPr>
      </w:pPr>
      <w:r w:rsidRPr="00E847D4">
        <w:rPr>
          <w:rFonts w:cs="Arial"/>
          <w:b/>
          <w:sz w:val="20"/>
          <w:szCs w:val="20"/>
        </w:rPr>
        <w:t>DIAGNOSTIC SOFTWARE</w:t>
      </w:r>
      <w:r w:rsidRPr="00E847D4">
        <w:rPr>
          <w:rFonts w:cs="Arial"/>
          <w:sz w:val="20"/>
          <w:szCs w:val="20"/>
        </w:rPr>
        <w:t xml:space="preserve">. </w:t>
      </w:r>
      <w:r w:rsidR="00106B92" w:rsidRPr="00E847D4">
        <w:rPr>
          <w:rFonts w:cs="Arial"/>
          <w:sz w:val="20"/>
          <w:szCs w:val="20"/>
        </w:rPr>
        <w:t>Software used to evaluate or maintain the Equipment ("Diagnostic Software") is included with the Equipment.  Diagnostic Software is a valuable trade secret of Xerox.  Title to Diagnostic Software will remain with Xerox or its licensors.  Xerox does not grant you any right to use Diagnostic Software, and you will not access, use, reproduce, distribute or disclose Diagnostic Software for any purpose (or allow third parties to do so).  You will allow Xerox reasonable access to the Equipment to remove or disable Diagnostic Software if you are no longer receiving Maintenance Services from Xerox, provided that any on-site access to your facility will be during your normal business hours.</w:t>
      </w:r>
    </w:p>
    <w:p w14:paraId="6EBD94B3" w14:textId="77777777" w:rsidR="009E697C" w:rsidRPr="00E847D4" w:rsidRDefault="009E697C" w:rsidP="009E697C">
      <w:pPr>
        <w:pStyle w:val="ListParagraph"/>
        <w:numPr>
          <w:ilvl w:val="0"/>
          <w:numId w:val="1"/>
        </w:numPr>
        <w:tabs>
          <w:tab w:val="left" w:pos="560"/>
        </w:tabs>
        <w:spacing w:before="95" w:after="200" w:line="276" w:lineRule="auto"/>
        <w:ind w:right="334"/>
        <w:contextualSpacing w:val="0"/>
        <w:jc w:val="both"/>
        <w:rPr>
          <w:rFonts w:cs="Arial"/>
          <w:sz w:val="20"/>
          <w:szCs w:val="20"/>
        </w:rPr>
      </w:pPr>
      <w:r w:rsidRPr="00E847D4">
        <w:rPr>
          <w:rFonts w:cs="Arial"/>
          <w:b/>
          <w:sz w:val="20"/>
          <w:szCs w:val="20"/>
        </w:rPr>
        <w:t>DATA SECURITY</w:t>
      </w:r>
      <w:r w:rsidRPr="00E847D4">
        <w:rPr>
          <w:rFonts w:cs="Arial"/>
          <w:sz w:val="20"/>
          <w:szCs w:val="20"/>
        </w:rPr>
        <w:t>. Certain models of Equipment can be configured to include a variety of data security features. There may be an additional cost associated with certain data security features. The selection, suitability and use of data security features are solely Customer’s responsibility. Upon request, Xerox will provide additional information to Customer regarding the security features available for particular Equipment models.</w:t>
      </w:r>
    </w:p>
    <w:p w14:paraId="79FE9BA6" w14:textId="77777777" w:rsidR="00F54868" w:rsidRPr="00E847D4" w:rsidRDefault="00F54868">
      <w:pPr>
        <w:rPr>
          <w:rFonts w:cs="Arial"/>
          <w:sz w:val="20"/>
        </w:rPr>
      </w:pPr>
    </w:p>
    <w:sectPr w:rsidR="00F54868" w:rsidRPr="00E847D4">
      <w:headerReference w:type="default" r:id="rId7"/>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93B90" w16cex:dateUtc="2023-10-05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9DC05" w16cid:durableId="28C93B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FDA2E" w14:textId="77777777" w:rsidR="00D522B9" w:rsidRDefault="00D522B9" w:rsidP="00565EFB">
      <w:r>
        <w:separator/>
      </w:r>
    </w:p>
  </w:endnote>
  <w:endnote w:type="continuationSeparator" w:id="0">
    <w:p w14:paraId="44134F53" w14:textId="77777777" w:rsidR="00D522B9" w:rsidRDefault="00D522B9" w:rsidP="0056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961617"/>
      <w:docPartObj>
        <w:docPartGallery w:val="Page Numbers (Bottom of Page)"/>
        <w:docPartUnique/>
      </w:docPartObj>
    </w:sdtPr>
    <w:sdtEndPr/>
    <w:sdtContent>
      <w:sdt>
        <w:sdtPr>
          <w:id w:val="-1705238520"/>
          <w:docPartObj>
            <w:docPartGallery w:val="Page Numbers (Top of Page)"/>
            <w:docPartUnique/>
          </w:docPartObj>
        </w:sdtPr>
        <w:sdtEndPr/>
        <w:sdtContent>
          <w:p w14:paraId="25E1A14F" w14:textId="611567EB" w:rsidR="00E847D4" w:rsidRDefault="00E847D4">
            <w:pPr>
              <w:pStyle w:val="Footer"/>
            </w:pPr>
            <w:r>
              <w:t xml:space="preserve">Attachment </w:t>
            </w:r>
            <w:r w:rsidR="0016783F">
              <w:t xml:space="preserve">1 </w:t>
            </w:r>
            <w:r>
              <w:t xml:space="preserve">– Xerox General Terms </w:t>
            </w:r>
            <w:r>
              <w:tab/>
            </w:r>
            <w:r>
              <w:tab/>
              <w:t xml:space="preserve">Page </w:t>
            </w:r>
            <w:r>
              <w:rPr>
                <w:b/>
                <w:bCs/>
                <w:szCs w:val="24"/>
              </w:rPr>
              <w:fldChar w:fldCharType="begin"/>
            </w:r>
            <w:r>
              <w:rPr>
                <w:b/>
                <w:bCs/>
              </w:rPr>
              <w:instrText xml:space="preserve"> PAGE </w:instrText>
            </w:r>
            <w:r>
              <w:rPr>
                <w:b/>
                <w:bCs/>
                <w:szCs w:val="24"/>
              </w:rPr>
              <w:fldChar w:fldCharType="separate"/>
            </w:r>
            <w:r w:rsidR="002B559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B559A">
              <w:rPr>
                <w:b/>
                <w:bCs/>
                <w:noProof/>
              </w:rPr>
              <w:t>4</w:t>
            </w:r>
            <w:r>
              <w:rPr>
                <w:b/>
                <w:bCs/>
                <w:szCs w:val="24"/>
              </w:rPr>
              <w:fldChar w:fldCharType="end"/>
            </w:r>
          </w:p>
        </w:sdtContent>
      </w:sdt>
    </w:sdtContent>
  </w:sdt>
  <w:p w14:paraId="3E653DBA" w14:textId="77777777" w:rsidR="00565EFB" w:rsidRDefault="0056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AFC29" w14:textId="77777777" w:rsidR="00D522B9" w:rsidRDefault="00D522B9" w:rsidP="00565EFB">
      <w:r>
        <w:separator/>
      </w:r>
    </w:p>
  </w:footnote>
  <w:footnote w:type="continuationSeparator" w:id="0">
    <w:p w14:paraId="4F7A847F" w14:textId="77777777" w:rsidR="00D522B9" w:rsidRDefault="00D522B9" w:rsidP="0056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B3D7" w14:textId="1B212B36" w:rsidR="00565EFB" w:rsidRDefault="00565EFB">
    <w:pPr>
      <w:pStyle w:val="Header"/>
    </w:pPr>
    <w:r>
      <w:rPr>
        <w:noProof/>
      </w:rPr>
      <w:drawing>
        <wp:anchor distT="0" distB="0" distL="114300" distR="114300" simplePos="0" relativeHeight="251659264" behindDoc="0" locked="1" layoutInCell="1" allowOverlap="1" wp14:anchorId="628387D6" wp14:editId="76CD5016">
          <wp:simplePos x="0" y="0"/>
          <wp:positionH relativeFrom="page">
            <wp:posOffset>6143625</wp:posOffset>
          </wp:positionH>
          <wp:positionV relativeFrom="page">
            <wp:posOffset>457200</wp:posOffset>
          </wp:positionV>
          <wp:extent cx="991870" cy="200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25C1D"/>
    <w:multiLevelType w:val="hybridMultilevel"/>
    <w:tmpl w:val="829646AA"/>
    <w:lvl w:ilvl="0" w:tplc="A2B8019C">
      <w:start w:val="9"/>
      <w:numFmt w:val="decimal"/>
      <w:lvlText w:val="%1."/>
      <w:lvlJc w:val="left"/>
      <w:pPr>
        <w:ind w:left="560" w:hanging="361"/>
      </w:pPr>
      <w:rPr>
        <w:rFonts w:ascii="Arial" w:eastAsia="Arial" w:hAnsi="Arial" w:cs="Arial" w:hint="default"/>
        <w:b/>
        <w:spacing w:val="-1"/>
        <w:w w:val="100"/>
        <w:sz w:val="16"/>
        <w:szCs w:val="16"/>
      </w:rPr>
    </w:lvl>
    <w:lvl w:ilvl="1" w:tplc="8ED2AC5A">
      <w:numFmt w:val="bullet"/>
      <w:lvlText w:val="•"/>
      <w:lvlJc w:val="left"/>
      <w:pPr>
        <w:ind w:left="1638" w:hanging="361"/>
      </w:pPr>
      <w:rPr>
        <w:rFonts w:hint="default"/>
      </w:rPr>
    </w:lvl>
    <w:lvl w:ilvl="2" w:tplc="9CB0A762">
      <w:numFmt w:val="bullet"/>
      <w:lvlText w:val="•"/>
      <w:lvlJc w:val="left"/>
      <w:pPr>
        <w:ind w:left="2716" w:hanging="361"/>
      </w:pPr>
      <w:rPr>
        <w:rFonts w:hint="default"/>
      </w:rPr>
    </w:lvl>
    <w:lvl w:ilvl="3" w:tplc="E5B0542E">
      <w:numFmt w:val="bullet"/>
      <w:lvlText w:val="•"/>
      <w:lvlJc w:val="left"/>
      <w:pPr>
        <w:ind w:left="3794" w:hanging="361"/>
      </w:pPr>
      <w:rPr>
        <w:rFonts w:hint="default"/>
      </w:rPr>
    </w:lvl>
    <w:lvl w:ilvl="4" w:tplc="C03C6942">
      <w:numFmt w:val="bullet"/>
      <w:lvlText w:val="•"/>
      <w:lvlJc w:val="left"/>
      <w:pPr>
        <w:ind w:left="4872" w:hanging="361"/>
      </w:pPr>
      <w:rPr>
        <w:rFonts w:hint="default"/>
      </w:rPr>
    </w:lvl>
    <w:lvl w:ilvl="5" w:tplc="986E4FCC">
      <w:numFmt w:val="bullet"/>
      <w:lvlText w:val="•"/>
      <w:lvlJc w:val="left"/>
      <w:pPr>
        <w:ind w:left="5950" w:hanging="361"/>
      </w:pPr>
      <w:rPr>
        <w:rFonts w:hint="default"/>
      </w:rPr>
    </w:lvl>
    <w:lvl w:ilvl="6" w:tplc="BDA052A6">
      <w:numFmt w:val="bullet"/>
      <w:lvlText w:val="•"/>
      <w:lvlJc w:val="left"/>
      <w:pPr>
        <w:ind w:left="7028" w:hanging="361"/>
      </w:pPr>
      <w:rPr>
        <w:rFonts w:hint="default"/>
      </w:rPr>
    </w:lvl>
    <w:lvl w:ilvl="7" w:tplc="15BE593C">
      <w:numFmt w:val="bullet"/>
      <w:lvlText w:val="•"/>
      <w:lvlJc w:val="left"/>
      <w:pPr>
        <w:ind w:left="8106" w:hanging="361"/>
      </w:pPr>
      <w:rPr>
        <w:rFonts w:hint="default"/>
      </w:rPr>
    </w:lvl>
    <w:lvl w:ilvl="8" w:tplc="EBB07BAA">
      <w:numFmt w:val="bullet"/>
      <w:lvlText w:val="•"/>
      <w:lvlJc w:val="left"/>
      <w:pPr>
        <w:ind w:left="9184" w:hanging="361"/>
      </w:pPr>
      <w:rPr>
        <w:rFonts w:hint="default"/>
      </w:rPr>
    </w:lvl>
  </w:abstractNum>
  <w:abstractNum w:abstractNumId="1" w15:restartNumberingAfterBreak="0">
    <w:nsid w:val="641D01C4"/>
    <w:multiLevelType w:val="hybridMultilevel"/>
    <w:tmpl w:val="3E26BECC"/>
    <w:lvl w:ilvl="0" w:tplc="1688D4D2">
      <w:start w:val="1"/>
      <w:numFmt w:val="decimal"/>
      <w:lvlText w:val="%1."/>
      <w:lvlJc w:val="left"/>
      <w:pPr>
        <w:ind w:left="560" w:hanging="361"/>
      </w:pPr>
      <w:rPr>
        <w:rFonts w:ascii="Arial" w:eastAsia="Arial" w:hAnsi="Arial" w:cs="Arial" w:hint="default"/>
        <w:b/>
        <w:spacing w:val="-1"/>
        <w:w w:val="100"/>
        <w:sz w:val="16"/>
        <w:szCs w:val="16"/>
      </w:rPr>
    </w:lvl>
    <w:lvl w:ilvl="1" w:tplc="414C7CF2">
      <w:numFmt w:val="bullet"/>
      <w:lvlText w:val="•"/>
      <w:lvlJc w:val="left"/>
      <w:pPr>
        <w:ind w:left="1638" w:hanging="361"/>
      </w:pPr>
      <w:rPr>
        <w:rFonts w:hint="default"/>
      </w:rPr>
    </w:lvl>
    <w:lvl w:ilvl="2" w:tplc="B22CB532">
      <w:numFmt w:val="bullet"/>
      <w:lvlText w:val="•"/>
      <w:lvlJc w:val="left"/>
      <w:pPr>
        <w:ind w:left="2716" w:hanging="361"/>
      </w:pPr>
      <w:rPr>
        <w:rFonts w:hint="default"/>
      </w:rPr>
    </w:lvl>
    <w:lvl w:ilvl="3" w:tplc="BB46E9B0">
      <w:numFmt w:val="bullet"/>
      <w:lvlText w:val="•"/>
      <w:lvlJc w:val="left"/>
      <w:pPr>
        <w:ind w:left="3794" w:hanging="361"/>
      </w:pPr>
      <w:rPr>
        <w:rFonts w:hint="default"/>
      </w:rPr>
    </w:lvl>
    <w:lvl w:ilvl="4" w:tplc="90D0E6D2">
      <w:numFmt w:val="bullet"/>
      <w:lvlText w:val="•"/>
      <w:lvlJc w:val="left"/>
      <w:pPr>
        <w:ind w:left="4872" w:hanging="361"/>
      </w:pPr>
      <w:rPr>
        <w:rFonts w:hint="default"/>
      </w:rPr>
    </w:lvl>
    <w:lvl w:ilvl="5" w:tplc="999439A4">
      <w:numFmt w:val="bullet"/>
      <w:lvlText w:val="•"/>
      <w:lvlJc w:val="left"/>
      <w:pPr>
        <w:ind w:left="5950" w:hanging="361"/>
      </w:pPr>
      <w:rPr>
        <w:rFonts w:hint="default"/>
      </w:rPr>
    </w:lvl>
    <w:lvl w:ilvl="6" w:tplc="D3C486D6">
      <w:numFmt w:val="bullet"/>
      <w:lvlText w:val="•"/>
      <w:lvlJc w:val="left"/>
      <w:pPr>
        <w:ind w:left="7028" w:hanging="361"/>
      </w:pPr>
      <w:rPr>
        <w:rFonts w:hint="default"/>
      </w:rPr>
    </w:lvl>
    <w:lvl w:ilvl="7" w:tplc="55726382">
      <w:numFmt w:val="bullet"/>
      <w:lvlText w:val="•"/>
      <w:lvlJc w:val="left"/>
      <w:pPr>
        <w:ind w:left="8106" w:hanging="361"/>
      </w:pPr>
      <w:rPr>
        <w:rFonts w:hint="default"/>
      </w:rPr>
    </w:lvl>
    <w:lvl w:ilvl="8" w:tplc="07EC2CC0">
      <w:numFmt w:val="bullet"/>
      <w:lvlText w:val="•"/>
      <w:lvlJc w:val="left"/>
      <w:pPr>
        <w:ind w:left="9184"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7C"/>
    <w:rsid w:val="00096BDA"/>
    <w:rsid w:val="00097EB5"/>
    <w:rsid w:val="00106B92"/>
    <w:rsid w:val="0013608B"/>
    <w:rsid w:val="0016783F"/>
    <w:rsid w:val="00212550"/>
    <w:rsid w:val="002B559A"/>
    <w:rsid w:val="00333CC0"/>
    <w:rsid w:val="003B6561"/>
    <w:rsid w:val="00565EFB"/>
    <w:rsid w:val="00713B89"/>
    <w:rsid w:val="007B7A8C"/>
    <w:rsid w:val="00800710"/>
    <w:rsid w:val="008D08AA"/>
    <w:rsid w:val="00900699"/>
    <w:rsid w:val="009E697C"/>
    <w:rsid w:val="00A82BDA"/>
    <w:rsid w:val="00AF38AA"/>
    <w:rsid w:val="00CC61DC"/>
    <w:rsid w:val="00D522B9"/>
    <w:rsid w:val="00D85E9B"/>
    <w:rsid w:val="00E847D4"/>
    <w:rsid w:val="00F54868"/>
    <w:rsid w:val="00F6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008F"/>
  <w15:chartTrackingRefBased/>
  <w15:docId w15:val="{E4792AA5-07E9-4B22-8F49-0554B10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97C"/>
    <w:pPr>
      <w:widowControl w:val="0"/>
      <w:autoSpaceDE w:val="0"/>
      <w:autoSpaceDN w:val="0"/>
      <w:adjustRightInd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E697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7C"/>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1"/>
    <w:qFormat/>
    <w:rsid w:val="009E697C"/>
    <w:pPr>
      <w:widowControl/>
      <w:autoSpaceDE/>
      <w:autoSpaceDN/>
      <w:adjustRightInd/>
      <w:ind w:left="720"/>
      <w:contextualSpacing/>
    </w:pPr>
    <w:rPr>
      <w:szCs w:val="24"/>
    </w:rPr>
  </w:style>
  <w:style w:type="paragraph" w:styleId="Header">
    <w:name w:val="header"/>
    <w:basedOn w:val="Normal"/>
    <w:link w:val="HeaderChar"/>
    <w:uiPriority w:val="99"/>
    <w:unhideWhenUsed/>
    <w:rsid w:val="00565EFB"/>
    <w:pPr>
      <w:tabs>
        <w:tab w:val="center" w:pos="4680"/>
        <w:tab w:val="right" w:pos="9360"/>
      </w:tabs>
    </w:pPr>
  </w:style>
  <w:style w:type="character" w:customStyle="1" w:styleId="HeaderChar">
    <w:name w:val="Header Char"/>
    <w:basedOn w:val="DefaultParagraphFont"/>
    <w:link w:val="Header"/>
    <w:uiPriority w:val="99"/>
    <w:rsid w:val="00565EFB"/>
    <w:rPr>
      <w:rFonts w:ascii="Arial" w:eastAsia="Times New Roman" w:hAnsi="Arial" w:cs="Times New Roman"/>
      <w:sz w:val="24"/>
      <w:szCs w:val="20"/>
    </w:rPr>
  </w:style>
  <w:style w:type="paragraph" w:styleId="Footer">
    <w:name w:val="footer"/>
    <w:basedOn w:val="Normal"/>
    <w:link w:val="FooterChar"/>
    <w:uiPriority w:val="99"/>
    <w:unhideWhenUsed/>
    <w:rsid w:val="00565EFB"/>
    <w:pPr>
      <w:tabs>
        <w:tab w:val="center" w:pos="4680"/>
        <w:tab w:val="right" w:pos="9360"/>
      </w:tabs>
    </w:pPr>
  </w:style>
  <w:style w:type="character" w:customStyle="1" w:styleId="FooterChar">
    <w:name w:val="Footer Char"/>
    <w:basedOn w:val="DefaultParagraphFont"/>
    <w:link w:val="Footer"/>
    <w:uiPriority w:val="99"/>
    <w:rsid w:val="00565EFB"/>
    <w:rPr>
      <w:rFonts w:ascii="Arial" w:eastAsia="Times New Roman" w:hAnsi="Arial" w:cs="Times New Roman"/>
      <w:sz w:val="24"/>
      <w:szCs w:val="20"/>
    </w:rPr>
  </w:style>
  <w:style w:type="paragraph" w:styleId="Revision">
    <w:name w:val="Revision"/>
    <w:hidden/>
    <w:uiPriority w:val="99"/>
    <w:semiHidden/>
    <w:rsid w:val="007B7A8C"/>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67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3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85E9B"/>
    <w:rPr>
      <w:sz w:val="16"/>
      <w:szCs w:val="16"/>
    </w:rPr>
  </w:style>
  <w:style w:type="paragraph" w:styleId="CommentText">
    <w:name w:val="annotation text"/>
    <w:basedOn w:val="Normal"/>
    <w:link w:val="CommentTextChar"/>
    <w:uiPriority w:val="99"/>
    <w:semiHidden/>
    <w:unhideWhenUsed/>
    <w:rsid w:val="00D85E9B"/>
    <w:rPr>
      <w:sz w:val="20"/>
    </w:rPr>
  </w:style>
  <w:style w:type="character" w:customStyle="1" w:styleId="CommentTextChar">
    <w:name w:val="Comment Text Char"/>
    <w:basedOn w:val="DefaultParagraphFont"/>
    <w:link w:val="CommentText"/>
    <w:uiPriority w:val="99"/>
    <w:semiHidden/>
    <w:rsid w:val="00D85E9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5E9B"/>
    <w:rPr>
      <w:b/>
      <w:bCs/>
    </w:rPr>
  </w:style>
  <w:style w:type="character" w:customStyle="1" w:styleId="CommentSubjectChar">
    <w:name w:val="Comment Subject Char"/>
    <w:basedOn w:val="CommentTextChar"/>
    <w:link w:val="CommentSubject"/>
    <w:uiPriority w:val="99"/>
    <w:semiHidden/>
    <w:rsid w:val="00D85E9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Nikki</dc:creator>
  <cp:keywords/>
  <dc:description/>
  <cp:lastModifiedBy>Pollack, Nikki</cp:lastModifiedBy>
  <cp:revision>2</cp:revision>
  <dcterms:created xsi:type="dcterms:W3CDTF">2023-11-15T18:53:00Z</dcterms:created>
  <dcterms:modified xsi:type="dcterms:W3CDTF">2023-11-15T18:53:00Z</dcterms:modified>
</cp:coreProperties>
</file>