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FB2A" w14:textId="77777777" w:rsidR="00385DEC" w:rsidRPr="00B015CF" w:rsidRDefault="00AB67E8" w:rsidP="00385DEC">
      <w:pPr>
        <w:pStyle w:val="NoSpacing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>July 22</w:t>
      </w:r>
      <w:r w:rsidR="00A72204" w:rsidRPr="00B015CF">
        <w:rPr>
          <w:color w:val="0D0D0D" w:themeColor="text1" w:themeTint="F2"/>
        </w:rPr>
        <w:t>, 201</w:t>
      </w:r>
      <w:r>
        <w:rPr>
          <w:color w:val="0D0D0D" w:themeColor="text1" w:themeTint="F2"/>
        </w:rPr>
        <w:t>9</w:t>
      </w:r>
    </w:p>
    <w:p w14:paraId="26C16C86" w14:textId="77777777" w:rsidR="00385DEC" w:rsidRPr="00B015CF" w:rsidRDefault="00385DEC" w:rsidP="00B01C3C">
      <w:pPr>
        <w:pStyle w:val="NoSpacing"/>
        <w:jc w:val="right"/>
        <w:rPr>
          <w:color w:val="0D0D0D" w:themeColor="text1" w:themeTint="F2"/>
        </w:rPr>
      </w:pPr>
    </w:p>
    <w:p w14:paraId="656D2A97" w14:textId="77777777" w:rsidR="00B01C3C" w:rsidRDefault="00B01C3C" w:rsidP="00B01C3C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</w:pPr>
      <w:r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  <w:t>Roni Field</w:t>
      </w:r>
    </w:p>
    <w:p w14:paraId="2807E1DC" w14:textId="77777777" w:rsidR="00B01C3C" w:rsidRDefault="00B01C3C" w:rsidP="00B01C3C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</w:pPr>
      <w:r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  <w:t xml:space="preserve">State of Washington </w:t>
      </w:r>
    </w:p>
    <w:p w14:paraId="51708A31" w14:textId="77777777" w:rsidR="00D1382E" w:rsidRPr="00B015CF" w:rsidRDefault="00B01C3C" w:rsidP="00B01C3C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</w:pPr>
      <w:r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  <w:t>Department of Enterprise Services</w:t>
      </w:r>
    </w:p>
    <w:p w14:paraId="65724866" w14:textId="77777777" w:rsidR="00D1382E" w:rsidRDefault="00B01C3C" w:rsidP="00B01C3C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</w:pPr>
      <w:r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  <w:t xml:space="preserve">Contracts &amp; </w:t>
      </w:r>
      <w:r w:rsidR="00D1382E" w:rsidRPr="00B015CF"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  <w:t>Procurement</w:t>
      </w:r>
    </w:p>
    <w:p w14:paraId="6C505FA5" w14:textId="77777777" w:rsidR="00B01C3C" w:rsidRPr="00B015CF" w:rsidRDefault="00B01C3C" w:rsidP="00B01C3C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</w:pPr>
      <w:r>
        <w:rPr>
          <w:rFonts w:asciiTheme="minorHAnsi" w:hAnsiTheme="minorHAnsi" w:cs="Arial"/>
          <w:bCs/>
          <w:snapToGrid/>
          <w:color w:val="0D0D0D" w:themeColor="text1" w:themeTint="F2"/>
          <w:sz w:val="22"/>
          <w:szCs w:val="22"/>
        </w:rPr>
        <w:t>Solicitation #00719/00819</w:t>
      </w:r>
    </w:p>
    <w:p w14:paraId="6272410A" w14:textId="77777777" w:rsidR="00B01C3C" w:rsidRPr="00B015CF" w:rsidRDefault="00B01C3C" w:rsidP="00B01C3C">
      <w:pPr>
        <w:spacing w:line="240" w:lineRule="auto"/>
        <w:rPr>
          <w:color w:val="0D0D0D" w:themeColor="text1" w:themeTint="F2"/>
        </w:rPr>
      </w:pPr>
      <w:r>
        <w:rPr>
          <w:rFonts w:cs="Arial"/>
          <w:bCs/>
          <w:color w:val="0D0D0D" w:themeColor="text1" w:themeTint="F2"/>
        </w:rPr>
        <w:t>P.O.  Box 41411</w:t>
      </w:r>
      <w:r>
        <w:rPr>
          <w:rFonts w:cs="Arial"/>
          <w:bCs/>
          <w:color w:val="0D0D0D" w:themeColor="text1" w:themeTint="F2"/>
        </w:rPr>
        <w:br/>
        <w:t>Olympia, WA 98501-1411</w:t>
      </w:r>
    </w:p>
    <w:p w14:paraId="5435FF76" w14:textId="77777777" w:rsidR="000E4B0A" w:rsidRPr="00B015CF" w:rsidRDefault="00A95404" w:rsidP="00B01C3C">
      <w:pPr>
        <w:keepLines/>
        <w:tabs>
          <w:tab w:val="left" w:pos="540"/>
        </w:tabs>
        <w:spacing w:line="240" w:lineRule="auto"/>
        <w:ind w:left="540" w:hanging="540"/>
        <w:jc w:val="both"/>
        <w:rPr>
          <w:color w:val="0D0D0D" w:themeColor="text1" w:themeTint="F2"/>
        </w:rPr>
      </w:pPr>
      <w:r w:rsidRPr="00B015CF">
        <w:rPr>
          <w:color w:val="0D0D0D" w:themeColor="text1" w:themeTint="F2"/>
        </w:rPr>
        <w:t>M</w:t>
      </w:r>
      <w:r w:rsidR="00B01C3C">
        <w:rPr>
          <w:color w:val="0D0D0D" w:themeColor="text1" w:themeTint="F2"/>
        </w:rPr>
        <w:t>s</w:t>
      </w:r>
      <w:r w:rsidRPr="00B015CF">
        <w:rPr>
          <w:color w:val="0D0D0D" w:themeColor="text1" w:themeTint="F2"/>
        </w:rPr>
        <w:t xml:space="preserve">. </w:t>
      </w:r>
      <w:r w:rsidR="00B01C3C">
        <w:rPr>
          <w:color w:val="0D0D0D" w:themeColor="text1" w:themeTint="F2"/>
        </w:rPr>
        <w:t>Field</w:t>
      </w:r>
      <w:r w:rsidR="000E4B0A" w:rsidRPr="00B015CF">
        <w:rPr>
          <w:color w:val="0D0D0D" w:themeColor="text1" w:themeTint="F2"/>
        </w:rPr>
        <w:t>:</w:t>
      </w:r>
    </w:p>
    <w:p w14:paraId="3696421C" w14:textId="77777777" w:rsidR="00AB67E8" w:rsidRDefault="000E4B0A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WEX Bank, formerly Wright Express Financial Services Corporation, would like to thank the State of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>Washington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and the NASPO Value Point evaluation committee</w:t>
      </w:r>
      <w:r w:rsidR="00A72204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for</w:t>
      </w:r>
      <w:r w:rsidR="00A95404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the opportunity to respond to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>NASPO</w:t>
      </w:r>
      <w:r w:rsidR="00A95404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Request for </w:t>
      </w:r>
      <w:r w:rsidR="002042B8">
        <w:rPr>
          <w:rFonts w:asciiTheme="minorHAnsi" w:hAnsiTheme="minorHAnsi"/>
          <w:color w:val="0D0D0D" w:themeColor="text1" w:themeTint="F2"/>
          <w:sz w:val="22"/>
          <w:szCs w:val="22"/>
        </w:rPr>
        <w:t xml:space="preserve">Proposal </w:t>
      </w:r>
      <w:r w:rsidR="00B01C3C">
        <w:rPr>
          <w:rFonts w:asciiTheme="minorHAnsi" w:hAnsiTheme="minorHAnsi"/>
          <w:color w:val="0D0D0D" w:themeColor="text1" w:themeTint="F2"/>
          <w:sz w:val="22"/>
          <w:szCs w:val="22"/>
        </w:rPr>
        <w:t xml:space="preserve">#00719/00819. WEX hereby submits a response to supply </w:t>
      </w:r>
      <w:r w:rsidR="00D1382E" w:rsidRPr="00B015CF">
        <w:rPr>
          <w:rFonts w:asciiTheme="minorHAnsi" w:hAnsiTheme="minorHAnsi"/>
          <w:color w:val="0D0D0D" w:themeColor="text1" w:themeTint="F2"/>
          <w:sz w:val="22"/>
          <w:szCs w:val="22"/>
        </w:rPr>
        <w:t>Fuel</w:t>
      </w:r>
      <w:r w:rsidR="00A72204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Card Services</w:t>
      </w:r>
      <w:r w:rsidR="00B01C3C">
        <w:rPr>
          <w:rFonts w:asciiTheme="minorHAnsi" w:hAnsiTheme="minorHAnsi"/>
          <w:color w:val="0D0D0D" w:themeColor="text1" w:themeTint="F2"/>
          <w:sz w:val="22"/>
          <w:szCs w:val="22"/>
        </w:rPr>
        <w:t xml:space="preserve"> under the proposed Master Agreement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. </w:t>
      </w:r>
    </w:p>
    <w:p w14:paraId="3D7309C2" w14:textId="77777777" w:rsidR="000E4B0A" w:rsidRPr="00B015CF" w:rsidRDefault="000E4B0A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WEX provides payment solutions to businesses and governments through a variety of tools and platforms. Our focus is to improve the payment process in order to deliver efficiencies and savings to</w:t>
      </w:r>
      <w:r w:rsidR="00C7021C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our customers.</w:t>
      </w:r>
    </w:p>
    <w:p w14:paraId="014A2C4D" w14:textId="77777777" w:rsidR="00B01C3C" w:rsidRDefault="00B01C3C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The </w:t>
      </w:r>
      <w:r w:rsidR="00D1382E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WEX Universal 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Card </w:t>
      </w:r>
      <w:r w:rsidR="00F35442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is accepted at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more than </w:t>
      </w:r>
      <w:r w:rsidR="00A95404" w:rsidRPr="00B015CF">
        <w:rPr>
          <w:rFonts w:asciiTheme="minorHAnsi" w:hAnsiTheme="minorHAnsi"/>
          <w:color w:val="0D0D0D" w:themeColor="text1" w:themeTint="F2"/>
          <w:sz w:val="22"/>
          <w:szCs w:val="22"/>
        </w:rPr>
        <w:t>9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5% of 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US </w:t>
      </w:r>
      <w:r w:rsidR="00A95404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retail fueling locations </w:t>
      </w:r>
      <w:r w:rsidR="006E2BD3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and </w:t>
      </w:r>
      <w:r w:rsidR="00101E17" w:rsidRPr="00B015CF">
        <w:rPr>
          <w:rFonts w:asciiTheme="minorHAnsi" w:hAnsiTheme="minorHAnsi"/>
          <w:color w:val="0D0D0D" w:themeColor="text1" w:themeTint="F2"/>
          <w:sz w:val="22"/>
          <w:szCs w:val="22"/>
        </w:rPr>
        <w:t>offer</w:t>
      </w:r>
      <w:r w:rsidR="006E2BD3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s 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>best</w:t>
      </w:r>
      <w:r w:rsidR="006E2BD3" w:rsidRPr="00B015CF">
        <w:rPr>
          <w:rFonts w:asciiTheme="minorHAnsi" w:hAnsiTheme="minorHAnsi"/>
          <w:color w:val="0D0D0D" w:themeColor="text1" w:themeTint="F2"/>
          <w:sz w:val="22"/>
          <w:szCs w:val="22"/>
        </w:rPr>
        <w:t>-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>in</w:t>
      </w:r>
      <w:r w:rsidR="006E2BD3" w:rsidRPr="00B015CF">
        <w:rPr>
          <w:rFonts w:asciiTheme="minorHAnsi" w:hAnsiTheme="minorHAnsi"/>
          <w:color w:val="0D0D0D" w:themeColor="text1" w:themeTint="F2"/>
          <w:sz w:val="22"/>
          <w:szCs w:val="22"/>
        </w:rPr>
        <w:t>-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>class card functionality, reporting</w:t>
      </w:r>
      <w:r w:rsidR="00F35442" w:rsidRPr="00B015CF">
        <w:rPr>
          <w:rFonts w:asciiTheme="minorHAnsi" w:hAnsiTheme="minorHAnsi"/>
          <w:color w:val="0D0D0D" w:themeColor="text1" w:themeTint="F2"/>
          <w:sz w:val="22"/>
          <w:szCs w:val="22"/>
        </w:rPr>
        <w:t>,</w:t>
      </w:r>
      <w:r w:rsidR="00AE6F12">
        <w:rPr>
          <w:rFonts w:asciiTheme="minorHAnsi" w:hAnsiTheme="minorHAnsi"/>
          <w:color w:val="0D0D0D" w:themeColor="text1" w:themeTint="F2"/>
          <w:sz w:val="22"/>
          <w:szCs w:val="22"/>
        </w:rPr>
        <w:t xml:space="preserve"> and customer service.  Including mobile payment capabilities at more than 25,000 locations today.</w:t>
      </w:r>
    </w:p>
    <w:p w14:paraId="15922AC4" w14:textId="77777777" w:rsidR="00C45439" w:rsidRDefault="00F35442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kern w:val="0"/>
          <w:sz w:val="22"/>
          <w:szCs w:val="22"/>
        </w:rPr>
      </w:pP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WEX </w:t>
      </w:r>
      <w:r w:rsidR="00B01C3C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has vast experience and expertise servicing government accounts: </w:t>
      </w: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currently </w:t>
      </w:r>
      <w:r w:rsidR="00B01C3C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holding </w:t>
      </w: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>2</w:t>
      </w:r>
      <w:r w:rsidR="00A72204"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>4</w:t>
      </w: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 </w:t>
      </w:r>
      <w:r w:rsidR="00B01C3C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>state fuel card contracts, with</w:t>
      </w:r>
      <w:r w:rsidR="00AB67E8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 governmental and tax-</w:t>
      </w: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exempt customers in all 50 states. </w:t>
      </w:r>
      <w:r w:rsidR="00C45439">
        <w:rPr>
          <w:color w:val="000000"/>
        </w:rPr>
        <w:t xml:space="preserve">Our State customers represent more than 375,000 cards. </w:t>
      </w:r>
      <w:r w:rsidR="00B01C3C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>All in, o</w:t>
      </w: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ur </w:t>
      </w:r>
      <w:r w:rsidR="00AB67E8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>tax-exempt</w:t>
      </w: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 customers represent approximately </w:t>
      </w:r>
      <w:r w:rsidR="00AB67E8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>1 million ca</w:t>
      </w:r>
      <w:r w:rsidRPr="00B015CF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>rds</w:t>
      </w:r>
      <w:r w:rsidR="00AB67E8">
        <w:rPr>
          <w:rFonts w:asciiTheme="minorHAnsi" w:hAnsiTheme="minorHAnsi"/>
          <w:snapToGrid w:val="0"/>
          <w:color w:val="0D0D0D" w:themeColor="text1" w:themeTint="F2"/>
          <w:kern w:val="0"/>
          <w:sz w:val="22"/>
          <w:szCs w:val="22"/>
        </w:rPr>
        <w:t xml:space="preserve"> in market</w:t>
      </w:r>
      <w:r w:rsidRPr="00B015CF">
        <w:rPr>
          <w:rFonts w:asciiTheme="minorHAnsi" w:hAnsiTheme="minorHAnsi"/>
          <w:color w:val="0D0D0D" w:themeColor="text1" w:themeTint="F2"/>
          <w:kern w:val="0"/>
          <w:sz w:val="22"/>
          <w:szCs w:val="22"/>
        </w:rPr>
        <w:t>.</w:t>
      </w:r>
      <w:r w:rsidR="00B01C3C">
        <w:rPr>
          <w:rFonts w:asciiTheme="minorHAnsi" w:hAnsiTheme="minorHAnsi"/>
          <w:color w:val="0D0D0D" w:themeColor="text1" w:themeTint="F2"/>
          <w:kern w:val="0"/>
          <w:sz w:val="22"/>
          <w:szCs w:val="22"/>
        </w:rPr>
        <w:t xml:space="preserve"> </w:t>
      </w:r>
    </w:p>
    <w:p w14:paraId="237F5BCD" w14:textId="77777777" w:rsidR="00AB67E8" w:rsidRDefault="00913669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WEX </w:t>
      </w:r>
      <w:r w:rsidR="006E2BD3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also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provides fleet card services as a subcontractor under th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>e Federal Government’s SmartPay3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Charge Card Program for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the U.S.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Department of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Homeland Security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,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U.S.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Department of Energy,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U.S.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Department of Treasury,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U.S.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Department of Agriculture and GSA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Fleet, representing more than 32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0,000 cards.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Additionally, today WEX supports card programs for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six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of the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seven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largest fleet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management companies and manages nine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of the top 11 major oil companies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’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card programs.  </w:t>
      </w:r>
      <w:r w:rsidR="00412558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 </w:t>
      </w:r>
    </w:p>
    <w:p w14:paraId="67F18819" w14:textId="77777777" w:rsidR="00913669" w:rsidRPr="00B015CF" w:rsidRDefault="00412558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O</w:t>
      </w:r>
      <w:r w:rsidR="0089710B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ur pricing proposal allows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>NASPO states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to maximize savings based on retail spend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>a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nywhere </w:t>
      </w:r>
      <w:r w:rsidR="006E2BD3" w:rsidRPr="00B015CF">
        <w:rPr>
          <w:rFonts w:asciiTheme="minorHAnsi" w:hAnsiTheme="minorHAnsi"/>
          <w:color w:val="0D0D0D" w:themeColor="text1" w:themeTint="F2"/>
          <w:sz w:val="22"/>
          <w:szCs w:val="22"/>
        </w:rPr>
        <w:t>the WEX Fleet Card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is used. The savings </w:t>
      </w:r>
      <w:r w:rsidR="002042B8">
        <w:rPr>
          <w:rFonts w:asciiTheme="minorHAnsi" w:hAnsiTheme="minorHAnsi"/>
          <w:color w:val="0D0D0D" w:themeColor="text1" w:themeTint="F2"/>
          <w:sz w:val="22"/>
          <w:szCs w:val="22"/>
        </w:rPr>
        <w:t>are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transparent and easy to calculate. </w:t>
      </w:r>
    </w:p>
    <w:p w14:paraId="37FF0741" w14:textId="77777777" w:rsidR="00913669" w:rsidRPr="00B015CF" w:rsidRDefault="00D1382E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WEX’s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technology and service has greatly expanded in recent years.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H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>ighlights include:</w:t>
      </w:r>
    </w:p>
    <w:p w14:paraId="4DC61471" w14:textId="77777777" w:rsidR="00913669" w:rsidRPr="00B015CF" w:rsidRDefault="0091366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 w:rsidRPr="00B015CF">
        <w:rPr>
          <w:rFonts w:cstheme="minorHAnsi"/>
          <w:color w:val="0D0D0D" w:themeColor="text1" w:themeTint="F2"/>
        </w:rPr>
        <w:t>99.8% Level 3 data on all transactions (including remote sites that may only transmit Level 1 or 2 data if using MasterCard</w:t>
      </w:r>
      <w:r w:rsidR="00AE6F12">
        <w:rPr>
          <w:rFonts w:cstheme="minorHAnsi"/>
          <w:color w:val="0D0D0D" w:themeColor="text1" w:themeTint="F2"/>
        </w:rPr>
        <w:t xml:space="preserve"> or other open-loop networks</w:t>
      </w:r>
      <w:r w:rsidRPr="00B015CF">
        <w:rPr>
          <w:rFonts w:cstheme="minorHAnsi"/>
          <w:color w:val="0D0D0D" w:themeColor="text1" w:themeTint="F2"/>
        </w:rPr>
        <w:t>)</w:t>
      </w:r>
    </w:p>
    <w:p w14:paraId="430B05FF" w14:textId="77777777" w:rsidR="00913669" w:rsidRPr="00B015CF" w:rsidRDefault="005D47A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Nine</w:t>
      </w:r>
      <w:r w:rsidR="00913669" w:rsidRPr="00B015CF">
        <w:rPr>
          <w:rFonts w:cstheme="minorHAnsi"/>
          <w:color w:val="0D0D0D" w:themeColor="text1" w:themeTint="F2"/>
        </w:rPr>
        <w:t xml:space="preserve"> levels of hierarchy for more flexible reporting and billing options</w:t>
      </w:r>
    </w:p>
    <w:p w14:paraId="18F1E467" w14:textId="77777777" w:rsidR="00913669" w:rsidRPr="00B015CF" w:rsidRDefault="00BC65E2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Advanced card-to-</w:t>
      </w:r>
      <w:r w:rsidR="00913669" w:rsidRPr="00B015CF">
        <w:rPr>
          <w:rFonts w:cstheme="minorHAnsi"/>
          <w:color w:val="0D0D0D" w:themeColor="text1" w:themeTint="F2"/>
        </w:rPr>
        <w:t>prompt functions; ability to tie one card to one prompt, etc.</w:t>
      </w:r>
    </w:p>
    <w:p w14:paraId="12D3F1F4" w14:textId="77777777" w:rsidR="00913669" w:rsidRPr="00B015CF" w:rsidRDefault="00627B00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 w:rsidRPr="00B015CF">
        <w:rPr>
          <w:rFonts w:cstheme="minorHAnsi"/>
          <w:color w:val="0D0D0D" w:themeColor="text1" w:themeTint="F2"/>
        </w:rPr>
        <w:lastRenderedPageBreak/>
        <w:t>Significant investment in technology</w:t>
      </w:r>
      <w:r w:rsidR="00434B7D" w:rsidRPr="00B015CF">
        <w:rPr>
          <w:rFonts w:cstheme="minorHAnsi"/>
          <w:color w:val="0D0D0D" w:themeColor="text1" w:themeTint="F2"/>
        </w:rPr>
        <w:t xml:space="preserve">; including data analytics, mobile, and chip card </w:t>
      </w:r>
    </w:p>
    <w:p w14:paraId="67F5C966" w14:textId="77777777" w:rsidR="00913669" w:rsidRPr="00B015CF" w:rsidRDefault="0091366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 w:rsidRPr="00B015CF">
        <w:rPr>
          <w:rFonts w:cstheme="minorHAnsi"/>
          <w:color w:val="0D0D0D" w:themeColor="text1" w:themeTint="F2"/>
        </w:rPr>
        <w:t>Broad acceptance through our proprietary network, as well as expanded acceptance through virtual MasterCard technologies</w:t>
      </w:r>
    </w:p>
    <w:p w14:paraId="5B3C2AE4" w14:textId="77777777" w:rsidR="00913669" w:rsidRPr="00B015CF" w:rsidRDefault="0091366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 w:rsidRPr="00B015CF">
        <w:rPr>
          <w:rFonts w:cstheme="minorHAnsi"/>
          <w:color w:val="0D0D0D" w:themeColor="text1" w:themeTint="F2"/>
        </w:rPr>
        <w:t>Comprehensive tax exemption program for Federal and State taxes</w:t>
      </w:r>
    </w:p>
    <w:p w14:paraId="2E4648B1" w14:textId="77777777" w:rsidR="00913669" w:rsidRPr="00B015CF" w:rsidRDefault="0091366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 w:rsidRPr="00B015CF">
        <w:rPr>
          <w:rFonts w:cstheme="minorHAnsi"/>
          <w:color w:val="0D0D0D" w:themeColor="text1" w:themeTint="F2"/>
        </w:rPr>
        <w:t>Additional online reporting tools, including ability to schedule and share custom reports</w:t>
      </w:r>
    </w:p>
    <w:p w14:paraId="595F7C4D" w14:textId="77777777" w:rsidR="00913669" w:rsidRPr="00B015CF" w:rsidRDefault="0091366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 w:rsidRPr="00B015CF">
        <w:rPr>
          <w:rFonts w:cstheme="minorHAnsi"/>
          <w:color w:val="0D0D0D" w:themeColor="text1" w:themeTint="F2"/>
        </w:rPr>
        <w:t>Ability to customize data fields and add GL codes for accounts, drivers, vehicles or cards</w:t>
      </w:r>
    </w:p>
    <w:p w14:paraId="3F30732F" w14:textId="77777777" w:rsidR="00913669" w:rsidRDefault="0091366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 w:rsidRPr="00B015CF">
        <w:rPr>
          <w:rFonts w:cstheme="minorHAnsi"/>
          <w:color w:val="0D0D0D" w:themeColor="text1" w:themeTint="F2"/>
        </w:rPr>
        <w:t xml:space="preserve">More </w:t>
      </w:r>
      <w:r w:rsidR="00BC65E2">
        <w:rPr>
          <w:rFonts w:cstheme="minorHAnsi"/>
          <w:color w:val="0D0D0D" w:themeColor="text1" w:themeTint="F2"/>
        </w:rPr>
        <w:t xml:space="preserve">control over user access to </w:t>
      </w:r>
      <w:proofErr w:type="spellStart"/>
      <w:r w:rsidR="00C45439">
        <w:rPr>
          <w:rFonts w:ascii="Calibri" w:hAnsi="Calibri"/>
          <w:color w:val="262626"/>
        </w:rPr>
        <w:t>WEXOnline</w:t>
      </w:r>
      <w:proofErr w:type="spellEnd"/>
      <w:r w:rsidR="00C45439">
        <w:rPr>
          <w:rFonts w:ascii="Calibri" w:hAnsi="Calibri"/>
          <w:color w:val="262626"/>
        </w:rPr>
        <w:t>®</w:t>
      </w:r>
      <w:r w:rsidRPr="00B015CF">
        <w:rPr>
          <w:rFonts w:cstheme="minorHAnsi"/>
          <w:color w:val="0D0D0D" w:themeColor="text1" w:themeTint="F2"/>
        </w:rPr>
        <w:t>, with advanced administrative functions</w:t>
      </w:r>
    </w:p>
    <w:p w14:paraId="40BFAA6A" w14:textId="77777777" w:rsidR="00BC65E2" w:rsidRDefault="00BC65E2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 xml:space="preserve">Mobile fuel payments at 25,000 accepting locations with free addition of WEX Fleet </w:t>
      </w:r>
      <w:proofErr w:type="spellStart"/>
      <w:r>
        <w:rPr>
          <w:rFonts w:cstheme="minorHAnsi"/>
          <w:color w:val="0D0D0D" w:themeColor="text1" w:themeTint="F2"/>
        </w:rPr>
        <w:t>DriverDash</w:t>
      </w:r>
      <w:proofErr w:type="spellEnd"/>
    </w:p>
    <w:p w14:paraId="13F98445" w14:textId="77777777" w:rsidR="00BC65E2" w:rsidRDefault="00BC65E2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 xml:space="preserve">Ability to use your WEX Fleet card to pay for EV charges at more than 66,000 sites nationwide with WEX EV </w:t>
      </w:r>
      <w:proofErr w:type="spellStart"/>
      <w:r>
        <w:rPr>
          <w:rFonts w:cstheme="minorHAnsi"/>
          <w:color w:val="0D0D0D" w:themeColor="text1" w:themeTint="F2"/>
        </w:rPr>
        <w:t>FleetCharge</w:t>
      </w:r>
      <w:proofErr w:type="spellEnd"/>
      <w:r>
        <w:rPr>
          <w:rFonts w:cstheme="minorHAnsi"/>
          <w:color w:val="0D0D0D" w:themeColor="text1" w:themeTint="F2"/>
        </w:rPr>
        <w:t xml:space="preserve">, a new </w:t>
      </w:r>
      <w:r w:rsidR="00C45439">
        <w:rPr>
          <w:rFonts w:cstheme="minorHAnsi"/>
          <w:color w:val="0D0D0D" w:themeColor="text1" w:themeTint="F2"/>
        </w:rPr>
        <w:t>product</w:t>
      </w:r>
      <w:r>
        <w:rPr>
          <w:rFonts w:cstheme="minorHAnsi"/>
          <w:color w:val="0D0D0D" w:themeColor="text1" w:themeTint="F2"/>
        </w:rPr>
        <w:t xml:space="preserve"> pioneered with ChargePoint (the nation’s largest EV charging network) and GSA Fleet (the nation’s largest public fleet)</w:t>
      </w:r>
    </w:p>
    <w:p w14:paraId="665403C9" w14:textId="77777777" w:rsidR="00685E69" w:rsidRPr="00B015CF" w:rsidRDefault="00685E69" w:rsidP="00B01C3C">
      <w:pPr>
        <w:pStyle w:val="BodyText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WEX</w:t>
      </w:r>
      <w:r w:rsidR="00C45439">
        <w:rPr>
          <w:rFonts w:cstheme="minorHAnsi"/>
          <w:color w:val="0D0D0D" w:themeColor="text1" w:themeTint="F2"/>
        </w:rPr>
        <w:t xml:space="preserve"> Fleet</w:t>
      </w:r>
      <w:r>
        <w:rPr>
          <w:rFonts w:cstheme="minorHAnsi"/>
          <w:color w:val="0D0D0D" w:themeColor="text1" w:themeTint="F2"/>
        </w:rPr>
        <w:t xml:space="preserve"> </w:t>
      </w:r>
      <w:proofErr w:type="spellStart"/>
      <w:r w:rsidR="00C45439">
        <w:rPr>
          <w:rFonts w:ascii="Calibri" w:hAnsi="Calibri"/>
          <w:color w:val="404040"/>
        </w:rPr>
        <w:t>ClearView</w:t>
      </w:r>
      <w:proofErr w:type="spellEnd"/>
      <w:r w:rsidR="00C45439">
        <w:rPr>
          <w:rFonts w:ascii="Calibri" w:hAnsi="Calibri"/>
          <w:color w:val="404040"/>
        </w:rPr>
        <w:t>™</w:t>
      </w:r>
      <w:r>
        <w:rPr>
          <w:rFonts w:cstheme="minorHAnsi"/>
          <w:color w:val="0D0D0D" w:themeColor="text1" w:themeTint="F2"/>
        </w:rPr>
        <w:t xml:space="preserve">, free </w:t>
      </w:r>
      <w:r w:rsidR="00C45439">
        <w:rPr>
          <w:rFonts w:cstheme="minorHAnsi"/>
          <w:color w:val="0D0D0D" w:themeColor="text1" w:themeTint="F2"/>
        </w:rPr>
        <w:t xml:space="preserve">of charge </w:t>
      </w:r>
      <w:r>
        <w:rPr>
          <w:rFonts w:cstheme="minorHAnsi"/>
          <w:color w:val="0D0D0D" w:themeColor="text1" w:themeTint="F2"/>
        </w:rPr>
        <w:t>to NASPO states, allows you to analyze all your data v</w:t>
      </w:r>
      <w:r w:rsidR="00C45439">
        <w:rPr>
          <w:rFonts w:cstheme="minorHAnsi"/>
          <w:color w:val="0D0D0D" w:themeColor="text1" w:themeTint="F2"/>
        </w:rPr>
        <w:t xml:space="preserve">isually so you don’t </w:t>
      </w:r>
      <w:r w:rsidR="00C73BD7">
        <w:rPr>
          <w:rFonts w:cstheme="minorHAnsi"/>
          <w:color w:val="0D0D0D" w:themeColor="text1" w:themeTint="F2"/>
        </w:rPr>
        <w:t>spend all your time plowing through spreadsheets for trends and insights.</w:t>
      </w:r>
    </w:p>
    <w:p w14:paraId="4022231E" w14:textId="77777777" w:rsidR="00913669" w:rsidRPr="00B015CF" w:rsidRDefault="00913669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As part of our government fleet program,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>NASPO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 Value Point-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>participating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 s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tate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>s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will receive unmatched support, as WEX will supply each NASPO </w:t>
      </w:r>
      <w:r w:rsidR="00AC16EF">
        <w:rPr>
          <w:rFonts w:asciiTheme="minorHAnsi" w:hAnsiTheme="minorHAnsi"/>
          <w:color w:val="0D0D0D" w:themeColor="text1" w:themeTint="F2"/>
          <w:sz w:val="22"/>
          <w:szCs w:val="22"/>
        </w:rPr>
        <w:t xml:space="preserve">Value Point participating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state with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24/7, award-winning, in-house customer service department for your drivers, and a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one-on-one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Premium Fleet Services Account Manager as the daily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ongoing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contact for your program administrators. </w:t>
      </w:r>
    </w:p>
    <w:p w14:paraId="78A9FB5B" w14:textId="77777777" w:rsidR="00C45439" w:rsidRPr="00C45439" w:rsidRDefault="00AC16EF" w:rsidP="00C45439">
      <w:pPr>
        <w:pStyle w:val="Paragraph"/>
        <w:spacing w:line="240" w:lineRule="auto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/>
          <w:color w:val="0D0D0D" w:themeColor="text1" w:themeTint="F2"/>
          <w:sz w:val="22"/>
          <w:szCs w:val="22"/>
        </w:rPr>
        <w:t>This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RFP process, subsequent negotiations and ongoing service 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>will also be sup</w:t>
      </w:r>
      <w:r w:rsidR="00F35442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ported at a strategic level by 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>Strategic Relationship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Manager </w:t>
      </w:r>
      <w:r w:rsidR="00D1382E" w:rsidRPr="00B015CF">
        <w:rPr>
          <w:rFonts w:asciiTheme="minorHAnsi" w:hAnsiTheme="minorHAnsi"/>
          <w:color w:val="0D0D0D" w:themeColor="text1" w:themeTint="F2"/>
          <w:sz w:val="22"/>
          <w:szCs w:val="22"/>
        </w:rPr>
        <w:t>Ryan Kelly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, who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will provide 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>participating states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with regular program reviews and be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st practices based on what we’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>ve learned from our other gov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ernment and commercial fleets. </w:t>
      </w:r>
      <w:r w:rsidR="00D1382E" w:rsidRPr="00B015CF">
        <w:rPr>
          <w:rFonts w:asciiTheme="minorHAnsi" w:hAnsiTheme="minorHAnsi"/>
          <w:color w:val="0D0D0D" w:themeColor="text1" w:themeTint="F2"/>
          <w:sz w:val="22"/>
          <w:szCs w:val="22"/>
        </w:rPr>
        <w:t>Ryan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is your point of contact during the RFP process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 and beyond</w:t>
      </w:r>
      <w:r w:rsidR="00913669" w:rsidRPr="00B015CF">
        <w:rPr>
          <w:rFonts w:asciiTheme="minorHAnsi" w:hAnsiTheme="minorHAnsi"/>
          <w:color w:val="0D0D0D" w:themeColor="text1" w:themeTint="F2"/>
          <w:sz w:val="22"/>
          <w:szCs w:val="22"/>
        </w:rPr>
        <w:t>.</w:t>
      </w:r>
      <w:r w:rsidR="006E2BD3"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>His</w:t>
      </w:r>
      <w:r w:rsidR="00913669" w:rsidRPr="00B015C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contact information is: </w:t>
      </w:r>
    </w:p>
    <w:p w14:paraId="2C1CBA83" w14:textId="77777777" w:rsidR="00B01C3C" w:rsidRPr="00C45439" w:rsidRDefault="00196235" w:rsidP="00C45439">
      <w:pPr>
        <w:spacing w:line="240" w:lineRule="auto"/>
        <w:jc w:val="center"/>
      </w:pPr>
      <w:r w:rsidRPr="00C45439">
        <w:t xml:space="preserve">Ryan Kelly, </w:t>
      </w:r>
      <w:r w:rsidR="00AC16EF" w:rsidRPr="00C45439">
        <w:t>Strategic Relationship</w:t>
      </w:r>
      <w:r w:rsidRPr="00C45439">
        <w:t xml:space="preserve"> Manager</w:t>
      </w:r>
      <w:r w:rsidR="00C45439">
        <w:br/>
      </w:r>
      <w:r w:rsidR="00AC16EF" w:rsidRPr="00C45439">
        <w:t>97 Darling Ave</w:t>
      </w:r>
      <w:r w:rsidR="00C45439" w:rsidRPr="00C45439">
        <w:t>.</w:t>
      </w:r>
      <w:r w:rsidR="00C45439">
        <w:br/>
      </w:r>
      <w:r w:rsidR="00AC16EF" w:rsidRPr="00C45439">
        <w:t>South Portland, ME 04106</w:t>
      </w:r>
      <w:r w:rsidR="00C45439">
        <w:br/>
      </w:r>
      <w:r w:rsidRPr="00C45439">
        <w:t>O: 952-922-1104</w:t>
      </w:r>
      <w:r w:rsidR="00C45439">
        <w:br/>
      </w:r>
      <w:r w:rsidRPr="00C45439">
        <w:t>C: 612-213-7699</w:t>
      </w:r>
      <w:r w:rsidR="00C45439">
        <w:br/>
      </w:r>
      <w:r w:rsidRPr="00C45439">
        <w:t xml:space="preserve">E: </w:t>
      </w:r>
      <w:hyperlink r:id="rId8" w:history="1">
        <w:r w:rsidR="00B01C3C" w:rsidRPr="00C45439">
          <w:rPr>
            <w:rStyle w:val="Hyperlink"/>
          </w:rPr>
          <w:t>Ryan.Kelly@wexinc.com</w:t>
        </w:r>
      </w:hyperlink>
    </w:p>
    <w:p w14:paraId="652BEF28" w14:textId="77777777" w:rsidR="00913669" w:rsidRPr="00B015CF" w:rsidRDefault="00913669" w:rsidP="00B01C3C">
      <w:pPr>
        <w:pStyle w:val="Paragraph"/>
        <w:spacing w:line="240" w:lineRule="auto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>Thank you for allowing WEX to pre</w:t>
      </w:r>
      <w:r w:rsidR="00C45439">
        <w:rPr>
          <w:rFonts w:asciiTheme="minorHAnsi" w:hAnsiTheme="minorHAnsi"/>
          <w:color w:val="0D0D0D" w:themeColor="text1" w:themeTint="F2"/>
          <w:sz w:val="22"/>
          <w:szCs w:val="22"/>
        </w:rPr>
        <w:t xml:space="preserve">sent our program capabilities.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We look forward to the opportunity to serve </w:t>
      </w:r>
      <w:r w:rsidR="00AB67E8">
        <w:rPr>
          <w:rFonts w:asciiTheme="minorHAnsi" w:hAnsiTheme="minorHAnsi"/>
          <w:color w:val="0D0D0D" w:themeColor="text1" w:themeTint="F2"/>
          <w:sz w:val="22"/>
          <w:szCs w:val="22"/>
        </w:rPr>
        <w:t xml:space="preserve">NASPO states </w:t>
      </w:r>
      <w:r w:rsidRPr="00B015CF">
        <w:rPr>
          <w:rFonts w:asciiTheme="minorHAnsi" w:hAnsiTheme="minorHAnsi"/>
          <w:color w:val="0D0D0D" w:themeColor="text1" w:themeTint="F2"/>
          <w:sz w:val="22"/>
          <w:szCs w:val="22"/>
        </w:rPr>
        <w:t xml:space="preserve">with our best-in-class fleet card program.  </w:t>
      </w:r>
    </w:p>
    <w:p w14:paraId="6182BAE1" w14:textId="77777777" w:rsidR="00913669" w:rsidRPr="00B015CF" w:rsidRDefault="00913669" w:rsidP="00B01C3C">
      <w:pPr>
        <w:spacing w:line="240" w:lineRule="auto"/>
        <w:rPr>
          <w:rFonts w:cstheme="minorHAnsi"/>
          <w:color w:val="0D0D0D" w:themeColor="text1" w:themeTint="F2"/>
        </w:rPr>
      </w:pPr>
    </w:p>
    <w:p w14:paraId="6F483269" w14:textId="77777777" w:rsidR="00913669" w:rsidRPr="00B015CF" w:rsidRDefault="00913669" w:rsidP="00B01C3C">
      <w:pPr>
        <w:spacing w:line="240" w:lineRule="auto"/>
        <w:rPr>
          <w:color w:val="0D0D0D" w:themeColor="text1" w:themeTint="F2"/>
        </w:rPr>
      </w:pPr>
      <w:r w:rsidRPr="00B015CF">
        <w:rPr>
          <w:color w:val="0D0D0D" w:themeColor="text1" w:themeTint="F2"/>
        </w:rPr>
        <w:t>Sincerely,</w:t>
      </w:r>
    </w:p>
    <w:p w14:paraId="3FC2DCD5" w14:textId="77777777" w:rsidR="00CF54AB" w:rsidRPr="00B015CF" w:rsidRDefault="00196235" w:rsidP="00B01C3C">
      <w:pPr>
        <w:spacing w:line="240" w:lineRule="auto"/>
        <w:rPr>
          <w:color w:val="0D0D0D" w:themeColor="text1" w:themeTint="F2"/>
        </w:rPr>
      </w:pPr>
      <w:r w:rsidRPr="00B015CF">
        <w:rPr>
          <w:noProof/>
          <w:color w:val="0D0D0D" w:themeColor="text1" w:themeTint="F2"/>
        </w:rPr>
        <w:drawing>
          <wp:inline distT="0" distB="0" distL="0" distR="0" wp14:anchorId="1676C57D" wp14:editId="6582FE9C">
            <wp:extent cx="685143" cy="526335"/>
            <wp:effectExtent l="0" t="0" r="1270" b="7620"/>
            <wp:docPr id="2" name="Picture 2" descr="R:\Proposal Archive\Language Library\Fleet\Cover Letters\KavanaghBer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roposal Archive\Language Library\Fleet\Cover Letters\KavanaghBern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21" cy="52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EA66E" w14:textId="77777777" w:rsidR="00146A81" w:rsidRPr="00B015CF" w:rsidRDefault="00196235" w:rsidP="00B01C3C">
      <w:pPr>
        <w:spacing w:line="240" w:lineRule="auto"/>
        <w:rPr>
          <w:color w:val="0D0D0D" w:themeColor="text1" w:themeTint="F2"/>
        </w:rPr>
      </w:pPr>
      <w:r w:rsidRPr="00B015CF">
        <w:rPr>
          <w:color w:val="0D0D0D" w:themeColor="text1" w:themeTint="F2"/>
        </w:rPr>
        <w:t>Bernie Kavanagh</w:t>
      </w:r>
      <w:r w:rsidR="00A72204" w:rsidRPr="00B015CF">
        <w:rPr>
          <w:color w:val="0D0D0D" w:themeColor="text1" w:themeTint="F2"/>
        </w:rPr>
        <w:t xml:space="preserve">, </w:t>
      </w:r>
      <w:r w:rsidRPr="00B015CF">
        <w:rPr>
          <w:color w:val="0D0D0D" w:themeColor="text1" w:themeTint="F2"/>
        </w:rPr>
        <w:t>Contracting Agent</w:t>
      </w:r>
      <w:r w:rsidR="00BE774F" w:rsidRPr="00B015CF">
        <w:rPr>
          <w:color w:val="0D0D0D" w:themeColor="text1" w:themeTint="F2"/>
        </w:rPr>
        <w:t xml:space="preserve"> </w:t>
      </w:r>
    </w:p>
    <w:sectPr w:rsidR="00146A81" w:rsidRPr="00B015CF" w:rsidSect="00B55BCF">
      <w:headerReference w:type="default" r:id="rId10"/>
      <w:pgSz w:w="12240" w:h="15840"/>
      <w:pgMar w:top="33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99B0" w14:textId="77777777" w:rsidR="00D54C8C" w:rsidRDefault="00D54C8C" w:rsidP="00B55BCF">
      <w:pPr>
        <w:spacing w:after="0" w:line="240" w:lineRule="auto"/>
      </w:pPr>
      <w:r>
        <w:separator/>
      </w:r>
    </w:p>
  </w:endnote>
  <w:endnote w:type="continuationSeparator" w:id="0">
    <w:p w14:paraId="0191D84A" w14:textId="77777777" w:rsidR="00D54C8C" w:rsidRDefault="00D54C8C" w:rsidP="00B5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blet Gothic Condensed Sb">
    <w:altName w:val="Arial"/>
    <w:panose1 w:val="00000000000000000000"/>
    <w:charset w:val="00"/>
    <w:family w:val="modern"/>
    <w:notTrueType/>
    <w:pitch w:val="variable"/>
    <w:sig w:usb0="A00000AF" w:usb1="4000205B" w:usb2="00000000" w:usb3="00000000" w:csb0="00000093" w:csb1="00000000"/>
  </w:font>
  <w:font w:name="Tablet Gothic Condensed">
    <w:altName w:val="Arial"/>
    <w:panose1 w:val="00000000000000000000"/>
    <w:charset w:val="00"/>
    <w:family w:val="modern"/>
    <w:notTrueType/>
    <w:pitch w:val="variable"/>
    <w:sig w:usb0="A00000AF" w:usb1="4000205B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8EF0" w14:textId="77777777" w:rsidR="00D54C8C" w:rsidRDefault="00D54C8C" w:rsidP="00B55BCF">
      <w:pPr>
        <w:spacing w:after="0" w:line="240" w:lineRule="auto"/>
      </w:pPr>
      <w:r>
        <w:separator/>
      </w:r>
    </w:p>
  </w:footnote>
  <w:footnote w:type="continuationSeparator" w:id="0">
    <w:p w14:paraId="78DBB2F8" w14:textId="77777777" w:rsidR="00D54C8C" w:rsidRDefault="00D54C8C" w:rsidP="00B5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11ED" w14:textId="77777777" w:rsidR="00B55BCF" w:rsidRDefault="00B55B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1840DF" wp14:editId="757D5CC3">
          <wp:simplePos x="0" y="0"/>
          <wp:positionH relativeFrom="column">
            <wp:posOffset>-895350</wp:posOffset>
          </wp:positionH>
          <wp:positionV relativeFrom="paragraph">
            <wp:posOffset>-474133</wp:posOffset>
          </wp:positionV>
          <wp:extent cx="7772400" cy="10058400"/>
          <wp:effectExtent l="25400" t="0" r="0" b="0"/>
          <wp:wrapNone/>
          <wp:docPr id="1" name="Picture 0" descr="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671"/>
    <w:multiLevelType w:val="hybridMultilevel"/>
    <w:tmpl w:val="814E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6448"/>
    <w:multiLevelType w:val="hybridMultilevel"/>
    <w:tmpl w:val="DBD8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EA0"/>
    <w:multiLevelType w:val="hybridMultilevel"/>
    <w:tmpl w:val="81BC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74C3C"/>
    <w:multiLevelType w:val="hybridMultilevel"/>
    <w:tmpl w:val="BEA8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5632">
    <w:abstractNumId w:val="3"/>
  </w:num>
  <w:num w:numId="2" w16cid:durableId="136071096">
    <w:abstractNumId w:val="0"/>
  </w:num>
  <w:num w:numId="3" w16cid:durableId="913197971">
    <w:abstractNumId w:val="1"/>
  </w:num>
  <w:num w:numId="4" w16cid:durableId="187468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CF"/>
    <w:rsid w:val="000E4B0A"/>
    <w:rsid w:val="00101E17"/>
    <w:rsid w:val="00146A81"/>
    <w:rsid w:val="001959E0"/>
    <w:rsid w:val="00196235"/>
    <w:rsid w:val="002036D4"/>
    <w:rsid w:val="002042B8"/>
    <w:rsid w:val="002548D7"/>
    <w:rsid w:val="002A3D12"/>
    <w:rsid w:val="00323B1E"/>
    <w:rsid w:val="00385DEC"/>
    <w:rsid w:val="00394E4E"/>
    <w:rsid w:val="00407A53"/>
    <w:rsid w:val="00412558"/>
    <w:rsid w:val="00434B7D"/>
    <w:rsid w:val="00464815"/>
    <w:rsid w:val="004A6E48"/>
    <w:rsid w:val="004B0BC2"/>
    <w:rsid w:val="004D6111"/>
    <w:rsid w:val="005677DE"/>
    <w:rsid w:val="005D0A4E"/>
    <w:rsid w:val="005D47A9"/>
    <w:rsid w:val="00627B00"/>
    <w:rsid w:val="00630D25"/>
    <w:rsid w:val="00673D1B"/>
    <w:rsid w:val="00685E69"/>
    <w:rsid w:val="006E22B6"/>
    <w:rsid w:val="006E2BD3"/>
    <w:rsid w:val="007C0AF8"/>
    <w:rsid w:val="007D7877"/>
    <w:rsid w:val="00801758"/>
    <w:rsid w:val="00840781"/>
    <w:rsid w:val="0084643B"/>
    <w:rsid w:val="0085566B"/>
    <w:rsid w:val="0088563A"/>
    <w:rsid w:val="0089710B"/>
    <w:rsid w:val="00913669"/>
    <w:rsid w:val="00A72204"/>
    <w:rsid w:val="00A778B9"/>
    <w:rsid w:val="00A95404"/>
    <w:rsid w:val="00A9596F"/>
    <w:rsid w:val="00AB67E8"/>
    <w:rsid w:val="00AC16EF"/>
    <w:rsid w:val="00AC79D7"/>
    <w:rsid w:val="00AE6F12"/>
    <w:rsid w:val="00B015CF"/>
    <w:rsid w:val="00B01C3C"/>
    <w:rsid w:val="00B46A11"/>
    <w:rsid w:val="00B55BCF"/>
    <w:rsid w:val="00B56636"/>
    <w:rsid w:val="00B73B01"/>
    <w:rsid w:val="00B95B46"/>
    <w:rsid w:val="00BC65E2"/>
    <w:rsid w:val="00BE774F"/>
    <w:rsid w:val="00C45439"/>
    <w:rsid w:val="00C7021C"/>
    <w:rsid w:val="00C73BD7"/>
    <w:rsid w:val="00CC0B24"/>
    <w:rsid w:val="00CF54AB"/>
    <w:rsid w:val="00D1382E"/>
    <w:rsid w:val="00D54C8C"/>
    <w:rsid w:val="00D672D9"/>
    <w:rsid w:val="00D82535"/>
    <w:rsid w:val="00D857C1"/>
    <w:rsid w:val="00DA2AE8"/>
    <w:rsid w:val="00E13CF2"/>
    <w:rsid w:val="00E74C23"/>
    <w:rsid w:val="00F35442"/>
    <w:rsid w:val="00F535FD"/>
    <w:rsid w:val="00FC7FC5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6501D"/>
  <w15:docId w15:val="{3D38DB79-6A5F-4D32-A367-77B0DB33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uiPriority="21"/>
    <w:lsdException w:name="Subtle Reference" w:locked="1" w:uiPriority="31" w:qFormat="1"/>
    <w:lsdException w:name="Intense Reference" w:locked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D82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link w:val="Heading3Char"/>
    <w:uiPriority w:val="9"/>
    <w:semiHidden/>
    <w:unhideWhenUsed/>
    <w:qFormat/>
    <w:rsid w:val="00D82535"/>
    <w:pPr>
      <w:tabs>
        <w:tab w:val="left" w:pos="360"/>
      </w:tabs>
      <w:outlineLvl w:val="2"/>
    </w:pPr>
    <w:rPr>
      <w:rFonts w:ascii="Calibri" w:eastAsiaTheme="majorEastAsia" w:hAnsi="Calibri" w:cstheme="majorBidi"/>
      <w:b/>
      <w:color w:val="262626" w:themeColor="text1" w:themeTint="D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BCF"/>
  </w:style>
  <w:style w:type="paragraph" w:styleId="Footer">
    <w:name w:val="footer"/>
    <w:basedOn w:val="Normal"/>
    <w:link w:val="FooterChar"/>
    <w:uiPriority w:val="99"/>
    <w:semiHidden/>
    <w:unhideWhenUsed/>
    <w:rsid w:val="00B5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BCF"/>
  </w:style>
  <w:style w:type="paragraph" w:styleId="BalloonText">
    <w:name w:val="Balloon Text"/>
    <w:basedOn w:val="Normal"/>
    <w:link w:val="BalloonTextChar"/>
    <w:uiPriority w:val="99"/>
    <w:semiHidden/>
    <w:unhideWhenUsed/>
    <w:rsid w:val="00B5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253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D82535"/>
    <w:pPr>
      <w:spacing w:after="120" w:line="240" w:lineRule="auto"/>
      <w:ind w:left="360"/>
    </w:pPr>
    <w:rPr>
      <w:rFonts w:ascii="Calibri" w:hAnsi="Calibri" w:cs="Wingdings"/>
      <w:kern w:val="28"/>
      <w:sz w:val="24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D82535"/>
    <w:rPr>
      <w:rFonts w:ascii="Calibri" w:eastAsiaTheme="minorHAnsi" w:hAnsi="Calibri" w:cs="Wingdings"/>
      <w:kern w:val="28"/>
      <w:sz w:val="24"/>
      <w:szCs w:val="26"/>
    </w:rPr>
  </w:style>
  <w:style w:type="paragraph" w:customStyle="1" w:styleId="TitleSectionHeader">
    <w:name w:val="+Title Section Header"/>
    <w:next w:val="Paragraph"/>
    <w:qFormat/>
    <w:rsid w:val="00D82535"/>
    <w:pPr>
      <w:spacing w:after="300"/>
      <w:contextualSpacing/>
    </w:pPr>
    <w:rPr>
      <w:rFonts w:ascii="Tablet Gothic Condensed Sb" w:hAnsi="Tablet Gothic Condensed Sb" w:cs="Wingdings"/>
      <w:b/>
      <w:color w:val="CE1126"/>
      <w:kern w:val="28"/>
      <w:sz w:val="36"/>
      <w:szCs w:val="26"/>
    </w:rPr>
  </w:style>
  <w:style w:type="paragraph" w:customStyle="1" w:styleId="NumberedListParagraph">
    <w:name w:val="+Numbered List Paragraph"/>
    <w:qFormat/>
    <w:rsid w:val="00D82535"/>
    <w:pPr>
      <w:spacing w:before="120" w:after="120"/>
      <w:ind w:firstLine="720"/>
    </w:pPr>
    <w:rPr>
      <w:rFonts w:ascii="Calibri" w:eastAsia="Times New Roman" w:hAnsi="Calibri" w:cs="Times New Roman"/>
      <w:color w:val="262626" w:themeColor="text1" w:themeTint="D9"/>
      <w:sz w:val="24"/>
      <w:szCs w:val="24"/>
    </w:rPr>
  </w:style>
  <w:style w:type="paragraph" w:customStyle="1" w:styleId="Paragraph">
    <w:name w:val="Paragraph"/>
    <w:qFormat/>
    <w:rsid w:val="00D82535"/>
    <w:pPr>
      <w:spacing w:before="120" w:after="60"/>
    </w:pPr>
    <w:rPr>
      <w:rFonts w:ascii="Calibri" w:hAnsi="Calibri" w:cs="Wingdings"/>
      <w:color w:val="262626" w:themeColor="text1" w:themeTint="D9"/>
      <w:kern w:val="28"/>
      <w:sz w:val="24"/>
      <w:szCs w:val="26"/>
    </w:rPr>
  </w:style>
  <w:style w:type="paragraph" w:customStyle="1" w:styleId="ProposalSubtitle">
    <w:name w:val="+Proposal Subtitle"/>
    <w:link w:val="ProposalSubtitleChar"/>
    <w:qFormat/>
    <w:rsid w:val="00D82535"/>
    <w:rPr>
      <w:rFonts w:ascii="Tablet Gothic Condensed" w:eastAsiaTheme="majorEastAsia" w:hAnsi="Tablet Gothic Condensed" w:cstheme="majorBidi"/>
      <w:iCs/>
      <w:caps/>
      <w:color w:val="808080" w:themeColor="background1" w:themeShade="80"/>
      <w:spacing w:val="15"/>
      <w:kern w:val="28"/>
      <w:sz w:val="40"/>
      <w:szCs w:val="24"/>
    </w:rPr>
  </w:style>
  <w:style w:type="character" w:customStyle="1" w:styleId="ProposalSubtitleChar">
    <w:name w:val="+Proposal Subtitle Char"/>
    <w:basedOn w:val="DefaultParagraphFont"/>
    <w:link w:val="ProposalSubtitle"/>
    <w:rsid w:val="00D82535"/>
    <w:rPr>
      <w:rFonts w:ascii="Tablet Gothic Condensed" w:eastAsiaTheme="majorEastAsia" w:hAnsi="Tablet Gothic Condensed" w:cstheme="majorBidi"/>
      <w:iCs/>
      <w:caps/>
      <w:color w:val="808080" w:themeColor="background1" w:themeShade="80"/>
      <w:spacing w:val="15"/>
      <w:kern w:val="28"/>
      <w:sz w:val="40"/>
      <w:szCs w:val="24"/>
    </w:rPr>
  </w:style>
  <w:style w:type="paragraph" w:customStyle="1" w:styleId="DocHeader">
    <w:name w:val="+Doc Header"/>
    <w:link w:val="DocHeaderChar"/>
    <w:qFormat/>
    <w:rsid w:val="00D82535"/>
    <w:pPr>
      <w:jc w:val="right"/>
    </w:pPr>
    <w:rPr>
      <w:rFonts w:ascii="Tablet Gothic Condensed" w:eastAsiaTheme="majorEastAsia" w:hAnsi="Tablet Gothic Condensed" w:cstheme="majorBidi"/>
      <w:iCs/>
      <w:caps/>
      <w:color w:val="808080" w:themeColor="background1" w:themeShade="80"/>
      <w:spacing w:val="15"/>
      <w:kern w:val="28"/>
      <w:sz w:val="28"/>
      <w:szCs w:val="24"/>
    </w:rPr>
  </w:style>
  <w:style w:type="character" w:customStyle="1" w:styleId="DocHeaderChar">
    <w:name w:val="+Doc Header Char"/>
    <w:basedOn w:val="ProposalSubtitleChar"/>
    <w:link w:val="DocHeader"/>
    <w:rsid w:val="00D82535"/>
    <w:rPr>
      <w:rFonts w:ascii="Tablet Gothic Condensed" w:eastAsiaTheme="majorEastAsia" w:hAnsi="Tablet Gothic Condensed" w:cstheme="majorBidi"/>
      <w:iCs/>
      <w:caps/>
      <w:color w:val="808080" w:themeColor="background1" w:themeShade="80"/>
      <w:spacing w:val="15"/>
      <w:kern w:val="28"/>
      <w:sz w:val="28"/>
      <w:szCs w:val="24"/>
    </w:rPr>
  </w:style>
  <w:style w:type="paragraph" w:customStyle="1" w:styleId="Sidebarfont">
    <w:name w:val="+Sidebar font"/>
    <w:qFormat/>
    <w:rsid w:val="00D82535"/>
    <w:rPr>
      <w:rFonts w:ascii="Myriad Pro Cond" w:hAnsi="Myriad Pro Cond" w:cs="Wingdings"/>
      <w:color w:val="808080" w:themeColor="background1" w:themeShade="80"/>
      <w:kern w:val="28"/>
      <w:sz w:val="24"/>
      <w:szCs w:val="26"/>
    </w:rPr>
  </w:style>
  <w:style w:type="paragraph" w:customStyle="1" w:styleId="Question">
    <w:name w:val="+Question"/>
    <w:link w:val="QuestionChar"/>
    <w:qFormat/>
    <w:rsid w:val="00D82535"/>
    <w:pPr>
      <w:spacing w:after="80"/>
    </w:pPr>
    <w:rPr>
      <w:rFonts w:ascii="Tablet Gothic Condensed Sb" w:eastAsia="Times New Roman" w:hAnsi="Tablet Gothic Condensed Sb" w:cs="Times New Roman"/>
      <w:b/>
      <w:noProof/>
      <w:color w:val="CE1126"/>
      <w:kern w:val="28"/>
      <w:sz w:val="28"/>
      <w:szCs w:val="28"/>
      <w:lang w:eastAsia="zh-TW"/>
    </w:rPr>
  </w:style>
  <w:style w:type="character" w:customStyle="1" w:styleId="QuestionChar">
    <w:name w:val="+Question Char"/>
    <w:basedOn w:val="DefaultParagraphFont"/>
    <w:link w:val="Question"/>
    <w:rsid w:val="00D82535"/>
    <w:rPr>
      <w:rFonts w:ascii="Tablet Gothic Condensed Sb" w:eastAsia="Times New Roman" w:hAnsi="Tablet Gothic Condensed Sb" w:cs="Times New Roman"/>
      <w:b/>
      <w:noProof/>
      <w:color w:val="CE1126"/>
      <w:kern w:val="28"/>
      <w:sz w:val="28"/>
      <w:szCs w:val="28"/>
      <w:lang w:eastAsia="zh-TW"/>
    </w:rPr>
  </w:style>
  <w:style w:type="paragraph" w:customStyle="1" w:styleId="Answer">
    <w:name w:val="+Answer"/>
    <w:link w:val="AnswerChar"/>
    <w:qFormat/>
    <w:rsid w:val="00D82535"/>
    <w:rPr>
      <w:rFonts w:ascii="Calibri" w:eastAsia="Times New Roman" w:hAnsi="Calibri" w:cs="Times New Roman"/>
      <w:b/>
      <w:noProof/>
      <w:color w:val="262626" w:themeColor="text1" w:themeTint="D9"/>
      <w:kern w:val="28"/>
      <w:sz w:val="24"/>
      <w:szCs w:val="28"/>
      <w:lang w:eastAsia="zh-TW"/>
    </w:rPr>
  </w:style>
  <w:style w:type="character" w:customStyle="1" w:styleId="AnswerChar">
    <w:name w:val="+Answer Char"/>
    <w:basedOn w:val="QuestionChar"/>
    <w:link w:val="Answer"/>
    <w:rsid w:val="00D82535"/>
    <w:rPr>
      <w:rFonts w:ascii="Calibri" w:eastAsia="Times New Roman" w:hAnsi="Calibri" w:cs="Times New Roman"/>
      <w:b/>
      <w:noProof/>
      <w:color w:val="262626" w:themeColor="text1" w:themeTint="D9"/>
      <w:kern w:val="28"/>
      <w:sz w:val="24"/>
      <w:szCs w:val="28"/>
      <w:lang w:eastAsia="zh-TW"/>
    </w:rPr>
  </w:style>
  <w:style w:type="paragraph" w:customStyle="1" w:styleId="NumberedHeader">
    <w:name w:val="+Numbered Header"/>
    <w:link w:val="NumberedHeaderChar"/>
    <w:autoRedefine/>
    <w:qFormat/>
    <w:rsid w:val="00D82535"/>
    <w:pPr>
      <w:widowControl w:val="0"/>
      <w:ind w:left="360" w:hanging="360"/>
    </w:pPr>
    <w:rPr>
      <w:rFonts w:ascii="Tablet Gothic Condensed Sb" w:eastAsia="Times New Roman" w:hAnsi="Tablet Gothic Condensed Sb" w:cs="Times New Roman"/>
      <w:noProof/>
      <w:color w:val="CE1126"/>
      <w:kern w:val="28"/>
      <w:sz w:val="28"/>
      <w:lang w:eastAsia="zh-TW"/>
    </w:rPr>
  </w:style>
  <w:style w:type="character" w:customStyle="1" w:styleId="NumberedHeaderChar">
    <w:name w:val="+Numbered Header Char"/>
    <w:basedOn w:val="DefaultParagraphFont"/>
    <w:link w:val="NumberedHeader"/>
    <w:rsid w:val="00D82535"/>
    <w:rPr>
      <w:rFonts w:ascii="Tablet Gothic Condensed Sb" w:eastAsia="Times New Roman" w:hAnsi="Tablet Gothic Condensed Sb" w:cs="Times New Roman"/>
      <w:noProof/>
      <w:color w:val="CE1126"/>
      <w:kern w:val="28"/>
      <w:sz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535"/>
    <w:rPr>
      <w:rFonts w:ascii="Calibri" w:eastAsiaTheme="majorEastAsia" w:hAnsi="Calibri" w:cstheme="majorBidi"/>
      <w:b/>
      <w:color w:val="262626" w:themeColor="text1" w:themeTint="D9"/>
      <w:sz w:val="24"/>
      <w:szCs w:val="24"/>
    </w:rPr>
  </w:style>
  <w:style w:type="paragraph" w:styleId="Subtitle">
    <w:name w:val="Subtitle"/>
    <w:link w:val="SubtitleChar"/>
    <w:uiPriority w:val="11"/>
    <w:qFormat/>
    <w:rsid w:val="00D82535"/>
    <w:pPr>
      <w:numPr>
        <w:ilvl w:val="1"/>
      </w:numPr>
    </w:pPr>
    <w:rPr>
      <w:rFonts w:ascii="Myriad Pro Cond" w:eastAsiaTheme="majorEastAsia" w:hAnsi="Myriad Pro Cond" w:cstheme="majorBidi"/>
      <w:iCs/>
      <w:color w:val="404040" w:themeColor="text1" w:themeTint="BF"/>
      <w:spacing w:val="15"/>
      <w:kern w:val="2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2535"/>
    <w:rPr>
      <w:rFonts w:ascii="Myriad Pro Cond" w:eastAsiaTheme="majorEastAsia" w:hAnsi="Myriad Pro Cond" w:cstheme="majorBidi"/>
      <w:iCs/>
      <w:color w:val="404040" w:themeColor="text1" w:themeTint="BF"/>
      <w:spacing w:val="15"/>
      <w:kern w:val="28"/>
      <w:sz w:val="24"/>
      <w:szCs w:val="24"/>
    </w:rPr>
  </w:style>
  <w:style w:type="paragraph" w:styleId="ListParagraph">
    <w:name w:val="List Paragraph"/>
    <w:uiPriority w:val="34"/>
    <w:qFormat/>
    <w:rsid w:val="00D82535"/>
    <w:pPr>
      <w:spacing w:after="0" w:line="240" w:lineRule="auto"/>
      <w:ind w:left="720"/>
      <w:contextualSpacing/>
    </w:pPr>
    <w:rPr>
      <w:rFonts w:ascii="Calibri" w:hAnsi="Calibri" w:cs="Wingdings"/>
      <w:kern w:val="28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2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next w:val="Paragraph"/>
    <w:uiPriority w:val="39"/>
    <w:semiHidden/>
    <w:unhideWhenUsed/>
    <w:qFormat/>
    <w:rsid w:val="00D82535"/>
    <w:rPr>
      <w:rFonts w:ascii="Tablet Gothic Condensed Sb" w:hAnsi="Tablet Gothic Condensed Sb" w:cs="Wingdings"/>
      <w:color w:val="CE1126"/>
      <w:sz w:val="36"/>
      <w:szCs w:val="26"/>
    </w:rPr>
  </w:style>
  <w:style w:type="paragraph" w:styleId="NoSpacing">
    <w:name w:val="No Spacing"/>
    <w:uiPriority w:val="1"/>
    <w:qFormat/>
    <w:rsid w:val="00D82535"/>
    <w:pPr>
      <w:spacing w:after="0" w:line="240" w:lineRule="auto"/>
    </w:pPr>
  </w:style>
  <w:style w:type="character" w:styleId="Strong">
    <w:name w:val="Strong"/>
    <w:basedOn w:val="DefaultParagraphFont"/>
    <w:uiPriority w:val="22"/>
    <w:rsid w:val="00C7021C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136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3669"/>
  </w:style>
  <w:style w:type="paragraph" w:customStyle="1" w:styleId="Default">
    <w:name w:val="Default"/>
    <w:rsid w:val="009136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reformatted">
    <w:name w:val="Preformatted"/>
    <w:basedOn w:val="Normal"/>
    <w:rsid w:val="00D1382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4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Kelly@wex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8DA4-EA8A-4458-8A53-B29F9398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Express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SBrown</dc:creator>
  <cp:lastModifiedBy>Anna Totzke</cp:lastModifiedBy>
  <cp:revision>2</cp:revision>
  <cp:lastPrinted>2016-05-09T12:30:00Z</cp:lastPrinted>
  <dcterms:created xsi:type="dcterms:W3CDTF">2026-06-24T02:55:00Z</dcterms:created>
  <dcterms:modified xsi:type="dcterms:W3CDTF">2026-06-24T02:55:00Z</dcterms:modified>
</cp:coreProperties>
</file>