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2EDEE" w14:textId="42ADD19C" w:rsidR="00482B38" w:rsidRDefault="00C46D0D" w:rsidP="003E307E">
      <w:pPr>
        <w:spacing w:after="0" w:line="240" w:lineRule="auto"/>
        <w:contextualSpacing/>
        <w:jc w:val="center"/>
        <w:rPr>
          <w:rFonts w:ascii="Barlow" w:hAnsi="Barlow" w:cs="Arial"/>
          <w:b/>
          <w:bCs/>
          <w:color w:val="315075"/>
          <w:sz w:val="28"/>
          <w:szCs w:val="28"/>
        </w:rPr>
      </w:pPr>
      <w:r>
        <w:rPr>
          <w:rFonts w:ascii="Arial" w:hAnsi="Arial" w:cs="Arial"/>
          <w:noProof/>
          <w:sz w:val="20"/>
          <w:szCs w:val="20"/>
        </w:rPr>
        <w:drawing>
          <wp:anchor distT="0" distB="0" distL="114300" distR="114300" simplePos="0" relativeHeight="251658240" behindDoc="1" locked="0" layoutInCell="1" allowOverlap="1" wp14:anchorId="44128326" wp14:editId="169506ED">
            <wp:simplePos x="0" y="0"/>
            <wp:positionH relativeFrom="margin">
              <wp:align>center</wp:align>
            </wp:positionH>
            <wp:positionV relativeFrom="paragraph">
              <wp:posOffset>-158750</wp:posOffset>
            </wp:positionV>
            <wp:extent cx="1766637" cy="1766637"/>
            <wp:effectExtent l="0" t="0" r="508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cstate="print">
                      <a:alphaModFix amt="25000"/>
                      <a:extLst>
                        <a:ext uri="{28A0092B-C50C-407E-A947-70E740481C1C}">
                          <a14:useLocalDpi xmlns:a14="http://schemas.microsoft.com/office/drawing/2010/main" val="0"/>
                        </a:ext>
                      </a:extLst>
                    </a:blip>
                    <a:stretch>
                      <a:fillRect/>
                    </a:stretch>
                  </pic:blipFill>
                  <pic:spPr>
                    <a:xfrm>
                      <a:off x="0" y="0"/>
                      <a:ext cx="1766637" cy="1766637"/>
                    </a:xfrm>
                    <a:prstGeom prst="rect">
                      <a:avLst/>
                    </a:prstGeom>
                  </pic:spPr>
                </pic:pic>
              </a:graphicData>
            </a:graphic>
            <wp14:sizeRelH relativeFrom="margin">
              <wp14:pctWidth>0</wp14:pctWidth>
            </wp14:sizeRelH>
            <wp14:sizeRelV relativeFrom="margin">
              <wp14:pctHeight>0</wp14:pctHeight>
            </wp14:sizeRelV>
          </wp:anchor>
        </w:drawing>
      </w:r>
      <w:r w:rsidR="003C03BD">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E343A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35951EE1" w14:textId="77777777" w:rsidR="00731860" w:rsidRPr="00731860" w:rsidRDefault="00731860" w:rsidP="003E307E">
      <w:pPr>
        <w:spacing w:after="0" w:line="240" w:lineRule="auto"/>
        <w:contextualSpacing/>
        <w:jc w:val="center"/>
        <w:rPr>
          <w:rFonts w:ascii="Barlow" w:hAnsi="Barlow" w:cs="Arial"/>
          <w:b/>
          <w:bCs/>
          <w:sz w:val="28"/>
          <w:szCs w:val="28"/>
        </w:rPr>
      </w:pPr>
      <w:r w:rsidRPr="00731860">
        <w:rPr>
          <w:rFonts w:ascii="Barlow" w:hAnsi="Barlow" w:cs="Arial"/>
          <w:b/>
          <w:bCs/>
          <w:sz w:val="28"/>
          <w:szCs w:val="28"/>
        </w:rPr>
        <w:t>Electronic Monitoring Products and Services</w:t>
      </w:r>
    </w:p>
    <w:p w14:paraId="5CD6555E" w14:textId="1CA9B518"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4225AFA9" w:rsidR="00090601" w:rsidRPr="00731860" w:rsidRDefault="00731860" w:rsidP="003E307E">
      <w:pPr>
        <w:spacing w:after="0" w:line="240" w:lineRule="auto"/>
        <w:contextualSpacing/>
        <w:jc w:val="center"/>
        <w:rPr>
          <w:rFonts w:ascii="Barlow" w:hAnsi="Barlow" w:cs="Arial"/>
          <w:b/>
          <w:bCs/>
          <w:sz w:val="28"/>
          <w:szCs w:val="28"/>
        </w:rPr>
        <w:sectPr w:rsidR="00090601" w:rsidRPr="00731860" w:rsidSect="00090601">
          <w:headerReference w:type="default" r:id="rId9"/>
          <w:footerReference w:type="default" r:id="rId10"/>
          <w:footerReference w:type="first" r:id="rId11"/>
          <w:pgSz w:w="12240" w:h="15840"/>
          <w:pgMar w:top="720" w:right="1080" w:bottom="1152" w:left="1080" w:header="576" w:footer="432" w:gutter="0"/>
          <w:cols w:space="720"/>
          <w:titlePg/>
          <w:docGrid w:linePitch="360"/>
        </w:sectPr>
      </w:pPr>
      <w:r w:rsidRPr="00731860">
        <w:rPr>
          <w:rFonts w:ascii="Barlow" w:hAnsi="Barlow" w:cs="Arial"/>
          <w:b/>
          <w:bCs/>
          <w:sz w:val="28"/>
          <w:szCs w:val="28"/>
        </w:rPr>
        <w:t>Track Group, Inc.</w:t>
      </w:r>
      <w:r w:rsidRPr="00731860">
        <w:rPr>
          <w:rFonts w:ascii="Barlow" w:hAnsi="Barlow" w:cs="Arial"/>
          <w:b/>
          <w:bCs/>
          <w:sz w:val="28"/>
          <w:szCs w:val="28"/>
        </w:rPr>
        <w:t xml:space="preserve"> </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12"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3BC3E2C9"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Master Agreement Number</w:t>
      </w:r>
      <w:r w:rsidR="00731860">
        <w:rPr>
          <w:rFonts w:ascii="Arial" w:hAnsi="Arial" w:cs="Arial"/>
          <w:sz w:val="20"/>
          <w:szCs w:val="20"/>
        </w:rPr>
        <w:t xml:space="preserve"> </w:t>
      </w:r>
      <w:r w:rsidR="00731860" w:rsidRPr="00731860">
        <w:rPr>
          <w:rFonts w:ascii="Arial" w:hAnsi="Arial" w:cs="Arial"/>
          <w:sz w:val="20"/>
          <w:szCs w:val="20"/>
        </w:rPr>
        <w:t>22PSX0021</w:t>
      </w:r>
      <w:r w:rsidR="00BE78E0">
        <w:rPr>
          <w:rFonts w:ascii="Arial" w:hAnsi="Arial" w:cs="Arial"/>
          <w:sz w:val="20"/>
          <w:szCs w:val="20"/>
        </w:rPr>
        <w:t xml:space="preserve">, executed by Contractor and the State of </w:t>
      </w:r>
      <w:r w:rsidR="00731860">
        <w:rPr>
          <w:rFonts w:ascii="Arial" w:hAnsi="Arial" w:cs="Arial"/>
          <w:sz w:val="20"/>
          <w:szCs w:val="20"/>
        </w:rPr>
        <w:t xml:space="preserve">Connecticut </w:t>
      </w:r>
      <w:r w:rsidR="00FA0B31">
        <w:rPr>
          <w:rFonts w:ascii="Arial" w:hAnsi="Arial" w:cs="Arial"/>
          <w:sz w:val="20"/>
          <w:szCs w:val="20"/>
        </w:rPr>
        <w:t xml:space="preserve">(“Lead State”) </w:t>
      </w:r>
      <w:r w:rsidR="00BE78E0">
        <w:rPr>
          <w:rFonts w:ascii="Arial" w:hAnsi="Arial" w:cs="Arial"/>
          <w:sz w:val="20"/>
          <w:szCs w:val="20"/>
        </w:rPr>
        <w:t xml:space="preserve">for </w:t>
      </w:r>
      <w:r w:rsidR="00731860" w:rsidRPr="00731860">
        <w:rPr>
          <w:rFonts w:ascii="Arial" w:hAnsi="Arial" w:cs="Arial"/>
          <w:sz w:val="20"/>
          <w:szCs w:val="20"/>
        </w:rPr>
        <w:t xml:space="preserve">Electronic Monitoring Products and Services </w:t>
      </w:r>
      <w:r w:rsidR="00BA259D">
        <w:rPr>
          <w:rFonts w:ascii="Arial" w:hAnsi="Arial" w:cs="Arial"/>
          <w:sz w:val="20"/>
          <w:szCs w:val="20"/>
        </w:rPr>
        <w:t>(“Master Agreement”)</w:t>
      </w:r>
      <w:r w:rsidR="00AF4CB6">
        <w:rPr>
          <w:rFonts w:ascii="Arial" w:hAnsi="Arial" w:cs="Arial"/>
          <w:sz w:val="20"/>
          <w:szCs w:val="20"/>
        </w:rPr>
        <w:t>:</w:t>
      </w:r>
    </w:p>
    <w:p w14:paraId="1D219D93" w14:textId="77777777" w:rsidR="0046417B" w:rsidRDefault="00904BDF" w:rsidP="009C413F">
      <w:pPr>
        <w:spacing w:after="0"/>
        <w:ind w:firstLine="360"/>
        <w:rPr>
          <w:rFonts w:ascii="Arial" w:hAnsi="Arial" w:cs="Arial"/>
          <w:sz w:val="20"/>
          <w:szCs w:val="20"/>
        </w:rPr>
      </w:pPr>
      <w:bookmarkStart w:id="1" w:name="_Hlk102399448"/>
      <w:r w:rsidRPr="00532B3C">
        <w:rPr>
          <w:rFonts w:ascii="Arial" w:hAnsi="Arial" w:cs="Arial"/>
          <w:color w:val="C00000"/>
          <w:sz w:val="20"/>
          <w:szCs w:val="20"/>
        </w:rPr>
        <w:t>[Contractor]</w:t>
      </w:r>
      <w:r w:rsidR="0046417B">
        <w:rPr>
          <w:rFonts w:ascii="Arial" w:hAnsi="Arial" w:cs="Arial"/>
          <w:sz w:val="20"/>
          <w:szCs w:val="20"/>
        </w:rPr>
        <w:t xml:space="preserve"> (“Contractor”)</w:t>
      </w:r>
    </w:p>
    <w:p w14:paraId="37505127" w14:textId="0F5155F6" w:rsidR="00904BDF" w:rsidRDefault="0046417B" w:rsidP="009C413F">
      <w:pPr>
        <w:spacing w:after="0"/>
        <w:ind w:firstLine="360"/>
        <w:rPr>
          <w:rFonts w:ascii="Arial" w:hAnsi="Arial" w:cs="Arial"/>
          <w:sz w:val="20"/>
          <w:szCs w:val="20"/>
        </w:rPr>
      </w:pPr>
      <w:r w:rsidRPr="00532B3C">
        <w:rPr>
          <w:rFonts w:ascii="Arial" w:hAnsi="Arial" w:cs="Arial"/>
          <w:color w:val="C00000"/>
          <w:sz w:val="20"/>
          <w:szCs w:val="20"/>
        </w:rPr>
        <w:t>[Contractor street address]</w:t>
      </w:r>
    </w:p>
    <w:p w14:paraId="0E4D2E9B" w14:textId="6197EC2D" w:rsidR="0046417B" w:rsidRDefault="0046417B" w:rsidP="009C413F">
      <w:pPr>
        <w:ind w:firstLine="360"/>
        <w:rPr>
          <w:rFonts w:ascii="Arial" w:hAnsi="Arial" w:cs="Arial"/>
          <w:sz w:val="20"/>
          <w:szCs w:val="20"/>
        </w:rPr>
      </w:pPr>
      <w:r w:rsidRPr="00532B3C">
        <w:rPr>
          <w:rFonts w:ascii="Arial" w:hAnsi="Arial" w:cs="Arial"/>
          <w:color w:val="C00000"/>
          <w:sz w:val="20"/>
          <w:szCs w:val="20"/>
        </w:rPr>
        <w:t>[Contractor city, state, and zip code]</w:t>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792742F5"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name]</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38BB43A8"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email address]</w:t>
      </w:r>
    </w:p>
    <w:p w14:paraId="6FCABA1A" w14:textId="60CC0911" w:rsidR="001C5CEC" w:rsidRDefault="001C5CEC" w:rsidP="000B5A01">
      <w:pPr>
        <w:ind w:left="360" w:firstLine="360"/>
        <w:rPr>
          <w:rFonts w:ascii="Arial" w:hAnsi="Arial" w:cs="Arial"/>
          <w:sz w:val="20"/>
          <w:szCs w:val="20"/>
        </w:rPr>
      </w:pPr>
      <w:r w:rsidRPr="00532B3C">
        <w:rPr>
          <w:rFonts w:ascii="Arial" w:hAnsi="Arial" w:cs="Arial"/>
          <w:color w:val="C00000"/>
          <w:sz w:val="20"/>
          <w:szCs w:val="20"/>
        </w:rPr>
        <w:t>[Contact phone number]</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w:t>
      </w:r>
      <w:r w:rsidR="0094395E" w:rsidRPr="00532B3C">
        <w:rPr>
          <w:rFonts w:ascii="Arial" w:hAnsi="Arial" w:cs="Arial"/>
          <w:i/>
          <w:iCs/>
          <w:color w:val="C00000"/>
          <w:sz w:val="20"/>
          <w:szCs w:val="20"/>
        </w:rPr>
        <w:lastRenderedPageBreak/>
        <w:t xml:space="preserve">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lastRenderedPageBreak/>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E343A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3"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3CC34" w14:textId="77777777" w:rsidR="00E36BF5" w:rsidRDefault="00E36BF5" w:rsidP="007922CE">
      <w:pPr>
        <w:spacing w:after="0" w:line="240" w:lineRule="auto"/>
      </w:pPr>
      <w:r>
        <w:separator/>
      </w:r>
    </w:p>
  </w:endnote>
  <w:endnote w:type="continuationSeparator" w:id="0">
    <w:p w14:paraId="6A0D1708" w14:textId="77777777" w:rsidR="00E36BF5" w:rsidRDefault="00E36BF5"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4559B" w14:textId="77777777" w:rsidR="00E36BF5" w:rsidRDefault="00E36BF5" w:rsidP="007922CE">
      <w:pPr>
        <w:spacing w:after="0" w:line="240" w:lineRule="auto"/>
      </w:pPr>
      <w:r>
        <w:separator/>
      </w:r>
    </w:p>
  </w:footnote>
  <w:footnote w:type="continuationSeparator" w:id="0">
    <w:p w14:paraId="730BCD1F" w14:textId="77777777" w:rsidR="00E36BF5" w:rsidRDefault="00E36BF5"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D7C5A" w14:textId="5C953209" w:rsidR="007922CE" w:rsidRPr="00B95CD6" w:rsidRDefault="004317E9" w:rsidP="00B52BDD">
    <w:pPr>
      <w:pStyle w:val="Header"/>
      <w:tabs>
        <w:tab w:val="clear" w:pos="4680"/>
      </w:tabs>
      <w:rPr>
        <w:rStyle w:val="Strong"/>
        <w:rFonts w:ascii="Barlow" w:hAnsi="Barlow"/>
        <w:caps w:val="0"/>
        <w:color w:val="3B3838" w:themeColor="background2" w:themeShade="40"/>
        <w:sz w:val="20"/>
        <w:szCs w:val="20"/>
      </w:rPr>
    </w:pPr>
    <w:r>
      <w:rPr>
        <w:rFonts w:ascii="Barlow" w:hAnsi="Barlow"/>
        <w:b/>
        <w:bCs/>
        <w:noProof/>
        <w:color w:val="3B3838" w:themeColor="background2" w:themeShade="40"/>
        <w:sz w:val="20"/>
        <w:szCs w:val="20"/>
      </w:rPr>
      <w:drawing>
        <wp:anchor distT="0" distB="0" distL="114300" distR="114300" simplePos="0" relativeHeight="251664384" behindDoc="0" locked="0" layoutInCell="1" allowOverlap="1" wp14:anchorId="3752D0D6" wp14:editId="1FD2C285">
          <wp:simplePos x="0" y="0"/>
          <wp:positionH relativeFrom="margin">
            <wp:posOffset>5511800</wp:posOffset>
          </wp:positionH>
          <wp:positionV relativeFrom="paragraph">
            <wp:posOffset>-16931</wp:posOffset>
          </wp:positionV>
          <wp:extent cx="685800" cy="685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E90788">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6E42AEA6" w:rsidR="007922CE" w:rsidRPr="00532B3C" w:rsidRDefault="00731860" w:rsidP="00B95CD6">
    <w:pPr>
      <w:spacing w:after="120" w:line="240" w:lineRule="auto"/>
      <w:rPr>
        <w:rStyle w:val="Strong"/>
        <w:rFonts w:ascii="Barlow" w:hAnsi="Barlow"/>
        <w:caps w:val="0"/>
        <w:sz w:val="20"/>
        <w:szCs w:val="20"/>
      </w:rPr>
    </w:pPr>
    <w:bookmarkStart w:id="0" w:name="_Hlk98400158"/>
    <w:r w:rsidRPr="00731860">
      <w:rPr>
        <w:rStyle w:val="Strong"/>
        <w:rFonts w:ascii="Barlow" w:hAnsi="Barlow"/>
        <w:caps w:val="0"/>
        <w:sz w:val="20"/>
        <w:szCs w:val="20"/>
      </w:rPr>
      <w:t>Electronic Monitoring Products and Services</w:t>
    </w:r>
  </w:p>
  <w:bookmarkEnd w:id="0"/>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5E63990F" w:rsidR="007922CE" w:rsidRPr="00731860" w:rsidRDefault="00731860" w:rsidP="00B52BDD">
    <w:pPr>
      <w:spacing w:line="240" w:lineRule="auto"/>
      <w:contextualSpacing/>
      <w:rPr>
        <w:rFonts w:ascii="Barlow" w:hAnsi="Barlow" w:cs="Arial"/>
        <w:sz w:val="20"/>
        <w:szCs w:val="20"/>
      </w:rPr>
    </w:pPr>
    <w:r w:rsidRPr="00731860">
      <w:rPr>
        <w:rFonts w:ascii="Barlow" w:hAnsi="Barlow" w:cs="Arial"/>
        <w:b/>
        <w:bCs/>
        <w:sz w:val="20"/>
        <w:szCs w:val="20"/>
      </w:rPr>
      <w:t>Track Group, Inc.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A634F"/>
    <w:rsid w:val="003A6EAB"/>
    <w:rsid w:val="003B6423"/>
    <w:rsid w:val="003C03BD"/>
    <w:rsid w:val="003C1A5E"/>
    <w:rsid w:val="003C362C"/>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E085B"/>
    <w:rsid w:val="006E0B74"/>
    <w:rsid w:val="006F156C"/>
    <w:rsid w:val="006F48A7"/>
    <w:rsid w:val="00700CE7"/>
    <w:rsid w:val="00702504"/>
    <w:rsid w:val="007045F7"/>
    <w:rsid w:val="00714523"/>
    <w:rsid w:val="00714744"/>
    <w:rsid w:val="00720975"/>
    <w:rsid w:val="007243A4"/>
    <w:rsid w:val="00731860"/>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25C52"/>
    <w:rsid w:val="00930CD3"/>
    <w:rsid w:val="00934DA2"/>
    <w:rsid w:val="0094395E"/>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7535"/>
    <w:rsid w:val="00D40611"/>
    <w:rsid w:val="00D5318D"/>
    <w:rsid w:val="00D551C4"/>
    <w:rsid w:val="00D70803"/>
    <w:rsid w:val="00D718F4"/>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36BF5"/>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a@naspovaluepoin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naspovaluepoin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1375</Words>
  <Characters>7842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2023-07-07T23:57:00Z</dcterms:created>
  <dcterms:modified xsi:type="dcterms:W3CDTF">2023-11-01T19:41:00Z</dcterms:modified>
</cp:coreProperties>
</file>