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497A3AE">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0725872"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121A4E">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1D443595" w:rsidR="00482B38" w:rsidRPr="00296D90" w:rsidRDefault="003C3C98" w:rsidP="00296D90">
      <w:pPr>
        <w:spacing w:after="120" w:line="240" w:lineRule="auto"/>
        <w:jc w:val="center"/>
        <w:rPr>
          <w:rFonts w:ascii="Barlow" w:hAnsi="Barlow" w:cs="Arial"/>
          <w:b/>
          <w:bCs/>
          <w:sz w:val="24"/>
          <w:szCs w:val="24"/>
        </w:rPr>
      </w:pPr>
      <w:r>
        <w:rPr>
          <w:rFonts w:ascii="Barlow" w:hAnsi="Barlow" w:cs="Arial"/>
          <w:b/>
          <w:bCs/>
          <w:sz w:val="28"/>
          <w:szCs w:val="28"/>
        </w:rPr>
        <w:t>Toshiba America Business Solutions</w:t>
      </w:r>
      <w:r w:rsidR="005A76E3">
        <w:rPr>
          <w:rFonts w:ascii="Barlow" w:hAnsi="Barlow" w:cs="Arial"/>
          <w:b/>
          <w:bCs/>
          <w:sz w:val="28"/>
          <w:szCs w:val="28"/>
        </w:rPr>
        <w:t>,</w:t>
      </w:r>
      <w:r w:rsidR="00296D90" w:rsidRPr="00296D90">
        <w:rPr>
          <w:rFonts w:ascii="Barlow" w:hAnsi="Barlow" w:cs="Arial"/>
          <w:b/>
          <w:bCs/>
          <w:sz w:val="28"/>
          <w:szCs w:val="28"/>
        </w:rPr>
        <w:t xml:space="preserve">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4A603D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w:t>
      </w:r>
      <w:r w:rsidR="00094E8B">
        <w:rPr>
          <w:rFonts w:ascii="Arial" w:hAnsi="Arial" w:cs="Arial"/>
          <w:sz w:val="20"/>
          <w:szCs w:val="20"/>
        </w:rPr>
        <w:t>8</w:t>
      </w:r>
      <w:r w:rsidR="003C3C98">
        <w:rPr>
          <w:rFonts w:ascii="Arial" w:hAnsi="Arial" w:cs="Arial"/>
          <w:sz w:val="20"/>
          <w:szCs w:val="20"/>
        </w:rPr>
        <w:t>037</w:t>
      </w:r>
      <w:r w:rsidR="00BE78E0">
        <w:rPr>
          <w:rFonts w:ascii="Arial" w:hAnsi="Arial" w:cs="Arial"/>
          <w:sz w:val="20"/>
          <w:szCs w:val="20"/>
        </w:rPr>
        <w:t xml:space="preserve">, executed by Contractor and the State of </w:t>
      </w:r>
      <w:r w:rsidR="008E0FC4">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121A4E">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5EB832BC" w:rsidR="0046417B" w:rsidRDefault="00E311F5"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 xml:space="preserve">Toshiba America Business Solutions, </w:t>
      </w:r>
      <w:r w:rsidR="0084139D" w:rsidRPr="0084139D">
        <w:rPr>
          <w:rFonts w:ascii="Arial" w:hAnsi="Arial" w:cs="Arial"/>
          <w:sz w:val="20"/>
          <w:szCs w:val="20"/>
        </w:rPr>
        <w:t>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223D85C9" w:rsidR="00037BCB" w:rsidRDefault="00E311F5" w:rsidP="009C413F">
      <w:pPr>
        <w:spacing w:after="0"/>
        <w:ind w:firstLine="360"/>
        <w:rPr>
          <w:rFonts w:ascii="Arial" w:hAnsi="Arial" w:cs="Arial"/>
          <w:sz w:val="20"/>
          <w:szCs w:val="20"/>
        </w:rPr>
      </w:pPr>
      <w:r>
        <w:rPr>
          <w:rFonts w:ascii="Arial" w:hAnsi="Arial" w:cs="Arial"/>
          <w:sz w:val="20"/>
          <w:szCs w:val="20"/>
        </w:rPr>
        <w:t>25530</w:t>
      </w:r>
      <w:r w:rsidR="00094E8B">
        <w:rPr>
          <w:rFonts w:ascii="Arial" w:hAnsi="Arial" w:cs="Arial"/>
          <w:sz w:val="20"/>
          <w:szCs w:val="20"/>
        </w:rPr>
        <w:t xml:space="preserve"> </w:t>
      </w:r>
      <w:r>
        <w:rPr>
          <w:rFonts w:ascii="Arial" w:hAnsi="Arial" w:cs="Arial"/>
          <w:sz w:val="20"/>
          <w:szCs w:val="20"/>
        </w:rPr>
        <w:t>Commercent</w:t>
      </w:r>
      <w:r w:rsidR="001A0982">
        <w:rPr>
          <w:rFonts w:ascii="Arial" w:hAnsi="Arial" w:cs="Arial"/>
          <w:sz w:val="20"/>
          <w:szCs w:val="20"/>
        </w:rPr>
        <w:t>re</w:t>
      </w:r>
      <w:r>
        <w:rPr>
          <w:rFonts w:ascii="Arial" w:hAnsi="Arial" w:cs="Arial"/>
          <w:sz w:val="20"/>
          <w:szCs w:val="20"/>
        </w:rPr>
        <w:t xml:space="preserve"> Drive</w:t>
      </w:r>
    </w:p>
    <w:p w14:paraId="37505127" w14:textId="1641F63B" w:rsidR="00904BDF" w:rsidRPr="0084139D" w:rsidRDefault="00E311F5" w:rsidP="009C413F">
      <w:pPr>
        <w:spacing w:after="0"/>
        <w:ind w:firstLine="360"/>
        <w:rPr>
          <w:rFonts w:ascii="Arial" w:hAnsi="Arial" w:cs="Arial"/>
          <w:sz w:val="20"/>
          <w:szCs w:val="20"/>
        </w:rPr>
      </w:pPr>
      <w:r>
        <w:rPr>
          <w:rFonts w:ascii="Arial" w:hAnsi="Arial" w:cs="Arial"/>
          <w:sz w:val="20"/>
          <w:szCs w:val="20"/>
        </w:rPr>
        <w:t>Lake Forest, CA,</w:t>
      </w:r>
      <w:r w:rsidR="00037BCB" w:rsidRPr="00037BCB">
        <w:rPr>
          <w:rFonts w:ascii="Arial" w:hAnsi="Arial" w:cs="Arial"/>
          <w:sz w:val="20"/>
          <w:szCs w:val="20"/>
        </w:rPr>
        <w:t xml:space="preserve"> </w:t>
      </w:r>
      <w:r>
        <w:rPr>
          <w:rFonts w:ascii="Arial" w:hAnsi="Arial" w:cs="Arial"/>
          <w:sz w:val="20"/>
          <w:szCs w:val="20"/>
        </w:rPr>
        <w:t>92630</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AC624B9" w:rsidR="001C5CEC" w:rsidRPr="0084139D" w:rsidRDefault="00E311F5" w:rsidP="000B5A01">
      <w:pPr>
        <w:spacing w:after="0"/>
        <w:ind w:left="360" w:firstLine="360"/>
        <w:rPr>
          <w:rFonts w:ascii="Arial" w:hAnsi="Arial" w:cs="Arial"/>
          <w:sz w:val="20"/>
          <w:szCs w:val="20"/>
        </w:rPr>
      </w:pPr>
      <w:bookmarkStart w:id="4" w:name="_Hlk171068346"/>
      <w:r>
        <w:rPr>
          <w:rFonts w:ascii="Arial" w:hAnsi="Arial" w:cs="Arial"/>
          <w:sz w:val="20"/>
          <w:szCs w:val="20"/>
        </w:rPr>
        <w:t>Jeff Ballard</w:t>
      </w:r>
    </w:p>
    <w:p w14:paraId="7240B1BA" w14:textId="7071CBA8" w:rsidR="001C5CEC" w:rsidRPr="0084139D" w:rsidRDefault="005A76E3" w:rsidP="00037BCB">
      <w:pPr>
        <w:spacing w:after="0"/>
        <w:ind w:left="720"/>
        <w:rPr>
          <w:rFonts w:ascii="Arial" w:hAnsi="Arial" w:cs="Arial"/>
          <w:sz w:val="20"/>
          <w:szCs w:val="20"/>
        </w:rPr>
      </w:pPr>
      <w:r>
        <w:rPr>
          <w:rFonts w:ascii="Arial" w:hAnsi="Arial" w:cs="Arial"/>
          <w:sz w:val="20"/>
          <w:szCs w:val="20"/>
        </w:rPr>
        <w:t>Contract</w:t>
      </w:r>
      <w:r w:rsidR="00BB11AC">
        <w:rPr>
          <w:rFonts w:ascii="Arial" w:hAnsi="Arial" w:cs="Arial"/>
          <w:sz w:val="20"/>
          <w:szCs w:val="20"/>
        </w:rPr>
        <w:t>s</w:t>
      </w:r>
      <w:r>
        <w:rPr>
          <w:rFonts w:ascii="Arial" w:hAnsi="Arial" w:cs="Arial"/>
          <w:sz w:val="20"/>
          <w:szCs w:val="20"/>
        </w:rPr>
        <w:t xml:space="preserve"> Manager</w:t>
      </w:r>
    </w:p>
    <w:p w14:paraId="22249090" w14:textId="149618CA" w:rsidR="001C5CEC" w:rsidRPr="0084139D" w:rsidRDefault="00BB11AC" w:rsidP="000B5A01">
      <w:pPr>
        <w:spacing w:after="0"/>
        <w:ind w:left="360" w:firstLine="360"/>
        <w:rPr>
          <w:rFonts w:ascii="Arial" w:hAnsi="Arial" w:cs="Arial"/>
          <w:sz w:val="20"/>
          <w:szCs w:val="20"/>
        </w:rPr>
      </w:pPr>
      <w:r>
        <w:rPr>
          <w:rFonts w:ascii="Arial" w:hAnsi="Arial" w:cs="Arial"/>
          <w:sz w:val="20"/>
          <w:szCs w:val="20"/>
        </w:rPr>
        <w:t>TABS-NASPO</w:t>
      </w:r>
      <w:r w:rsidR="0084139D" w:rsidRPr="0084139D">
        <w:rPr>
          <w:rFonts w:ascii="Arial" w:hAnsi="Arial" w:cs="Arial"/>
          <w:sz w:val="20"/>
          <w:szCs w:val="20"/>
        </w:rPr>
        <w:t>@</w:t>
      </w:r>
      <w:r>
        <w:rPr>
          <w:rFonts w:ascii="Arial" w:hAnsi="Arial" w:cs="Arial"/>
          <w:sz w:val="20"/>
          <w:szCs w:val="20"/>
        </w:rPr>
        <w:t>TABS.Toshiba</w:t>
      </w:r>
      <w:r w:rsidR="0084139D" w:rsidRPr="0084139D">
        <w:rPr>
          <w:rFonts w:ascii="Arial" w:hAnsi="Arial" w:cs="Arial"/>
          <w:sz w:val="20"/>
          <w:szCs w:val="20"/>
        </w:rPr>
        <w:t>.</w:t>
      </w:r>
      <w:r w:rsidR="00037BCB">
        <w:rPr>
          <w:rFonts w:ascii="Arial" w:hAnsi="Arial" w:cs="Arial"/>
          <w:sz w:val="20"/>
          <w:szCs w:val="20"/>
        </w:rPr>
        <w:t>com</w:t>
      </w:r>
    </w:p>
    <w:p w14:paraId="6FCABA1A" w14:textId="2D50ED38" w:rsidR="001C5CEC" w:rsidRPr="0084139D" w:rsidRDefault="005A76E3" w:rsidP="000B5A01">
      <w:pPr>
        <w:ind w:left="360" w:firstLine="360"/>
        <w:rPr>
          <w:rFonts w:ascii="Arial" w:hAnsi="Arial" w:cs="Arial"/>
          <w:sz w:val="20"/>
          <w:szCs w:val="20"/>
        </w:rPr>
      </w:pPr>
      <w:r>
        <w:rPr>
          <w:rFonts w:ascii="Arial" w:hAnsi="Arial" w:cs="Arial"/>
          <w:sz w:val="20"/>
          <w:szCs w:val="20"/>
        </w:rPr>
        <w:t>9</w:t>
      </w:r>
      <w:r w:rsidR="00BB11AC">
        <w:rPr>
          <w:rFonts w:ascii="Arial" w:hAnsi="Arial" w:cs="Arial"/>
          <w:sz w:val="20"/>
          <w:szCs w:val="20"/>
        </w:rPr>
        <w:t>49</w:t>
      </w:r>
      <w:r>
        <w:rPr>
          <w:rFonts w:ascii="Arial" w:hAnsi="Arial" w:cs="Arial"/>
          <w:sz w:val="20"/>
          <w:szCs w:val="20"/>
        </w:rPr>
        <w:t>-</w:t>
      </w:r>
      <w:r w:rsidR="00BB11AC">
        <w:rPr>
          <w:rFonts w:ascii="Arial" w:hAnsi="Arial" w:cs="Arial"/>
          <w:sz w:val="20"/>
          <w:szCs w:val="20"/>
        </w:rPr>
        <w:t>462</w:t>
      </w:r>
      <w:r>
        <w:rPr>
          <w:rFonts w:ascii="Arial" w:hAnsi="Arial" w:cs="Arial"/>
          <w:sz w:val="20"/>
          <w:szCs w:val="20"/>
        </w:rPr>
        <w:t>-</w:t>
      </w:r>
      <w:r w:rsidR="00BB11AC">
        <w:rPr>
          <w:rFonts w:ascii="Arial" w:hAnsi="Arial" w:cs="Arial"/>
          <w:sz w:val="20"/>
          <w:szCs w:val="20"/>
        </w:rPr>
        <w:t>6327</w:t>
      </w:r>
      <w:bookmarkEnd w:id="4"/>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40460FD0"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D242DF">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33AB6741"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D242DF">
        <w:rPr>
          <w:rFonts w:ascii="Arial" w:hAnsi="Arial" w:cs="Arial"/>
          <w:sz w:val="20"/>
          <w:szCs w:val="20"/>
        </w:rPr>
        <w:t xml:space="preserve">Dealer List, posted to the </w:t>
      </w:r>
      <w:r w:rsidRPr="00570E7A">
        <w:rPr>
          <w:rFonts w:ascii="Arial" w:hAnsi="Arial" w:cs="Arial"/>
          <w:sz w:val="20"/>
          <w:szCs w:val="20"/>
        </w:rPr>
        <w:t>NASPO ValuePoint webpage a</w:t>
      </w:r>
      <w:r w:rsidR="00D242DF">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D242DF">
        <w:rPr>
          <w:rFonts w:ascii="Arial" w:hAnsi="Arial" w:cs="Arial"/>
          <w:sz w:val="20"/>
          <w:szCs w:val="20"/>
        </w:rPr>
        <w:t>ies</w:t>
      </w:r>
      <w:r w:rsidRPr="00570E7A">
        <w:rPr>
          <w:rFonts w:ascii="Arial" w:hAnsi="Arial" w:cs="Arial"/>
          <w:sz w:val="20"/>
          <w:szCs w:val="20"/>
        </w:rPr>
        <w:t xml:space="preserve"> </w:t>
      </w:r>
      <w:r w:rsidR="00D242DF">
        <w:rPr>
          <w:rFonts w:ascii="Arial" w:hAnsi="Arial" w:cs="Arial"/>
          <w:sz w:val="20"/>
          <w:szCs w:val="20"/>
        </w:rPr>
        <w:t>under i</w:t>
      </w:r>
      <w:r w:rsidRPr="00570E7A">
        <w:rPr>
          <w:rFonts w:ascii="Arial" w:hAnsi="Arial" w:cs="Arial"/>
          <w:sz w:val="20"/>
          <w:szCs w:val="20"/>
        </w:rPr>
        <w:t>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371409ED" w:rsidR="004A5A5F" w:rsidRPr="004A5A5F" w:rsidRDefault="002A2661"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Agreements</w:t>
      </w:r>
      <w:r w:rsidR="004A5A5F" w:rsidRPr="00630314">
        <w:rPr>
          <w:rFonts w:ascii="Arial" w:eastAsia="Calibri" w:hAnsi="Arial" w:cs="Arial"/>
          <w:b/>
          <w:bCs/>
          <w:sz w:val="20"/>
          <w:szCs w:val="20"/>
        </w:rPr>
        <w:t>:</w:t>
      </w:r>
      <w:r w:rsidR="004A5A5F" w:rsidRPr="004A5A5F">
        <w:rPr>
          <w:rFonts w:ascii="Arial" w:eastAsia="Calibri" w:hAnsi="Arial" w:cs="Arial"/>
          <w:sz w:val="20"/>
          <w:szCs w:val="20"/>
        </w:rPr>
        <w:t xml:space="preserve"> </w:t>
      </w:r>
      <w:r w:rsidR="004A5A5F" w:rsidRPr="004A5A5F">
        <w:rPr>
          <w:rFonts w:ascii="Arial" w:eastAsia="Calibri" w:hAnsi="Arial" w:cs="Arial"/>
          <w:i/>
          <w:sz w:val="20"/>
          <w:szCs w:val="20"/>
        </w:rPr>
        <w:t xml:space="preserve">[If applicable, insert a statement about whether equipment </w:t>
      </w:r>
      <w:r w:rsidRPr="004A5A5F">
        <w:rPr>
          <w:rFonts w:ascii="Arial" w:eastAsia="Calibri" w:hAnsi="Arial" w:cs="Arial"/>
          <w:i/>
          <w:sz w:val="20"/>
          <w:szCs w:val="20"/>
        </w:rPr>
        <w:t>lease agreement</w:t>
      </w:r>
      <w:r w:rsidR="004A5A5F" w:rsidRPr="004A5A5F">
        <w:rPr>
          <w:rFonts w:ascii="Arial" w:eastAsia="Calibri" w:hAnsi="Arial" w:cs="Arial"/>
          <w:i/>
          <w:sz w:val="20"/>
          <w:szCs w:val="20"/>
        </w:rPr>
        <w:t xml:space="preserve"> terms and conditions included in the Master Agreement have </w:t>
      </w:r>
      <w:proofErr w:type="gramStart"/>
      <w:r w:rsidR="004A5A5F" w:rsidRPr="004A5A5F">
        <w:rPr>
          <w:rFonts w:ascii="Arial" w:eastAsia="Calibri" w:hAnsi="Arial" w:cs="Arial"/>
          <w:i/>
          <w:sz w:val="20"/>
          <w:szCs w:val="20"/>
        </w:rPr>
        <w:t>been approved</w:t>
      </w:r>
      <w:proofErr w:type="gramEnd"/>
      <w:r w:rsidR="004A5A5F" w:rsidRPr="004A5A5F">
        <w:rPr>
          <w:rFonts w:ascii="Arial" w:eastAsia="Calibri" w:hAnsi="Arial" w:cs="Arial"/>
          <w:i/>
          <w:sz w:val="20"/>
          <w:szCs w:val="20"/>
        </w:rPr>
        <w:t xml:space="preserve"> for use by the Participating State and any restrictions or requirements for the use of the lease agreement language in the Master Agreement. If not applicable, replace this paragraph with </w:t>
      </w:r>
      <w:r w:rsidR="004A5A5F" w:rsidRPr="004A5A5F">
        <w:rPr>
          <w:rFonts w:ascii="Arial" w:eastAsia="Calibri" w:hAnsi="Arial" w:cs="Arial"/>
          <w:b/>
          <w:bCs/>
          <w:i/>
          <w:sz w:val="20"/>
          <w:szCs w:val="20"/>
        </w:rPr>
        <w:t>“Reserved</w:t>
      </w:r>
      <w:proofErr w:type="gramStart"/>
      <w:r w:rsidR="004A5A5F" w:rsidRPr="004A5A5F">
        <w:rPr>
          <w:rFonts w:ascii="Arial" w:eastAsia="Calibri" w:hAnsi="Arial" w:cs="Arial"/>
          <w:b/>
          <w:bCs/>
          <w:i/>
          <w:sz w:val="20"/>
          <w:szCs w:val="20"/>
        </w:rPr>
        <w:t>”</w:t>
      </w:r>
      <w:r w:rsidR="004A5A5F" w:rsidRPr="004A5A5F">
        <w:rPr>
          <w:rFonts w:ascii="Arial" w:eastAsia="Calibri" w:hAnsi="Arial" w:cs="Arial"/>
          <w:i/>
          <w:sz w:val="20"/>
          <w:szCs w:val="20"/>
        </w:rPr>
        <w:t>.</w:t>
      </w:r>
      <w:proofErr w:type="gramEnd"/>
      <w:r w:rsidR="004A5A5F" w:rsidRPr="004A5A5F">
        <w:rPr>
          <w:rFonts w:ascii="Arial" w:eastAsia="Calibri" w:hAnsi="Arial" w:cs="Arial"/>
          <w:i/>
          <w:sz w:val="20"/>
          <w:szCs w:val="20"/>
        </w:rPr>
        <w:t>]</w:t>
      </w:r>
    </w:p>
    <w:p w14:paraId="654AD669" w14:textId="5258664E"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LeaseTerms: Equipment leases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F31FD4">
        <w:rPr>
          <w:rFonts w:ascii="Arial" w:eastAsia="Calibri" w:hAnsi="Arial" w:cs="Arial"/>
          <w:noProof/>
          <w:spacing w:val="-2"/>
          <w:sz w:val="20"/>
          <w:szCs w:val="20"/>
          <w:shd w:val="clear" w:color="auto" w:fill="FFFFFF"/>
        </w:rPr>
        <w:t>Toshiba America Business Solutions</w:t>
      </w:r>
      <w:r w:rsidR="005A76E3">
        <w:rPr>
          <w:rFonts w:ascii="Arial" w:eastAsia="Calibri" w:hAnsi="Arial" w:cs="Arial"/>
          <w:noProof/>
          <w:spacing w:val="-2"/>
          <w:sz w:val="20"/>
          <w:szCs w:val="20"/>
          <w:shd w:val="clear" w:color="auto" w:fill="FFFFFF"/>
        </w:rPr>
        <w:t>,</w:t>
      </w:r>
      <w:r w:rsidR="00E025EB" w:rsidRPr="00E025EB">
        <w:rPr>
          <w:rFonts w:ascii="Arial" w:eastAsia="Calibri" w:hAnsi="Arial" w:cs="Arial"/>
          <w:noProof/>
          <w:spacing w:val="-2"/>
          <w:sz w:val="20"/>
          <w:szCs w:val="20"/>
          <w:shd w:val="clear" w:color="auto" w:fill="FFFFFF"/>
        </w:rPr>
        <w:t xml:space="preserve"> Inc.’s applicable Supplemental Documents, which are attached to the Master Agreement,  unless otherwise agreed to by a Participating State or Entity. To initiate a lease, Purchasing Entity may issue a Purchase Order (“PO”) and reference the type of lease  (FMV Lease, Straight Lease, Capital Lease) on the PO or may simply sign other transactional documents deemed acceptable to the parties, providing Contractor does not provide the Purchasing Entity with any documents (besides EULA’s) that have not been approved by the Lead State.</w:t>
      </w:r>
    </w:p>
    <w:p w14:paraId="7330EE11" w14:textId="661480FF"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notification to the State of _______,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#18</w:t>
      </w:r>
      <w:r w:rsidR="008F1688">
        <w:rPr>
          <w:rFonts w:ascii="Arial" w:eastAsia="Calibri" w:hAnsi="Arial" w:cs="Arial"/>
          <w:noProof/>
          <w:spacing w:val="-2"/>
          <w:sz w:val="20"/>
          <w:szCs w:val="20"/>
          <w:shd w:val="clear" w:color="auto" w:fill="FFFFFF"/>
        </w:rPr>
        <w:t>8037</w:t>
      </w:r>
      <w:r w:rsidRPr="00E025EB">
        <w:rPr>
          <w:rFonts w:ascii="Arial" w:eastAsia="Calibri" w:hAnsi="Arial" w:cs="Arial"/>
          <w:noProof/>
          <w:spacing w:val="-2"/>
          <w:sz w:val="20"/>
          <w:szCs w:val="20"/>
          <w:shd w:val="clear" w:color="auto" w:fill="FFFFFF"/>
        </w:rPr>
        <w:t xml:space="preserve"> or the Participating Addendum. </w:t>
      </w:r>
      <w:r w:rsidRPr="00E025EB">
        <w:rPr>
          <w:rFonts w:ascii="Arial" w:eastAsia="Calibri" w:hAnsi="Arial" w:cs="Arial"/>
          <w:noProof/>
          <w:spacing w:val="-2"/>
          <w:sz w:val="20"/>
          <w:szCs w:val="20"/>
          <w:shd w:val="clear" w:color="auto" w:fill="FFFFFF"/>
        </w:rPr>
        <w:lastRenderedPageBreak/>
        <w:t>Contractor intends to assign, solely for financing purposes, rights as set forth immediately above and this paragraph constitutes the required written notification to the State of __________.</w:t>
      </w:r>
    </w:p>
    <w:p w14:paraId="5F3D30EB" w14:textId="64AE0F6F"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programs must remain with the Contractor’s leasing partner, Authorized Dealers through an in-house leasing program, or through a third-party financial institution of Purchasing Entity’s choice, throughout the term of the agreement. </w:t>
      </w:r>
    </w:p>
    <w:p w14:paraId="63B0CD96" w14:textId="303A9FC5"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LeaseTerm. Such notification may include, but not be limited to, the following:</w:t>
      </w:r>
    </w:p>
    <w:p w14:paraId="10CBDF64" w14:textId="7E19DF7D"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Any acquisition or return options, based on the type of lease  agreement;</w:t>
      </w:r>
    </w:p>
    <w:p w14:paraId="7845C861" w14:textId="208B03D8"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Any renewal options, if applicable; and/or</w:t>
      </w:r>
    </w:p>
    <w:p w14:paraId="28253544" w14:textId="59A1E315"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Hard drive removal and surrender cost, if applicable.</w:t>
      </w:r>
    </w:p>
    <w:p w14:paraId="60E4A3C3" w14:textId="5E36BBAB"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term. Notwithstanding anything to the contrary, if Purchasing Entity fails to notify Contractor of its intent with respect to the exercise of a purchase, renewal, or return of the Equipment, the Initial Lease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77DFC669"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54E8898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lastRenderedPageBreak/>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 xml:space="preserve">Upon request by a Purchasing Entity, showroom Equipment for Groups A and 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w:t>
      </w:r>
      <w:r w:rsidR="001A0982">
        <w:rPr>
          <w:rFonts w:ascii="Arial" w:eastAsia="Calibri" w:hAnsi="Arial" w:cs="Arial"/>
          <w:sz w:val="20"/>
          <w:szCs w:val="20"/>
        </w:rPr>
        <w:t xml:space="preserve"> or</w:t>
      </w:r>
      <w:r w:rsidRPr="001C7ADD">
        <w:rPr>
          <w:rFonts w:ascii="Arial" w:eastAsia="Calibri" w:hAnsi="Arial" w:cs="Arial"/>
          <w:sz w:val="20"/>
          <w:szCs w:val="20"/>
        </w:rPr>
        <w:t xml:space="preserve"> lease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The meter count on Group A and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3FE65E26"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xml:space="preserve">: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w:t>
      </w:r>
      <w:r w:rsidR="002A2661" w:rsidRPr="001C7ADD">
        <w:rPr>
          <w:rFonts w:ascii="Arial" w:eastAsia="Calibri" w:hAnsi="Arial" w:cs="Arial"/>
          <w:sz w:val="20"/>
          <w:szCs w:val="20"/>
        </w:rPr>
        <w:t>lease rates</w:t>
      </w:r>
      <w:r w:rsidRPr="001C7ADD">
        <w:rPr>
          <w:rFonts w:ascii="Arial" w:eastAsia="Calibri" w:hAnsi="Arial" w:cs="Arial"/>
          <w:sz w:val="20"/>
          <w:szCs w:val="20"/>
        </w:rPr>
        <w:t>.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10A4D151"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Purchasing Entities are subject to the Contractor’s Standard Service Levels as outlined in </w:t>
      </w:r>
      <w:r w:rsidR="002A2661" w:rsidRPr="001C7ADD">
        <w:rPr>
          <w:rFonts w:ascii="Arial" w:eastAsia="Calibri" w:hAnsi="Arial" w:cs="Arial"/>
          <w:sz w:val="20"/>
          <w:szCs w:val="20"/>
        </w:rPr>
        <w:t>the Master</w:t>
      </w:r>
      <w:r w:rsidRPr="001C7ADD">
        <w:rPr>
          <w:rFonts w:ascii="Arial" w:eastAsia="Calibri" w:hAnsi="Arial" w:cs="Arial"/>
          <w:sz w:val="20"/>
          <w:szCs w:val="20"/>
        </w:rPr>
        <w:t xml:space="preserve"> Agreement, Contractor’s Supplemental Documents, or as otherwise negotiated by the Participating State or Entity.</w:t>
      </w:r>
    </w:p>
    <w:p w14:paraId="429C77B6" w14:textId="64BA8418"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 xml:space="preserve">Purchasing Entities are subject to the Contractor’s “Sample MPS Statement of Work” provided in </w:t>
      </w:r>
      <w:r w:rsidRPr="001C7ADD">
        <w:rPr>
          <w:rFonts w:ascii="Arial" w:eastAsia="Calibri" w:hAnsi="Arial" w:cs="Arial"/>
          <w:bCs/>
          <w:sz w:val="20"/>
          <w:szCs w:val="20"/>
        </w:rPr>
        <w:t xml:space="preserve">Master Agreement </w:t>
      </w:r>
      <w:r w:rsidR="00F31FD4" w:rsidRPr="00F31FD4">
        <w:rPr>
          <w:rFonts w:ascii="Arial" w:eastAsia="Calibri" w:hAnsi="Arial" w:cs="Arial"/>
          <w:b/>
          <w:sz w:val="20"/>
          <w:szCs w:val="20"/>
        </w:rPr>
        <w:t>Attachment 10</w:t>
      </w:r>
      <w:r w:rsidR="00D242DF">
        <w:rPr>
          <w:rFonts w:ascii="Arial" w:eastAsia="Calibri" w:hAnsi="Arial" w:cs="Arial"/>
          <w:b/>
          <w:sz w:val="20"/>
          <w:szCs w:val="20"/>
        </w:rPr>
        <w:t xml:space="preserve"> </w:t>
      </w:r>
      <w:r w:rsidR="00D242DF" w:rsidRPr="00D242DF">
        <w:rPr>
          <w:rFonts w:ascii="Arial" w:eastAsia="Calibri" w:hAnsi="Arial" w:cs="Arial"/>
          <w:bCs/>
          <w:sz w:val="20"/>
          <w:szCs w:val="20"/>
        </w:rPr>
        <w:t>(Toshiba Sample MPS Statement of Work)</w:t>
      </w:r>
      <w:r w:rsidRPr="00D242DF">
        <w:rPr>
          <w:rFonts w:ascii="Arial" w:eastAsia="Calibri" w:hAnsi="Arial" w:cs="Arial"/>
          <w:bCs/>
          <w:sz w:val="20"/>
          <w:szCs w:val="20"/>
        </w:rPr>
        <w:t>,</w:t>
      </w:r>
      <w:r w:rsidRPr="001C7ADD">
        <w:rPr>
          <w:rFonts w:ascii="Arial" w:eastAsia="Calibri" w:hAnsi="Arial" w:cs="Arial"/>
          <w:bCs/>
          <w:sz w:val="20"/>
          <w:szCs w:val="20"/>
        </w:rPr>
        <w:t xml:space="preserve">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60DDB6E" w14:textId="77777777" w:rsidR="00BB11AC" w:rsidRPr="0084139D" w:rsidRDefault="00BB11AC" w:rsidP="00BB11AC">
      <w:pPr>
        <w:spacing w:after="0"/>
        <w:ind w:left="360" w:firstLine="360"/>
        <w:rPr>
          <w:rFonts w:ascii="Arial" w:hAnsi="Arial" w:cs="Arial"/>
          <w:sz w:val="20"/>
          <w:szCs w:val="20"/>
        </w:rPr>
      </w:pPr>
      <w:r>
        <w:rPr>
          <w:rFonts w:ascii="Arial" w:hAnsi="Arial" w:cs="Arial"/>
          <w:sz w:val="20"/>
          <w:szCs w:val="20"/>
        </w:rPr>
        <w:t>Jeff Ballard</w:t>
      </w:r>
    </w:p>
    <w:p w14:paraId="3CA7FDC0" w14:textId="77777777" w:rsidR="00BB11AC" w:rsidRPr="0084139D" w:rsidRDefault="00BB11AC" w:rsidP="00BB11AC">
      <w:pPr>
        <w:spacing w:after="0"/>
        <w:ind w:left="720"/>
        <w:rPr>
          <w:rFonts w:ascii="Arial" w:hAnsi="Arial" w:cs="Arial"/>
          <w:sz w:val="20"/>
          <w:szCs w:val="20"/>
        </w:rPr>
      </w:pPr>
      <w:r>
        <w:rPr>
          <w:rFonts w:ascii="Arial" w:hAnsi="Arial" w:cs="Arial"/>
          <w:sz w:val="20"/>
          <w:szCs w:val="20"/>
        </w:rPr>
        <w:t>Contracts Manager</w:t>
      </w:r>
    </w:p>
    <w:p w14:paraId="13BE9315" w14:textId="77777777" w:rsidR="00BB11AC" w:rsidRPr="0084139D" w:rsidRDefault="00BB11AC" w:rsidP="00BB11AC">
      <w:pPr>
        <w:spacing w:after="0"/>
        <w:ind w:left="360" w:firstLine="360"/>
        <w:rPr>
          <w:rFonts w:ascii="Arial" w:hAnsi="Arial" w:cs="Arial"/>
          <w:sz w:val="20"/>
          <w:szCs w:val="20"/>
        </w:rPr>
      </w:pPr>
      <w:r>
        <w:rPr>
          <w:rFonts w:ascii="Arial" w:hAnsi="Arial" w:cs="Arial"/>
          <w:sz w:val="20"/>
          <w:szCs w:val="20"/>
        </w:rPr>
        <w:t>TABS-NASPO</w:t>
      </w:r>
      <w:r w:rsidRPr="0084139D">
        <w:rPr>
          <w:rFonts w:ascii="Arial" w:hAnsi="Arial" w:cs="Arial"/>
          <w:sz w:val="20"/>
          <w:szCs w:val="20"/>
        </w:rPr>
        <w:t>@</w:t>
      </w:r>
      <w:r>
        <w:rPr>
          <w:rFonts w:ascii="Arial" w:hAnsi="Arial" w:cs="Arial"/>
          <w:sz w:val="20"/>
          <w:szCs w:val="20"/>
        </w:rPr>
        <w:t>TABS.Toshiba</w:t>
      </w:r>
      <w:r w:rsidRPr="0084139D">
        <w:rPr>
          <w:rFonts w:ascii="Arial" w:hAnsi="Arial" w:cs="Arial"/>
          <w:sz w:val="20"/>
          <w:szCs w:val="20"/>
        </w:rPr>
        <w:t>.</w:t>
      </w:r>
      <w:r>
        <w:rPr>
          <w:rFonts w:ascii="Arial" w:hAnsi="Arial" w:cs="Arial"/>
          <w:sz w:val="20"/>
          <w:szCs w:val="20"/>
        </w:rPr>
        <w:t>com</w:t>
      </w:r>
    </w:p>
    <w:p w14:paraId="5AF6C4A1" w14:textId="111D486D" w:rsidR="001C7ADD" w:rsidRPr="0084139D" w:rsidRDefault="00BB11AC" w:rsidP="00BB11AC">
      <w:pPr>
        <w:ind w:left="360" w:firstLine="360"/>
        <w:rPr>
          <w:rFonts w:ascii="Arial" w:hAnsi="Arial" w:cs="Arial"/>
          <w:sz w:val="20"/>
          <w:szCs w:val="20"/>
        </w:rPr>
      </w:pPr>
      <w:r>
        <w:rPr>
          <w:rFonts w:ascii="Arial" w:hAnsi="Arial" w:cs="Arial"/>
          <w:sz w:val="20"/>
          <w:szCs w:val="20"/>
        </w:rPr>
        <w:t>949-462-6327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A9682" w14:textId="77777777" w:rsidR="00DD57CD" w:rsidRDefault="00DD57CD" w:rsidP="007922CE">
      <w:pPr>
        <w:spacing w:after="0" w:line="240" w:lineRule="auto"/>
      </w:pPr>
      <w:r>
        <w:separator/>
      </w:r>
    </w:p>
  </w:endnote>
  <w:endnote w:type="continuationSeparator" w:id="0">
    <w:p w14:paraId="0FA81DBD" w14:textId="77777777" w:rsidR="00DD57CD" w:rsidRDefault="00DD57C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2727AF26"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1A0982">
              <w:rPr>
                <w:rFonts w:ascii="Barlow" w:hAnsi="Barlow"/>
                <w:b/>
                <w:bCs/>
                <w:noProof/>
                <w:sz w:val="20"/>
                <w:szCs w:val="20"/>
              </w:rPr>
              <w:t>5</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1A0982">
              <w:rPr>
                <w:rFonts w:ascii="Barlow" w:hAnsi="Barlow"/>
                <w:b/>
                <w:bCs/>
                <w:noProof/>
                <w:sz w:val="20"/>
                <w:szCs w:val="20"/>
              </w:rPr>
              <w:t>5</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25465467"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1A0982">
          <w:rPr>
            <w:rFonts w:ascii="Barlow" w:hAnsi="Barlow"/>
            <w:b/>
            <w:bCs/>
            <w:noProof/>
            <w:sz w:val="20"/>
            <w:szCs w:val="20"/>
          </w:rPr>
          <w:t>1</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1A0982">
          <w:rPr>
            <w:rFonts w:ascii="Barlow" w:hAnsi="Barlow"/>
            <w:b/>
            <w:bCs/>
            <w:noProof/>
            <w:sz w:val="20"/>
            <w:szCs w:val="20"/>
          </w:rPr>
          <w:t>5</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AACC" w14:textId="77777777" w:rsidR="00DD57CD" w:rsidRDefault="00DD57CD" w:rsidP="007922CE">
      <w:pPr>
        <w:spacing w:after="0" w:line="240" w:lineRule="auto"/>
      </w:pPr>
      <w:r>
        <w:separator/>
      </w:r>
    </w:p>
  </w:footnote>
  <w:footnote w:type="continuationSeparator" w:id="0">
    <w:p w14:paraId="6FEFFFA0" w14:textId="77777777" w:rsidR="00DD57CD" w:rsidRDefault="00DD57C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961C87F" w:rsidR="007922CE" w:rsidRPr="00532B3C" w:rsidRDefault="00D242DF" w:rsidP="00B95CD6">
    <w:pPr>
      <w:spacing w:after="120" w:line="240" w:lineRule="auto"/>
      <w:rPr>
        <w:rStyle w:val="Strong"/>
        <w:rFonts w:ascii="Barlow" w:hAnsi="Barlow"/>
        <w:caps w:val="0"/>
        <w:sz w:val="20"/>
        <w:szCs w:val="20"/>
      </w:rPr>
    </w:pPr>
    <w:bookmarkStart w:id="3" w:name="_Hlk98400158"/>
    <w:r>
      <w:rPr>
        <w:rStyle w:val="Strong"/>
        <w:rFonts w:ascii="Barlow" w:hAnsi="Barlow"/>
        <w:caps w:val="0"/>
        <w:color w:val="C00000"/>
        <w:sz w:val="20"/>
        <w:szCs w:val="20"/>
      </w:rPr>
      <w:t>MULTI_FUNCTION DEVICES AND RELATED SOFTWARE&lt;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FF1DBE2" w:rsidR="007922CE" w:rsidRPr="00B95CD6" w:rsidRDefault="00D242DF"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Toshiba America Business Solutions,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874061">
    <w:abstractNumId w:val="15"/>
  </w:num>
  <w:num w:numId="2" w16cid:durableId="1599288752">
    <w:abstractNumId w:val="14"/>
  </w:num>
  <w:num w:numId="3" w16cid:durableId="339164472">
    <w:abstractNumId w:val="9"/>
  </w:num>
  <w:num w:numId="4" w16cid:durableId="91826093">
    <w:abstractNumId w:val="5"/>
  </w:num>
  <w:num w:numId="5" w16cid:durableId="1813596436">
    <w:abstractNumId w:val="4"/>
  </w:num>
  <w:num w:numId="6" w16cid:durableId="445390061">
    <w:abstractNumId w:val="6"/>
  </w:num>
  <w:num w:numId="7" w16cid:durableId="156381332">
    <w:abstractNumId w:val="13"/>
  </w:num>
  <w:num w:numId="8" w16cid:durableId="943000530">
    <w:abstractNumId w:val="7"/>
  </w:num>
  <w:num w:numId="9" w16cid:durableId="1710840756">
    <w:abstractNumId w:val="0"/>
  </w:num>
  <w:num w:numId="10" w16cid:durableId="1973048911">
    <w:abstractNumId w:val="3"/>
  </w:num>
  <w:num w:numId="11" w16cid:durableId="696546573">
    <w:abstractNumId w:val="16"/>
  </w:num>
  <w:num w:numId="12" w16cid:durableId="1280335176">
    <w:abstractNumId w:val="10"/>
  </w:num>
  <w:num w:numId="13" w16cid:durableId="1385980852">
    <w:abstractNumId w:val="12"/>
  </w:num>
  <w:num w:numId="14" w16cid:durableId="193734908">
    <w:abstractNumId w:val="11"/>
  </w:num>
  <w:num w:numId="15" w16cid:durableId="1030767460">
    <w:abstractNumId w:val="8"/>
  </w:num>
  <w:num w:numId="16" w16cid:durableId="1746955825">
    <w:abstractNumId w:val="2"/>
  </w:num>
  <w:num w:numId="17" w16cid:durableId="187985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4E8B"/>
    <w:rsid w:val="00097407"/>
    <w:rsid w:val="000A47D9"/>
    <w:rsid w:val="000B115E"/>
    <w:rsid w:val="000B228A"/>
    <w:rsid w:val="000B5A01"/>
    <w:rsid w:val="000B6004"/>
    <w:rsid w:val="000B6FBB"/>
    <w:rsid w:val="000D3DEF"/>
    <w:rsid w:val="000D6522"/>
    <w:rsid w:val="000E27A0"/>
    <w:rsid w:val="000E3FA1"/>
    <w:rsid w:val="000F1C50"/>
    <w:rsid w:val="0010405F"/>
    <w:rsid w:val="00121A4E"/>
    <w:rsid w:val="0012657E"/>
    <w:rsid w:val="00130137"/>
    <w:rsid w:val="0014277C"/>
    <w:rsid w:val="00142CDC"/>
    <w:rsid w:val="00157D9D"/>
    <w:rsid w:val="00174D16"/>
    <w:rsid w:val="0018319D"/>
    <w:rsid w:val="00185EA1"/>
    <w:rsid w:val="00192130"/>
    <w:rsid w:val="00197F9F"/>
    <w:rsid w:val="001A0982"/>
    <w:rsid w:val="001A320E"/>
    <w:rsid w:val="001A3F35"/>
    <w:rsid w:val="001A4428"/>
    <w:rsid w:val="001A4EE9"/>
    <w:rsid w:val="001A7B62"/>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5814"/>
    <w:rsid w:val="002863F0"/>
    <w:rsid w:val="00296D90"/>
    <w:rsid w:val="002A2661"/>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67C8"/>
    <w:rsid w:val="00381748"/>
    <w:rsid w:val="003A634F"/>
    <w:rsid w:val="003A6EAB"/>
    <w:rsid w:val="003B39C4"/>
    <w:rsid w:val="003B6423"/>
    <w:rsid w:val="003C03BD"/>
    <w:rsid w:val="003C1A5E"/>
    <w:rsid w:val="003C362C"/>
    <w:rsid w:val="003C3C98"/>
    <w:rsid w:val="003C3DFE"/>
    <w:rsid w:val="003D3AFA"/>
    <w:rsid w:val="003D7DD2"/>
    <w:rsid w:val="003E307E"/>
    <w:rsid w:val="003F1DDE"/>
    <w:rsid w:val="003F4947"/>
    <w:rsid w:val="003F5331"/>
    <w:rsid w:val="00406B81"/>
    <w:rsid w:val="004123A4"/>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A76E3"/>
    <w:rsid w:val="005A7A80"/>
    <w:rsid w:val="005B4547"/>
    <w:rsid w:val="005C14B3"/>
    <w:rsid w:val="005D467C"/>
    <w:rsid w:val="005E0F94"/>
    <w:rsid w:val="005E3D9D"/>
    <w:rsid w:val="005E7DDD"/>
    <w:rsid w:val="005F0F5B"/>
    <w:rsid w:val="005F65A7"/>
    <w:rsid w:val="005F6643"/>
    <w:rsid w:val="005F72D9"/>
    <w:rsid w:val="00600854"/>
    <w:rsid w:val="006044D2"/>
    <w:rsid w:val="00605B3F"/>
    <w:rsid w:val="006077E6"/>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139D"/>
    <w:rsid w:val="00841EF8"/>
    <w:rsid w:val="00855857"/>
    <w:rsid w:val="008767E3"/>
    <w:rsid w:val="00880EC4"/>
    <w:rsid w:val="00881C1D"/>
    <w:rsid w:val="008864F5"/>
    <w:rsid w:val="00896992"/>
    <w:rsid w:val="00897E1F"/>
    <w:rsid w:val="008A6F30"/>
    <w:rsid w:val="008A7584"/>
    <w:rsid w:val="008A7953"/>
    <w:rsid w:val="008B2933"/>
    <w:rsid w:val="008B3AA3"/>
    <w:rsid w:val="008B4FBF"/>
    <w:rsid w:val="008B5447"/>
    <w:rsid w:val="008C224D"/>
    <w:rsid w:val="008E0FC4"/>
    <w:rsid w:val="008E186B"/>
    <w:rsid w:val="008E3712"/>
    <w:rsid w:val="008E4C43"/>
    <w:rsid w:val="008F1688"/>
    <w:rsid w:val="008F5AE7"/>
    <w:rsid w:val="00904BDF"/>
    <w:rsid w:val="009058BC"/>
    <w:rsid w:val="00905BCB"/>
    <w:rsid w:val="00906B6B"/>
    <w:rsid w:val="009246D1"/>
    <w:rsid w:val="00925C52"/>
    <w:rsid w:val="00930CD3"/>
    <w:rsid w:val="00934DA2"/>
    <w:rsid w:val="00935D98"/>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97677"/>
    <w:rsid w:val="009B6540"/>
    <w:rsid w:val="009C0CCB"/>
    <w:rsid w:val="009C10A7"/>
    <w:rsid w:val="009C413F"/>
    <w:rsid w:val="009C4E93"/>
    <w:rsid w:val="009C616D"/>
    <w:rsid w:val="009D2000"/>
    <w:rsid w:val="009D2C65"/>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6F72"/>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2524"/>
    <w:rsid w:val="00B9101D"/>
    <w:rsid w:val="00B95CD6"/>
    <w:rsid w:val="00B97686"/>
    <w:rsid w:val="00B97926"/>
    <w:rsid w:val="00BA259D"/>
    <w:rsid w:val="00BA40EB"/>
    <w:rsid w:val="00BA66B2"/>
    <w:rsid w:val="00BB11AC"/>
    <w:rsid w:val="00BB1318"/>
    <w:rsid w:val="00BC0CB2"/>
    <w:rsid w:val="00BC1E0F"/>
    <w:rsid w:val="00BC27C4"/>
    <w:rsid w:val="00BC75CE"/>
    <w:rsid w:val="00BD28E4"/>
    <w:rsid w:val="00BD3120"/>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16E0"/>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4A3B"/>
    <w:rsid w:val="00D16F07"/>
    <w:rsid w:val="00D242DF"/>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D57CD"/>
    <w:rsid w:val="00DE1629"/>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11F5"/>
    <w:rsid w:val="00E32D14"/>
    <w:rsid w:val="00E343A9"/>
    <w:rsid w:val="00E36053"/>
    <w:rsid w:val="00E507AD"/>
    <w:rsid w:val="00E642C3"/>
    <w:rsid w:val="00E6778D"/>
    <w:rsid w:val="00E67D3E"/>
    <w:rsid w:val="00E80785"/>
    <w:rsid w:val="00E8115E"/>
    <w:rsid w:val="00E8161C"/>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4A4C"/>
    <w:rsid w:val="00F15DA4"/>
    <w:rsid w:val="00F16894"/>
    <w:rsid w:val="00F22472"/>
    <w:rsid w:val="00F31FD4"/>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63CE"/>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16D4-5BF3-4F97-A139-50D68ABC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2024-07-26T13:44:00Z</dcterms:created>
  <dcterms:modified xsi:type="dcterms:W3CDTF">2024-07-26T14:02:00Z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