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602789" w14:textId="55A043BD" w:rsidR="002F4F90" w:rsidRDefault="00283F55" w:rsidP="00B07D14">
      <w:pPr>
        <w:tabs>
          <w:tab w:val="right" w:pos="3060"/>
          <w:tab w:val="left" w:pos="3240"/>
          <w:tab w:val="right" w:pos="7740"/>
          <w:tab w:val="left" w:pos="7920"/>
        </w:tabs>
      </w:pPr>
      <w:r>
        <w:t>Master Agreement</w:t>
      </w:r>
      <w:r w:rsidR="003709A7">
        <w:t xml:space="preserve"> #: </w:t>
      </w:r>
      <w:r w:rsidR="00D97937">
        <w:t>MA1</w:t>
      </w:r>
      <w:r w:rsidR="005D3B3C">
        <w:t>76</w:t>
      </w:r>
    </w:p>
    <w:p w14:paraId="39D97BE6" w14:textId="6F244AD5" w:rsidR="00283F55" w:rsidRDefault="00283F55" w:rsidP="00B07D14">
      <w:pPr>
        <w:tabs>
          <w:tab w:val="right" w:pos="3060"/>
          <w:tab w:val="left" w:pos="3240"/>
          <w:tab w:val="left" w:pos="7290"/>
        </w:tabs>
      </w:pPr>
      <w:r>
        <w:tab/>
        <w:t>Contractor:</w:t>
      </w:r>
      <w:r>
        <w:tab/>
      </w:r>
      <w:r w:rsidR="005D3B3C">
        <w:rPr>
          <w:rStyle w:val="Strong"/>
        </w:rPr>
        <w:t>T-mobile usa,</w:t>
      </w:r>
      <w:r w:rsidR="00680CF6">
        <w:rPr>
          <w:rStyle w:val="Strong"/>
        </w:rPr>
        <w:t xml:space="preserve"> </w:t>
      </w:r>
      <w:r w:rsidR="005D3B3C">
        <w:rPr>
          <w:rStyle w:val="Strong"/>
        </w:rPr>
        <w:t>inc.</w:t>
      </w:r>
    </w:p>
    <w:p w14:paraId="3B3C0BBB" w14:textId="6A6DAAB0" w:rsidR="003C72D4" w:rsidRPr="00B07D14" w:rsidRDefault="00283F55" w:rsidP="00B07D14">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002836D0" w:rsidRPr="002836D0">
        <w:rPr>
          <w:b/>
          <w:bCs/>
        </w:rPr>
        <w:t>(</w:t>
      </w:r>
      <w:r w:rsidRPr="00283F55">
        <w:rPr>
          <w:rStyle w:val="Strong"/>
        </w:rPr>
        <w:t>State</w:t>
      </w:r>
      <w:r w:rsidR="002836D0">
        <w:rPr>
          <w:rStyle w:val="Strong"/>
        </w:rPr>
        <w:t>)</w:t>
      </w:r>
      <w:r w:rsidRPr="00283F55">
        <w:rPr>
          <w:rStyle w:val="Strong"/>
        </w:rPr>
        <w:t xml:space="preserve"> of </w:t>
      </w:r>
      <w:r w:rsidR="003709A7">
        <w:rPr>
          <w:rStyle w:val="Strong"/>
        </w:rPr>
        <w:t>XXXXX</w:t>
      </w:r>
    </w:p>
    <w:p w14:paraId="5F2B72D0" w14:textId="674B7A87" w:rsidR="00B07D14" w:rsidRDefault="00B07D14" w:rsidP="002836D0">
      <w:pPr>
        <w:spacing w:after="0"/>
        <w:contextualSpacing/>
        <w:jc w:val="both"/>
      </w:pPr>
      <w:r w:rsidRPr="00B07D14">
        <w:t>1.</w:t>
      </w:r>
      <w:r w:rsidRPr="00B07D14">
        <w:tab/>
        <w:t xml:space="preserve">Scope: This Participating Addendum ("PA") covers the NASPO </w:t>
      </w:r>
      <w:proofErr w:type="spellStart"/>
      <w:r>
        <w:t>ValuePoint</w:t>
      </w:r>
      <w:proofErr w:type="spellEnd"/>
      <w:r>
        <w:t xml:space="preserve"> Wireless, Data, Voice and Accessories </w:t>
      </w:r>
      <w:r w:rsidR="00F4509D" w:rsidRPr="00B07D14">
        <w:t>Master Agreement</w:t>
      </w:r>
      <w:r w:rsidR="00F4509D">
        <w:t xml:space="preserve"> No. MA176</w:t>
      </w:r>
      <w:r w:rsidR="00F4509D" w:rsidRPr="00B07D14">
        <w:t xml:space="preserve"> led by the State of </w:t>
      </w:r>
      <w:r w:rsidR="00F4509D">
        <w:t>Utah, as amended</w:t>
      </w:r>
      <w:r w:rsidR="00F4509D" w:rsidRPr="00B07D14">
        <w:t xml:space="preserve"> (</w:t>
      </w:r>
      <w:r w:rsidR="00F4509D">
        <w:t>“</w:t>
      </w:r>
      <w:r w:rsidR="00F4509D" w:rsidRPr="00B07D14">
        <w:t>Master Agreement</w:t>
      </w:r>
      <w:r w:rsidR="00F4509D">
        <w:t>”</w:t>
      </w:r>
      <w:r w:rsidR="00F4509D" w:rsidRPr="00B07D14">
        <w:t xml:space="preserve">) </w:t>
      </w:r>
      <w:r w:rsidRPr="00B07D14">
        <w:t>for use by state agencies and other entities</w:t>
      </w:r>
      <w:r>
        <w:t xml:space="preserve">, as provided in the Master Agreement, and as more specifically detailed in </w:t>
      </w:r>
      <w:r w:rsidR="000A5D79">
        <w:t>Paragraph 2, “Participation,” below</w:t>
      </w:r>
      <w:r w:rsidRPr="00B07D14">
        <w:t>.</w:t>
      </w:r>
      <w:r w:rsidR="002836D0">
        <w:t xml:space="preserve">  There were four categories in</w:t>
      </w:r>
      <w:r w:rsidR="0024209E">
        <w:t>cluded in</w:t>
      </w:r>
      <w:r w:rsidR="002836D0">
        <w:t xml:space="preserve"> th</w:t>
      </w:r>
      <w:r w:rsidR="0024209E">
        <w:t xml:space="preserve">e </w:t>
      </w:r>
      <w:r w:rsidR="002836D0">
        <w:t>solicitation:</w:t>
      </w:r>
    </w:p>
    <w:p w14:paraId="78918612" w14:textId="77777777" w:rsidR="002836D0" w:rsidRDefault="002836D0" w:rsidP="002836D0">
      <w:pPr>
        <w:spacing w:after="0"/>
        <w:contextualSpacing/>
        <w:jc w:val="both"/>
      </w:pPr>
    </w:p>
    <w:p w14:paraId="2B76652F" w14:textId="01D14625" w:rsidR="002836D0" w:rsidRDefault="002836D0" w:rsidP="002836D0">
      <w:pPr>
        <w:spacing w:after="0"/>
        <w:contextualSpacing/>
        <w:jc w:val="both"/>
      </w:pPr>
      <w:r>
        <w:tab/>
        <w:t>Category 1: Cellular Wireless Services</w:t>
      </w:r>
    </w:p>
    <w:p w14:paraId="547CB89B" w14:textId="7C3E3518" w:rsidR="002836D0" w:rsidRDefault="002836D0" w:rsidP="002836D0">
      <w:pPr>
        <w:spacing w:after="0"/>
        <w:contextualSpacing/>
        <w:jc w:val="both"/>
      </w:pPr>
      <w:r>
        <w:tab/>
        <w:t>Category 2: Equipment and Accessories</w:t>
      </w:r>
    </w:p>
    <w:p w14:paraId="7987D1AD" w14:textId="2B381C0E" w:rsidR="002836D0" w:rsidRDefault="002836D0" w:rsidP="002836D0">
      <w:pPr>
        <w:spacing w:after="0"/>
        <w:contextualSpacing/>
        <w:jc w:val="both"/>
      </w:pPr>
      <w:r>
        <w:tab/>
        <w:t>Category 3: Turnkey Wireless and IoT Solutions offered as a Product</w:t>
      </w:r>
    </w:p>
    <w:p w14:paraId="22990EF8" w14:textId="0CC2EB0D" w:rsidR="002836D0" w:rsidRDefault="002836D0" w:rsidP="002836D0">
      <w:pPr>
        <w:spacing w:after="0"/>
        <w:contextualSpacing/>
        <w:jc w:val="both"/>
      </w:pPr>
      <w:r>
        <w:tab/>
        <w:t>Category 4: Alternative Wireless Transport Options</w:t>
      </w:r>
    </w:p>
    <w:p w14:paraId="2CC008E0" w14:textId="5E2137DB" w:rsidR="00460290" w:rsidRDefault="00460290" w:rsidP="002836D0">
      <w:pPr>
        <w:spacing w:after="0"/>
        <w:contextualSpacing/>
        <w:jc w:val="both"/>
      </w:pPr>
    </w:p>
    <w:p w14:paraId="0DA63C4C" w14:textId="63B147AC" w:rsidR="004A4C31" w:rsidRDefault="00460290" w:rsidP="002836D0">
      <w:pPr>
        <w:spacing w:after="0"/>
        <w:contextualSpacing/>
        <w:jc w:val="both"/>
      </w:pPr>
      <w:r>
        <w:t xml:space="preserve">Contractor was awarded Categories </w:t>
      </w:r>
      <w:r w:rsidR="00BC1966">
        <w:t>1, 2</w:t>
      </w:r>
      <w:r w:rsidR="005C67B5">
        <w:t>,</w:t>
      </w:r>
      <w:r w:rsidR="00BC1966">
        <w:t xml:space="preserve"> 3</w:t>
      </w:r>
      <w:r w:rsidR="005C67B5">
        <w:t>A, and 3C</w:t>
      </w:r>
      <w:r>
        <w:t xml:space="preserve">.  </w:t>
      </w:r>
    </w:p>
    <w:p w14:paraId="3AE381FC" w14:textId="77777777" w:rsidR="004A4C31" w:rsidRDefault="004A4C31" w:rsidP="002836D0">
      <w:pPr>
        <w:spacing w:after="0"/>
        <w:contextualSpacing/>
        <w:jc w:val="both"/>
      </w:pPr>
    </w:p>
    <w:p w14:paraId="19E1A7C8" w14:textId="4CFE36EF" w:rsidR="00F4509D" w:rsidRDefault="00F4509D" w:rsidP="00F4509D">
      <w:pPr>
        <w:spacing w:after="0"/>
        <w:contextualSpacing/>
        <w:jc w:val="both"/>
        <w:rPr>
          <w:bCs/>
        </w:rPr>
      </w:pPr>
      <w:r>
        <w:t xml:space="preserve">Participating Entity has elected to participate in </w:t>
      </w:r>
      <w:r w:rsidRPr="00441EEE">
        <w:rPr>
          <w:b/>
          <w:bCs/>
        </w:rPr>
        <w:t xml:space="preserve">Categories </w:t>
      </w:r>
      <w:r>
        <w:rPr>
          <w:b/>
          <w:bCs/>
        </w:rPr>
        <w:t xml:space="preserve">1, 2, 3A and 3C </w:t>
      </w:r>
      <w:r w:rsidRPr="004A03D5">
        <w:rPr>
          <w:bCs/>
        </w:rPr>
        <w:t>(unless indicated otherwise)</w:t>
      </w:r>
      <w:r>
        <w:rPr>
          <w:bCs/>
        </w:rPr>
        <w:t>.</w:t>
      </w:r>
    </w:p>
    <w:p w14:paraId="542C9287" w14:textId="77777777" w:rsidR="00F4509D" w:rsidRDefault="00F4509D" w:rsidP="00F4509D">
      <w:pPr>
        <w:spacing w:after="0"/>
        <w:contextualSpacing/>
        <w:jc w:val="both"/>
        <w:rPr>
          <w:bCs/>
        </w:rPr>
      </w:pPr>
    </w:p>
    <w:p w14:paraId="7650405F" w14:textId="77777777" w:rsidR="00F4509D" w:rsidRDefault="00F4509D" w:rsidP="00F4509D">
      <w:pPr>
        <w:contextualSpacing/>
        <w:jc w:val="both"/>
        <w:rPr>
          <w:rFonts w:cs="Arial"/>
        </w:rPr>
      </w:pPr>
      <w:r>
        <w:rPr>
          <w:rFonts w:cs="Arial"/>
        </w:rPr>
        <w:t>Unless otherwise agreed to by the parties herein, this PA shall be coterminous with the Master Agreement including any renewals or extensions to the Master Agreement.</w:t>
      </w:r>
    </w:p>
    <w:p w14:paraId="685C0F70" w14:textId="77777777" w:rsidR="002836D0" w:rsidRDefault="002836D0" w:rsidP="002836D0">
      <w:pPr>
        <w:spacing w:after="0"/>
        <w:contextualSpacing/>
        <w:jc w:val="both"/>
      </w:pPr>
    </w:p>
    <w:p w14:paraId="09AB8FA4" w14:textId="6F905B45" w:rsidR="000A5D79" w:rsidRPr="005D2822" w:rsidRDefault="00B07D14" w:rsidP="005D2822">
      <w:pPr>
        <w:jc w:val="both"/>
        <w:rPr>
          <w:rFonts w:cs="Arial"/>
        </w:rPr>
      </w:pPr>
      <w:r>
        <w:rPr>
          <w:rFonts w:cs="Arial"/>
        </w:rPr>
        <w:t>2.</w:t>
      </w:r>
      <w:r>
        <w:rPr>
          <w:rFonts w:cs="Arial"/>
        </w:rPr>
        <w:tab/>
      </w:r>
      <w:r w:rsidR="005D2822">
        <w:t xml:space="preserve">Participation: This PA may be used by all state agencies, institutions of higher education, political subdivisions and other entities who </w:t>
      </w:r>
      <w:r w:rsidR="005D2822" w:rsidRPr="005D2822">
        <w:t>are authorized by the State Chief Procurement Official or otherwise eligible to place orders against this PA (collectively “Purchasing Entities”).  It will be the responsibility of the Purchasing Entity to comply with any legal or regulatory provisions applicable to the Purchasing Entity.  A Purchasing Entity may issue</w:t>
      </w:r>
      <w:r w:rsidR="005D2822">
        <w:t xml:space="preserve"> individual releases (Purchase Orders) against this PA on an as-needed basis.</w:t>
      </w:r>
    </w:p>
    <w:p w14:paraId="5DE2822C" w14:textId="77777777" w:rsidR="001740C6" w:rsidRDefault="001740C6" w:rsidP="002836D0">
      <w:pPr>
        <w:spacing w:after="0"/>
        <w:contextualSpacing/>
        <w:jc w:val="both"/>
      </w:pPr>
    </w:p>
    <w:p w14:paraId="5B9D9836" w14:textId="7351E3B0" w:rsidR="00D73F1E" w:rsidRDefault="002836D0" w:rsidP="008C5AE9">
      <w:pPr>
        <w:spacing w:after="0"/>
        <w:contextualSpacing/>
        <w:jc w:val="both"/>
      </w:pPr>
      <w:r>
        <w:t>3.</w:t>
      </w:r>
      <w:r>
        <w:tab/>
      </w:r>
      <w:r w:rsidR="00F87E07" w:rsidRPr="00980906">
        <w:t xml:space="preserve">Participating Entity Modifications or Additions are attached and incorporated as </w:t>
      </w:r>
      <w:r w:rsidR="00F87E07" w:rsidRPr="00980906">
        <w:rPr>
          <w:b/>
          <w:bCs/>
        </w:rPr>
        <w:t>Exhibit 1</w:t>
      </w:r>
      <w:r w:rsidR="00F87E07" w:rsidRPr="00980906">
        <w:t>.</w:t>
      </w:r>
    </w:p>
    <w:p w14:paraId="4131741C" w14:textId="77777777" w:rsidR="00D73F1E" w:rsidRDefault="00D73F1E" w:rsidP="008C5AE9">
      <w:pPr>
        <w:spacing w:after="0"/>
        <w:contextualSpacing/>
        <w:jc w:val="both"/>
      </w:pPr>
    </w:p>
    <w:p w14:paraId="563CAAF4" w14:textId="06716019" w:rsidR="008C5AE9" w:rsidRDefault="00D73F1E" w:rsidP="008C5AE9">
      <w:pPr>
        <w:spacing w:after="0"/>
        <w:contextualSpacing/>
        <w:jc w:val="both"/>
      </w:pPr>
      <w:r>
        <w:t>4.</w:t>
      </w:r>
      <w:r>
        <w:tab/>
      </w:r>
      <w:r w:rsidR="002836D0">
        <w:t xml:space="preserve">Order of Precedence: </w:t>
      </w:r>
      <w:r w:rsidR="008C5AE9">
        <w:t xml:space="preserve">Except as specifically provided </w:t>
      </w:r>
      <w:r w:rsidR="009C368A">
        <w:t>otherwise</w:t>
      </w:r>
      <w:r w:rsidR="004A4C31">
        <w:t xml:space="preserve"> herein</w:t>
      </w:r>
      <w:r w:rsidR="008C5AE9">
        <w:t>, this PA consists of and precedence is established by the order of the following documents:</w:t>
      </w:r>
    </w:p>
    <w:p w14:paraId="7077395D" w14:textId="77777777" w:rsidR="008C5AE9" w:rsidRDefault="008C5AE9" w:rsidP="008C5AE9">
      <w:pPr>
        <w:spacing w:after="0"/>
        <w:contextualSpacing/>
        <w:jc w:val="both"/>
      </w:pPr>
    </w:p>
    <w:p w14:paraId="28E0A61D" w14:textId="4688FD09" w:rsidR="008C5AE9" w:rsidRDefault="008C5AE9" w:rsidP="008C5AE9">
      <w:pPr>
        <w:spacing w:after="0"/>
        <w:ind w:firstLine="720"/>
        <w:contextualSpacing/>
        <w:jc w:val="both"/>
      </w:pPr>
      <w:r>
        <w:t>This PA; and</w:t>
      </w:r>
    </w:p>
    <w:p w14:paraId="5EAE82CA" w14:textId="06AAEA1D" w:rsidR="00AC0987" w:rsidRDefault="008C5AE9" w:rsidP="006C3F68">
      <w:pPr>
        <w:spacing w:after="0"/>
        <w:ind w:left="720"/>
        <w:contextualSpacing/>
        <w:jc w:val="both"/>
      </w:pPr>
      <w:r>
        <w:t>The Master Agreement</w:t>
      </w:r>
      <w:r w:rsidR="004A4C31">
        <w:t xml:space="preserve"> </w:t>
      </w:r>
      <w:r>
        <w:t xml:space="preserve">(including the Master Agreement Order of Precedence established in the NASPO </w:t>
      </w:r>
      <w:proofErr w:type="spellStart"/>
      <w:r>
        <w:t>ValuePoint</w:t>
      </w:r>
      <w:proofErr w:type="spellEnd"/>
      <w:r>
        <w:t xml:space="preserve"> Master Terms and Conditions).</w:t>
      </w:r>
      <w:r w:rsidR="001740C6">
        <w:tab/>
      </w:r>
      <w:r w:rsidR="00AC0987">
        <w:t xml:space="preserve"> </w:t>
      </w:r>
    </w:p>
    <w:p w14:paraId="10231A29" w14:textId="77777777" w:rsidR="00AC0987" w:rsidRDefault="00AC0987" w:rsidP="002836D0">
      <w:pPr>
        <w:spacing w:after="0"/>
        <w:contextualSpacing/>
        <w:jc w:val="both"/>
      </w:pPr>
    </w:p>
    <w:p w14:paraId="6F6FB77C" w14:textId="6335F007" w:rsidR="001740C6" w:rsidRDefault="00AC0987" w:rsidP="002836D0">
      <w:pPr>
        <w:spacing w:after="0"/>
        <w:contextualSpacing/>
        <w:jc w:val="both"/>
      </w:pPr>
      <w:r>
        <w:t>5.</w:t>
      </w:r>
      <w:r>
        <w:tab/>
      </w:r>
      <w:r w:rsidR="001740C6">
        <w:t>Administrative Fee and Reporting</w:t>
      </w:r>
      <w:r w:rsidR="008B45E6">
        <w:t>:</w:t>
      </w:r>
      <w:r w:rsidR="002836D0">
        <w:tab/>
      </w:r>
    </w:p>
    <w:p w14:paraId="090D3219" w14:textId="16802B96" w:rsidR="001740C6" w:rsidRDefault="001740C6" w:rsidP="002836D0">
      <w:pPr>
        <w:spacing w:after="0"/>
        <w:contextualSpacing/>
        <w:jc w:val="both"/>
      </w:pPr>
    </w:p>
    <w:p w14:paraId="64DBEE5F" w14:textId="65DC5F68" w:rsidR="001740C6" w:rsidRDefault="008D58EB" w:rsidP="008D58EB">
      <w:pPr>
        <w:spacing w:after="0"/>
        <w:contextualSpacing/>
        <w:jc w:val="both"/>
        <w:rPr>
          <w:rFonts w:cs="Arial"/>
        </w:rPr>
      </w:pPr>
      <w:r>
        <w:rPr>
          <w:i/>
          <w:iCs/>
        </w:rPr>
        <w:t>Insert any state-specific Administrative Fee and Reporting Requirements</w:t>
      </w:r>
      <w:r w:rsidR="00441EEE">
        <w:rPr>
          <w:i/>
          <w:iCs/>
        </w:rPr>
        <w:t>.</w:t>
      </w:r>
    </w:p>
    <w:p w14:paraId="0834B0FC" w14:textId="27BC38B5" w:rsidR="00B12BE8" w:rsidRDefault="00B12BE8" w:rsidP="008D58EB">
      <w:pPr>
        <w:spacing w:after="0"/>
        <w:contextualSpacing/>
        <w:jc w:val="both"/>
        <w:rPr>
          <w:rFonts w:cs="Arial"/>
        </w:rPr>
      </w:pPr>
    </w:p>
    <w:p w14:paraId="5794FE00" w14:textId="77777777" w:rsidR="008D58EB" w:rsidRDefault="008D58EB" w:rsidP="001740C6">
      <w:pPr>
        <w:autoSpaceDE w:val="0"/>
        <w:autoSpaceDN w:val="0"/>
        <w:adjustRightInd w:val="0"/>
        <w:spacing w:after="0"/>
        <w:contextualSpacing/>
        <w:jc w:val="both"/>
        <w:rPr>
          <w:rFonts w:cs="Arial"/>
        </w:rPr>
      </w:pPr>
    </w:p>
    <w:p w14:paraId="1B48827B" w14:textId="7E4F2FF8" w:rsidR="001740C6" w:rsidRDefault="00274279" w:rsidP="001740C6">
      <w:pPr>
        <w:autoSpaceDE w:val="0"/>
        <w:autoSpaceDN w:val="0"/>
        <w:adjustRightInd w:val="0"/>
        <w:spacing w:after="0"/>
        <w:contextualSpacing/>
        <w:jc w:val="both"/>
        <w:rPr>
          <w:rFonts w:cs="Arial"/>
        </w:rPr>
      </w:pPr>
      <w:r>
        <w:rPr>
          <w:rFonts w:cs="Arial"/>
        </w:rPr>
        <w:t>6</w:t>
      </w:r>
      <w:r w:rsidR="001740C6">
        <w:rPr>
          <w:rFonts w:cs="Arial"/>
        </w:rPr>
        <w:t>.</w:t>
      </w:r>
      <w:r w:rsidR="001740C6">
        <w:rPr>
          <w:rFonts w:cs="Arial"/>
        </w:rPr>
        <w:tab/>
        <w:t>P</w:t>
      </w:r>
      <w:r w:rsidR="002632F5">
        <w:rPr>
          <w:rFonts w:cs="Arial"/>
        </w:rPr>
        <w:t>urchase</w:t>
      </w:r>
      <w:r w:rsidR="001740C6">
        <w:rPr>
          <w:rFonts w:cs="Arial"/>
        </w:rPr>
        <w:t xml:space="preserve"> Order</w:t>
      </w:r>
      <w:r w:rsidR="002632F5">
        <w:rPr>
          <w:rFonts w:cs="Arial"/>
        </w:rPr>
        <w:t xml:space="preserve"> Instructions:</w:t>
      </w:r>
    </w:p>
    <w:p w14:paraId="2CF23AEA" w14:textId="63CAF128" w:rsidR="008D58EB" w:rsidRDefault="008D58EB" w:rsidP="001740C6">
      <w:pPr>
        <w:autoSpaceDE w:val="0"/>
        <w:autoSpaceDN w:val="0"/>
        <w:adjustRightInd w:val="0"/>
        <w:spacing w:after="0"/>
        <w:contextualSpacing/>
        <w:jc w:val="both"/>
        <w:rPr>
          <w:rFonts w:cs="Arial"/>
        </w:rPr>
      </w:pPr>
    </w:p>
    <w:p w14:paraId="7B9276AD" w14:textId="3C2C8610" w:rsidR="008D58EB" w:rsidRDefault="008D58EB" w:rsidP="001740C6">
      <w:pPr>
        <w:autoSpaceDE w:val="0"/>
        <w:autoSpaceDN w:val="0"/>
        <w:adjustRightInd w:val="0"/>
        <w:spacing w:after="0"/>
        <w:contextualSpacing/>
        <w:jc w:val="both"/>
        <w:rPr>
          <w:rFonts w:cs="Arial"/>
          <w:i/>
          <w:iCs/>
        </w:rPr>
      </w:pPr>
      <w:r>
        <w:rPr>
          <w:rFonts w:cs="Arial"/>
          <w:i/>
          <w:iCs/>
        </w:rPr>
        <w:t>Insert any state-specific instructions/requirements for placing orders</w:t>
      </w:r>
      <w:r w:rsidR="00DB5950">
        <w:rPr>
          <w:rFonts w:cs="Arial"/>
          <w:i/>
          <w:iCs/>
        </w:rPr>
        <w:t xml:space="preserve">, including the requirement to include the Contract </w:t>
      </w:r>
      <w:r w:rsidR="001A2DE7">
        <w:rPr>
          <w:rFonts w:cs="Arial"/>
          <w:i/>
          <w:iCs/>
        </w:rPr>
        <w:t xml:space="preserve">or Purchase Order </w:t>
      </w:r>
      <w:r w:rsidR="00DB5950">
        <w:rPr>
          <w:rFonts w:cs="Arial"/>
          <w:i/>
          <w:iCs/>
        </w:rPr>
        <w:t>Number</w:t>
      </w:r>
      <w:r>
        <w:rPr>
          <w:rFonts w:cs="Arial"/>
          <w:i/>
          <w:iCs/>
        </w:rPr>
        <w:t>.</w:t>
      </w:r>
      <w:r w:rsidR="00C06A0B">
        <w:rPr>
          <w:rFonts w:cs="Arial"/>
          <w:i/>
          <w:iCs/>
        </w:rPr>
        <w:t xml:space="preserve"> If Category 3 is included in your PA, address </w:t>
      </w:r>
      <w:r w:rsidR="00A34769">
        <w:rPr>
          <w:rFonts w:cs="Arial"/>
          <w:i/>
          <w:iCs/>
        </w:rPr>
        <w:t xml:space="preserve">requirements for </w:t>
      </w:r>
      <w:r w:rsidR="00656B4E">
        <w:rPr>
          <w:rFonts w:cs="Arial"/>
          <w:i/>
          <w:iCs/>
        </w:rPr>
        <w:t>Statements of Work (</w:t>
      </w:r>
      <w:r w:rsidR="00C06A0B">
        <w:rPr>
          <w:rFonts w:cs="Arial"/>
          <w:i/>
          <w:iCs/>
        </w:rPr>
        <w:t>SOW’s</w:t>
      </w:r>
      <w:r w:rsidR="00656B4E">
        <w:rPr>
          <w:rFonts w:cs="Arial"/>
          <w:i/>
          <w:iCs/>
        </w:rPr>
        <w:t>)</w:t>
      </w:r>
      <w:r w:rsidR="00C06A0B">
        <w:rPr>
          <w:rFonts w:cs="Arial"/>
          <w:i/>
          <w:iCs/>
        </w:rPr>
        <w:t xml:space="preserve"> as well.</w:t>
      </w:r>
    </w:p>
    <w:p w14:paraId="187C1DD7" w14:textId="77777777" w:rsidR="00F87E07" w:rsidRDefault="00F87E07" w:rsidP="001740C6">
      <w:pPr>
        <w:autoSpaceDE w:val="0"/>
        <w:autoSpaceDN w:val="0"/>
        <w:adjustRightInd w:val="0"/>
        <w:spacing w:after="0"/>
        <w:contextualSpacing/>
        <w:jc w:val="both"/>
        <w:rPr>
          <w:rFonts w:cs="Arial"/>
          <w:i/>
          <w:iCs/>
        </w:rPr>
      </w:pPr>
    </w:p>
    <w:p w14:paraId="504A7BA9" w14:textId="26D96864" w:rsidR="00F87E07" w:rsidRPr="00980906" w:rsidRDefault="00F87E07" w:rsidP="00F87E07">
      <w:pPr>
        <w:autoSpaceDE w:val="0"/>
        <w:autoSpaceDN w:val="0"/>
        <w:adjustRightInd w:val="0"/>
        <w:spacing w:after="0"/>
        <w:contextualSpacing/>
        <w:jc w:val="both"/>
        <w:rPr>
          <w:rFonts w:cs="Arial"/>
          <w:i/>
          <w:iCs/>
        </w:rPr>
      </w:pPr>
      <w:r>
        <w:rPr>
          <w:rFonts w:cs="Arial"/>
          <w:i/>
          <w:iCs/>
        </w:rPr>
        <w:t xml:space="preserve">[CONTRACTOR </w:t>
      </w:r>
      <w:r w:rsidRPr="00980906">
        <w:rPr>
          <w:rFonts w:cs="Arial"/>
          <w:i/>
          <w:iCs/>
        </w:rPr>
        <w:t>PROPOSED LANGUAGE:]</w:t>
      </w:r>
    </w:p>
    <w:p w14:paraId="4DF1CCCC" w14:textId="77777777" w:rsidR="00F87E07" w:rsidRDefault="00F87E07" w:rsidP="00F87E07">
      <w:pPr>
        <w:spacing w:after="0"/>
        <w:contextualSpacing/>
        <w:jc w:val="both"/>
        <w:rPr>
          <w:rFonts w:cs="Arial"/>
        </w:rPr>
      </w:pPr>
    </w:p>
    <w:p w14:paraId="2271B278" w14:textId="7D868583" w:rsidR="00F87E07" w:rsidRPr="00980906" w:rsidRDefault="00F87E07" w:rsidP="00F87E07">
      <w:pPr>
        <w:spacing w:after="0"/>
        <w:contextualSpacing/>
        <w:jc w:val="both"/>
        <w:rPr>
          <w:rFonts w:cs="Arial"/>
          <w:i/>
          <w:iCs/>
        </w:rPr>
      </w:pPr>
      <w:r w:rsidRPr="00980906">
        <w:rPr>
          <w:rFonts w:cs="Arial"/>
        </w:rPr>
        <w:t xml:space="preserve">Any Purchase Order, Order or </w:t>
      </w:r>
      <w:r>
        <w:rPr>
          <w:rFonts w:cs="Arial"/>
        </w:rPr>
        <w:t>T-Mobile</w:t>
      </w:r>
      <w:r w:rsidRPr="00980906">
        <w:rPr>
          <w:rFonts w:cs="Arial"/>
        </w:rPr>
        <w:t xml:space="preserve"> approved funding document used to order Products and Services shall be in accordance with and subject to the NASPO Master Agreement #</w:t>
      </w:r>
      <w:r>
        <w:rPr>
          <w:rFonts w:cs="Arial"/>
        </w:rPr>
        <w:t>MA176</w:t>
      </w:r>
      <w:r w:rsidRPr="00980906">
        <w:rPr>
          <w:rFonts w:cs="Arial"/>
        </w:rPr>
        <w:t xml:space="preserve">.  As a pre-condition to ordering </w:t>
      </w:r>
      <w:r>
        <w:rPr>
          <w:rFonts w:cs="Arial"/>
        </w:rPr>
        <w:t>T-Mobile</w:t>
      </w:r>
      <w:r w:rsidRPr="00980906">
        <w:rPr>
          <w:rFonts w:cs="Arial"/>
        </w:rPr>
        <w:t xml:space="preserve"> Services and Products under the NASPO Master Agreement, </w:t>
      </w:r>
      <w:r>
        <w:rPr>
          <w:rFonts w:cs="Arial"/>
        </w:rPr>
        <w:t>T-Mobile</w:t>
      </w:r>
      <w:r w:rsidRPr="00980906">
        <w:rPr>
          <w:rFonts w:cs="Arial"/>
        </w:rPr>
        <w:t xml:space="preserve"> will require Participating Entity to provide a Purchase Order, Order or signed </w:t>
      </w:r>
      <w:r>
        <w:rPr>
          <w:rFonts w:cs="Arial"/>
        </w:rPr>
        <w:t>f</w:t>
      </w:r>
      <w:r w:rsidRPr="00980906">
        <w:rPr>
          <w:rFonts w:cs="Arial"/>
        </w:rPr>
        <w:t xml:space="preserve">unding </w:t>
      </w:r>
      <w:r>
        <w:rPr>
          <w:rFonts w:cs="Arial"/>
        </w:rPr>
        <w:t>d</w:t>
      </w:r>
      <w:r w:rsidRPr="00980906">
        <w:rPr>
          <w:rFonts w:cs="Arial"/>
        </w:rPr>
        <w:t xml:space="preserve">ocument. </w:t>
      </w:r>
    </w:p>
    <w:p w14:paraId="16AA8E1B" w14:textId="77777777" w:rsidR="009C368A" w:rsidRDefault="009C368A" w:rsidP="00695E68">
      <w:pPr>
        <w:autoSpaceDE w:val="0"/>
        <w:autoSpaceDN w:val="0"/>
        <w:adjustRightInd w:val="0"/>
        <w:spacing w:after="0"/>
        <w:contextualSpacing/>
        <w:jc w:val="both"/>
        <w:rPr>
          <w:rFonts w:cs="Arial"/>
        </w:rPr>
      </w:pPr>
    </w:p>
    <w:p w14:paraId="225533CF" w14:textId="77777777" w:rsidR="002632F5" w:rsidRDefault="009C368A" w:rsidP="001B2665">
      <w:pPr>
        <w:autoSpaceDE w:val="0"/>
        <w:autoSpaceDN w:val="0"/>
        <w:adjustRightInd w:val="0"/>
        <w:spacing w:after="0"/>
        <w:contextualSpacing/>
        <w:jc w:val="both"/>
        <w:rPr>
          <w:rFonts w:cs="Arial"/>
        </w:rPr>
      </w:pPr>
      <w:r>
        <w:rPr>
          <w:rFonts w:cs="Arial"/>
        </w:rPr>
        <w:t>7.</w:t>
      </w:r>
      <w:r w:rsidR="001740C6">
        <w:rPr>
          <w:rFonts w:cs="Arial"/>
        </w:rPr>
        <w:tab/>
      </w:r>
      <w:r w:rsidR="00DB5950">
        <w:rPr>
          <w:rFonts w:cs="Arial"/>
        </w:rPr>
        <w:t>Individual Customer</w:t>
      </w:r>
      <w:r w:rsidR="008B45E6">
        <w:rPr>
          <w:rFonts w:cs="Arial"/>
        </w:rPr>
        <w:t xml:space="preserve">:  </w:t>
      </w:r>
    </w:p>
    <w:p w14:paraId="618B2E82" w14:textId="77777777" w:rsidR="002632F5" w:rsidRDefault="002632F5" w:rsidP="001B2665">
      <w:pPr>
        <w:autoSpaceDE w:val="0"/>
        <w:autoSpaceDN w:val="0"/>
        <w:adjustRightInd w:val="0"/>
        <w:spacing w:after="0"/>
        <w:contextualSpacing/>
        <w:jc w:val="both"/>
        <w:rPr>
          <w:rFonts w:cs="Arial"/>
        </w:rPr>
      </w:pPr>
    </w:p>
    <w:p w14:paraId="081CE5D1" w14:textId="4C3FEF45" w:rsidR="00937AD7" w:rsidRPr="002632F5" w:rsidRDefault="002632F5" w:rsidP="001B2665">
      <w:pPr>
        <w:autoSpaceDE w:val="0"/>
        <w:autoSpaceDN w:val="0"/>
        <w:adjustRightInd w:val="0"/>
        <w:spacing w:after="0"/>
        <w:contextualSpacing/>
        <w:jc w:val="both"/>
        <w:rPr>
          <w:rFonts w:cs="Arial"/>
          <w:i/>
          <w:iCs/>
        </w:rPr>
      </w:pPr>
      <w:r w:rsidRPr="002632F5">
        <w:rPr>
          <w:rFonts w:cs="Arial"/>
          <w:i/>
          <w:iCs/>
        </w:rPr>
        <w:t xml:space="preserve">Sample Language </w:t>
      </w:r>
      <w:r w:rsidR="000C1F9F">
        <w:rPr>
          <w:rFonts w:cs="Arial"/>
          <w:i/>
          <w:iCs/>
        </w:rPr>
        <w:t>–</w:t>
      </w:r>
      <w:r w:rsidRPr="002632F5">
        <w:rPr>
          <w:rFonts w:cs="Arial"/>
          <w:i/>
          <w:iCs/>
        </w:rPr>
        <w:t xml:space="preserve"> </w:t>
      </w:r>
      <w:r w:rsidR="000C1F9F">
        <w:rPr>
          <w:rFonts w:cs="Arial"/>
          <w:i/>
          <w:iCs/>
        </w:rPr>
        <w:t>“</w:t>
      </w:r>
      <w:r>
        <w:rPr>
          <w:rFonts w:cs="Arial"/>
          <w:i/>
          <w:iCs/>
        </w:rPr>
        <w:t>E</w:t>
      </w:r>
      <w:r w:rsidR="008B45E6" w:rsidRPr="002632F5">
        <w:rPr>
          <w:rFonts w:cs="Arial"/>
          <w:i/>
          <w:iCs/>
        </w:rPr>
        <w:t xml:space="preserve">ach state agency, political subdivision or other entity placing an order under this Participating Addendum (“Purchasing Entity”), will be treated as if it was an Individual Customer.  Except to the extent modified in </w:t>
      </w:r>
      <w:r>
        <w:rPr>
          <w:rFonts w:cs="Arial"/>
          <w:i/>
          <w:iCs/>
        </w:rPr>
        <w:t>this Participating Addendum,</w:t>
      </w:r>
      <w:r w:rsidR="008B45E6" w:rsidRPr="002632F5">
        <w:rPr>
          <w:rFonts w:cs="Arial"/>
          <w:i/>
          <w:iCs/>
        </w:rPr>
        <w:t xml:space="preserve"> each agency, political subdivision or other entity will be responsible for compliance with the terms and conditions of the Master Agreement; and they will have the same rights and responsibilities for their purchases as the Lead State has in the Master Agreement.  Each agency, political subdivision or other entity will be responsible for its own charges, </w:t>
      </w:r>
      <w:proofErr w:type="gramStart"/>
      <w:r w:rsidR="008B45E6" w:rsidRPr="002632F5">
        <w:rPr>
          <w:rFonts w:cs="Arial"/>
          <w:i/>
          <w:iCs/>
        </w:rPr>
        <w:t>fees</w:t>
      </w:r>
      <w:proofErr w:type="gramEnd"/>
      <w:r w:rsidR="008B45E6" w:rsidRPr="002632F5">
        <w:rPr>
          <w:rFonts w:cs="Arial"/>
          <w:i/>
          <w:iCs/>
        </w:rPr>
        <w:t xml:space="preserve"> and liabilities.  Each Purchasing Entity will have the same rights to any indemnity or to recover any costs allowed in the contract for its purchases; and Contractor will apply the charges to each Participating Entity individually.  The Individual Customer agrees to the</w:t>
      </w:r>
      <w:r w:rsidR="005B78CB" w:rsidRPr="002632F5">
        <w:rPr>
          <w:rFonts w:cs="Arial"/>
          <w:i/>
          <w:iCs/>
        </w:rPr>
        <w:t xml:space="preserve"> terms of the Participating Addendum, including the disclosure of limited account information as part of the contractual reporting requirements to NASPO </w:t>
      </w:r>
      <w:proofErr w:type="spellStart"/>
      <w:r w:rsidR="005B78CB" w:rsidRPr="002632F5">
        <w:rPr>
          <w:rFonts w:cs="Arial"/>
          <w:i/>
          <w:iCs/>
        </w:rPr>
        <w:t>ValuePoint</w:t>
      </w:r>
      <w:proofErr w:type="spellEnd"/>
      <w:r w:rsidR="005B78CB" w:rsidRPr="002632F5">
        <w:rPr>
          <w:rFonts w:cs="Arial"/>
          <w:i/>
          <w:iCs/>
        </w:rPr>
        <w:t xml:space="preserve"> and/or the Participating Entity for purposes of monitoring the contract and calculating the administrative fee.</w:t>
      </w:r>
      <w:r w:rsidR="000C1F9F">
        <w:rPr>
          <w:rFonts w:cs="Arial"/>
          <w:i/>
          <w:iCs/>
        </w:rPr>
        <w:t>”</w:t>
      </w:r>
    </w:p>
    <w:p w14:paraId="65EFBEE5" w14:textId="77777777" w:rsidR="001037C9" w:rsidRDefault="001037C9" w:rsidP="001037C9">
      <w:pPr>
        <w:pStyle w:val="Default"/>
        <w:rPr>
          <w:rFonts w:ascii="Arial" w:hAnsi="Arial" w:cs="Arial"/>
          <w:sz w:val="22"/>
          <w:szCs w:val="22"/>
        </w:rPr>
      </w:pPr>
    </w:p>
    <w:p w14:paraId="76A29C56" w14:textId="759573A3" w:rsidR="000D7197" w:rsidRDefault="00DC2E37" w:rsidP="001037C9">
      <w:pPr>
        <w:pStyle w:val="Default"/>
        <w:rPr>
          <w:rFonts w:ascii="Arial" w:hAnsi="Arial" w:cs="Arial"/>
          <w:sz w:val="22"/>
          <w:szCs w:val="22"/>
        </w:rPr>
      </w:pPr>
      <w:r>
        <w:rPr>
          <w:rFonts w:ascii="Arial" w:hAnsi="Arial" w:cs="Arial"/>
          <w:sz w:val="22"/>
          <w:szCs w:val="22"/>
        </w:rPr>
        <w:t>8</w:t>
      </w:r>
      <w:r w:rsidR="00AF40E3" w:rsidRPr="00AF40E3">
        <w:rPr>
          <w:rFonts w:ascii="Arial" w:hAnsi="Arial" w:cs="Arial"/>
          <w:sz w:val="22"/>
          <w:szCs w:val="22"/>
        </w:rPr>
        <w:t>.</w:t>
      </w:r>
      <w:r w:rsidR="00AF40E3" w:rsidRPr="00AF40E3">
        <w:rPr>
          <w:rFonts w:ascii="Arial" w:hAnsi="Arial" w:cs="Arial"/>
          <w:sz w:val="22"/>
          <w:szCs w:val="22"/>
        </w:rPr>
        <w:tab/>
      </w:r>
      <w:r w:rsidR="005E2C3A" w:rsidRPr="00AF40E3">
        <w:rPr>
          <w:rFonts w:ascii="Arial" w:hAnsi="Arial" w:cs="Arial"/>
          <w:sz w:val="22"/>
          <w:szCs w:val="22"/>
        </w:rPr>
        <w:t>P</w:t>
      </w:r>
      <w:r w:rsidR="000D7197" w:rsidRPr="00AF40E3">
        <w:rPr>
          <w:rFonts w:ascii="Arial" w:hAnsi="Arial" w:cs="Arial"/>
          <w:sz w:val="22"/>
          <w:szCs w:val="22"/>
        </w:rPr>
        <w:t>rimary Contacts</w:t>
      </w:r>
      <w:r w:rsidR="000D7197" w:rsidRPr="00DF0AC2">
        <w:rPr>
          <w:rFonts w:ascii="Arial" w:hAnsi="Arial" w:cs="Arial"/>
          <w:sz w:val="22"/>
          <w:szCs w:val="22"/>
        </w:rPr>
        <w:t>: The primary contact individuals for this Participating Addendum are as follows (or their named successors):</w:t>
      </w:r>
    </w:p>
    <w:p w14:paraId="2FD59BB7" w14:textId="77777777" w:rsidR="00AF40E3" w:rsidRPr="00DF0AC2" w:rsidRDefault="00AF40E3" w:rsidP="001037C9">
      <w:pPr>
        <w:pStyle w:val="Default"/>
        <w:rPr>
          <w:rFonts w:ascii="Arial" w:hAnsi="Arial" w:cs="Arial"/>
          <w:sz w:val="22"/>
          <w:szCs w:val="22"/>
        </w:rPr>
      </w:pPr>
    </w:p>
    <w:p w14:paraId="575490F1" w14:textId="39338127" w:rsidR="000D7197" w:rsidRPr="00DF0AC2" w:rsidRDefault="000D7197" w:rsidP="00B07D14">
      <w:pPr>
        <w:keepNext/>
        <w:jc w:val="both"/>
        <w:rPr>
          <w:rFonts w:cs="Arial"/>
        </w:rPr>
      </w:pPr>
      <w:r w:rsidRPr="00DF0AC2">
        <w:rPr>
          <w:rFonts w:cs="Arial"/>
        </w:rPr>
        <w:t>Contractor</w:t>
      </w:r>
      <w:r w:rsidR="00EE3A8B">
        <w:rPr>
          <w:rFonts w:cs="Arial"/>
        </w:rPr>
        <w:t>:</w:t>
      </w:r>
    </w:p>
    <w:tbl>
      <w:tblPr>
        <w:tblStyle w:val="TableGrid"/>
        <w:tblW w:w="0" w:type="auto"/>
        <w:tblLook w:val="04A0" w:firstRow="1" w:lastRow="0" w:firstColumn="1" w:lastColumn="0" w:noHBand="0" w:noVBand="1"/>
      </w:tblPr>
      <w:tblGrid>
        <w:gridCol w:w="2037"/>
        <w:gridCol w:w="7313"/>
      </w:tblGrid>
      <w:tr w:rsidR="000D7197" w:rsidRPr="00DF0AC2" w14:paraId="5E17C6C5" w14:textId="77777777" w:rsidTr="00FA2BF8">
        <w:tc>
          <w:tcPr>
            <w:tcW w:w="1705" w:type="dxa"/>
            <w:vAlign w:val="center"/>
          </w:tcPr>
          <w:p w14:paraId="62495793" w14:textId="77777777" w:rsidR="000D7197" w:rsidRPr="00DF0AC2" w:rsidRDefault="000D7197" w:rsidP="00B07D14">
            <w:pPr>
              <w:keepNext/>
              <w:spacing w:before="60" w:after="60"/>
              <w:rPr>
                <w:rFonts w:cs="Arial"/>
                <w:sz w:val="22"/>
                <w:szCs w:val="22"/>
              </w:rPr>
            </w:pPr>
            <w:r w:rsidRPr="00DF0AC2">
              <w:rPr>
                <w:rFonts w:cs="Arial"/>
                <w:sz w:val="22"/>
                <w:szCs w:val="22"/>
              </w:rPr>
              <w:tab/>
              <w:t>Name:</w:t>
            </w:r>
          </w:p>
        </w:tc>
        <w:tc>
          <w:tcPr>
            <w:tcW w:w="8221" w:type="dxa"/>
            <w:vAlign w:val="center"/>
          </w:tcPr>
          <w:p w14:paraId="32B17D11" w14:textId="3D8FB220" w:rsidR="000D7197" w:rsidRPr="00DF0AC2" w:rsidRDefault="00DD28E4" w:rsidP="00B07D14">
            <w:pPr>
              <w:keepNext/>
              <w:spacing w:before="60" w:after="60"/>
              <w:rPr>
                <w:rFonts w:cs="Arial"/>
                <w:sz w:val="22"/>
                <w:szCs w:val="22"/>
              </w:rPr>
            </w:pPr>
            <w:r>
              <w:rPr>
                <w:rFonts w:cs="Arial"/>
                <w:sz w:val="22"/>
                <w:szCs w:val="22"/>
              </w:rPr>
              <w:t>David Bezzant</w:t>
            </w:r>
            <w:r w:rsidR="002718CA">
              <w:rPr>
                <w:rFonts w:cs="Arial"/>
                <w:sz w:val="22"/>
                <w:szCs w:val="22"/>
              </w:rPr>
              <w:t>, Vice President, T-Mobile for Government</w:t>
            </w:r>
          </w:p>
        </w:tc>
      </w:tr>
      <w:tr w:rsidR="000D7197" w:rsidRPr="00DF0AC2" w14:paraId="2BE0F060" w14:textId="77777777" w:rsidTr="00FA2BF8">
        <w:tc>
          <w:tcPr>
            <w:tcW w:w="1705" w:type="dxa"/>
            <w:vAlign w:val="center"/>
          </w:tcPr>
          <w:p w14:paraId="51316C5A" w14:textId="77777777" w:rsidR="000D7197" w:rsidRPr="00DF0AC2" w:rsidRDefault="000D7197" w:rsidP="00B07D14">
            <w:pPr>
              <w:keepNext/>
              <w:spacing w:before="60" w:after="60"/>
              <w:rPr>
                <w:rFonts w:cs="Arial"/>
                <w:sz w:val="22"/>
                <w:szCs w:val="22"/>
              </w:rPr>
            </w:pPr>
            <w:r w:rsidRPr="00DF0AC2">
              <w:rPr>
                <w:rFonts w:cs="Arial"/>
                <w:sz w:val="22"/>
                <w:szCs w:val="22"/>
              </w:rPr>
              <w:tab/>
              <w:t>Address:</w:t>
            </w:r>
          </w:p>
        </w:tc>
        <w:tc>
          <w:tcPr>
            <w:tcW w:w="8221" w:type="dxa"/>
            <w:vAlign w:val="center"/>
          </w:tcPr>
          <w:p w14:paraId="70168B0A" w14:textId="6C173567" w:rsidR="000D7197" w:rsidRPr="00DF0AC2" w:rsidRDefault="00DD28E4" w:rsidP="00B07D14">
            <w:pPr>
              <w:keepNext/>
              <w:spacing w:before="60" w:after="60"/>
              <w:rPr>
                <w:rFonts w:cs="Arial"/>
                <w:sz w:val="22"/>
                <w:szCs w:val="22"/>
              </w:rPr>
            </w:pPr>
            <w:r>
              <w:rPr>
                <w:rFonts w:cs="Arial"/>
                <w:sz w:val="22"/>
                <w:szCs w:val="22"/>
              </w:rPr>
              <w:t>c/o T-Mobile USA, Inc., 12920 SE 38</w:t>
            </w:r>
            <w:r w:rsidRPr="00DD28E4">
              <w:rPr>
                <w:rFonts w:cs="Arial"/>
                <w:sz w:val="22"/>
                <w:szCs w:val="22"/>
                <w:vertAlign w:val="superscript"/>
              </w:rPr>
              <w:t>th</w:t>
            </w:r>
            <w:r>
              <w:rPr>
                <w:rFonts w:cs="Arial"/>
                <w:sz w:val="22"/>
                <w:szCs w:val="22"/>
              </w:rPr>
              <w:t xml:space="preserve"> Street, Bellevue, WA 98006</w:t>
            </w:r>
          </w:p>
        </w:tc>
      </w:tr>
      <w:tr w:rsidR="000D7197" w:rsidRPr="00DF0AC2" w14:paraId="6B0FC293" w14:textId="77777777" w:rsidTr="00FA2BF8">
        <w:tc>
          <w:tcPr>
            <w:tcW w:w="1705" w:type="dxa"/>
            <w:vAlign w:val="center"/>
          </w:tcPr>
          <w:p w14:paraId="6F726285" w14:textId="77777777" w:rsidR="000D7197" w:rsidRPr="00DF0AC2" w:rsidRDefault="000D7197" w:rsidP="00B07D14">
            <w:pPr>
              <w:keepNext/>
              <w:spacing w:before="60" w:after="60"/>
              <w:rPr>
                <w:rFonts w:cs="Arial"/>
                <w:sz w:val="22"/>
                <w:szCs w:val="22"/>
              </w:rPr>
            </w:pPr>
            <w:r w:rsidRPr="00DF0AC2">
              <w:rPr>
                <w:rFonts w:cs="Arial"/>
                <w:sz w:val="22"/>
                <w:szCs w:val="22"/>
              </w:rPr>
              <w:tab/>
              <w:t>Telephone:</w:t>
            </w:r>
          </w:p>
        </w:tc>
        <w:tc>
          <w:tcPr>
            <w:tcW w:w="8221" w:type="dxa"/>
            <w:vAlign w:val="center"/>
          </w:tcPr>
          <w:p w14:paraId="123A8BBE" w14:textId="38D61F33" w:rsidR="000D7197" w:rsidRPr="00DF0AC2" w:rsidRDefault="00DD28E4" w:rsidP="002718CA">
            <w:pPr>
              <w:keepNext/>
              <w:spacing w:before="60" w:after="60"/>
              <w:rPr>
                <w:rFonts w:cs="Arial"/>
                <w:sz w:val="22"/>
                <w:szCs w:val="22"/>
              </w:rPr>
            </w:pPr>
            <w:r>
              <w:rPr>
                <w:rFonts w:cs="Arial"/>
                <w:sz w:val="22"/>
                <w:szCs w:val="22"/>
              </w:rPr>
              <w:t>(480) 638-2608</w:t>
            </w:r>
          </w:p>
        </w:tc>
      </w:tr>
      <w:tr w:rsidR="000D7197" w:rsidRPr="00DF0AC2" w14:paraId="7DCDD34A" w14:textId="77777777" w:rsidTr="00FA2BF8">
        <w:tc>
          <w:tcPr>
            <w:tcW w:w="1705" w:type="dxa"/>
            <w:vAlign w:val="center"/>
          </w:tcPr>
          <w:p w14:paraId="56A87757" w14:textId="77777777" w:rsidR="000D7197" w:rsidRPr="00DF0AC2" w:rsidRDefault="000D7197" w:rsidP="00B07D14">
            <w:pPr>
              <w:keepNext/>
              <w:spacing w:before="60" w:after="60"/>
              <w:rPr>
                <w:rFonts w:cs="Arial"/>
                <w:sz w:val="22"/>
                <w:szCs w:val="22"/>
              </w:rPr>
            </w:pPr>
            <w:r w:rsidRPr="00DF0AC2">
              <w:rPr>
                <w:rFonts w:cs="Arial"/>
                <w:sz w:val="22"/>
                <w:szCs w:val="22"/>
              </w:rPr>
              <w:tab/>
              <w:t>Fax:</w:t>
            </w:r>
          </w:p>
        </w:tc>
        <w:tc>
          <w:tcPr>
            <w:tcW w:w="8221" w:type="dxa"/>
            <w:vAlign w:val="center"/>
          </w:tcPr>
          <w:p w14:paraId="17F71ADA" w14:textId="77777777" w:rsidR="000D7197" w:rsidRPr="00DF0AC2" w:rsidRDefault="000D7197" w:rsidP="00B07D14">
            <w:pPr>
              <w:keepNext/>
              <w:spacing w:before="60" w:after="60"/>
              <w:rPr>
                <w:rFonts w:cs="Arial"/>
                <w:sz w:val="22"/>
                <w:szCs w:val="22"/>
              </w:rPr>
            </w:pPr>
          </w:p>
        </w:tc>
      </w:tr>
      <w:tr w:rsidR="000D7197" w:rsidRPr="00DF0AC2" w14:paraId="176E85EE" w14:textId="77777777" w:rsidTr="00FA2BF8">
        <w:tc>
          <w:tcPr>
            <w:tcW w:w="1705" w:type="dxa"/>
            <w:vAlign w:val="center"/>
          </w:tcPr>
          <w:p w14:paraId="5C2FC3A1" w14:textId="77777777" w:rsidR="000D7197" w:rsidRPr="00DF0AC2" w:rsidRDefault="000D7197" w:rsidP="00B07D14">
            <w:pPr>
              <w:keepNext/>
              <w:spacing w:before="60" w:after="60"/>
              <w:rPr>
                <w:rFonts w:cs="Arial"/>
                <w:sz w:val="22"/>
                <w:szCs w:val="22"/>
              </w:rPr>
            </w:pPr>
            <w:r w:rsidRPr="00DF0AC2">
              <w:rPr>
                <w:rFonts w:cs="Arial"/>
                <w:sz w:val="22"/>
                <w:szCs w:val="22"/>
              </w:rPr>
              <w:tab/>
              <w:t>Email:</w:t>
            </w:r>
          </w:p>
        </w:tc>
        <w:tc>
          <w:tcPr>
            <w:tcW w:w="8221" w:type="dxa"/>
            <w:vAlign w:val="center"/>
          </w:tcPr>
          <w:p w14:paraId="2F70DA2C" w14:textId="3BEF4A67" w:rsidR="000D7197" w:rsidRPr="00DF0AC2" w:rsidRDefault="00DD28E4" w:rsidP="00B07D14">
            <w:pPr>
              <w:keepNext/>
              <w:spacing w:before="60" w:after="60"/>
              <w:rPr>
                <w:rFonts w:cs="Arial"/>
                <w:sz w:val="22"/>
                <w:szCs w:val="22"/>
              </w:rPr>
            </w:pPr>
            <w:r>
              <w:rPr>
                <w:rFonts w:cs="Arial"/>
                <w:sz w:val="22"/>
                <w:szCs w:val="22"/>
              </w:rPr>
              <w:t>David.Bezzant@T-Mobile.com</w:t>
            </w:r>
          </w:p>
        </w:tc>
      </w:tr>
    </w:tbl>
    <w:p w14:paraId="0614BAEE" w14:textId="77777777" w:rsidR="00FF71F6" w:rsidRPr="00DF0AC2" w:rsidRDefault="00FF71F6" w:rsidP="00B07D14">
      <w:pPr>
        <w:rPr>
          <w:rFonts w:cs="Arial"/>
          <w:u w:val="single"/>
        </w:rPr>
      </w:pPr>
    </w:p>
    <w:p w14:paraId="7BBF013F" w14:textId="77777777" w:rsidR="0017785A" w:rsidRDefault="0017785A" w:rsidP="00B07D14">
      <w:pPr>
        <w:rPr>
          <w:rFonts w:cs="Arial"/>
        </w:rPr>
      </w:pPr>
    </w:p>
    <w:p w14:paraId="1B71FC43" w14:textId="39B3AE0C" w:rsidR="00F87E07" w:rsidRPr="00AF2D96" w:rsidRDefault="00F87E07" w:rsidP="00F87E07">
      <w:pPr>
        <w:rPr>
          <w:rFonts w:cs="Arial"/>
        </w:rPr>
      </w:pPr>
      <w:r w:rsidRPr="00AF2D96">
        <w:rPr>
          <w:rFonts w:cs="Arial"/>
        </w:rPr>
        <w:t>For Legal Notice to Contract</w:t>
      </w:r>
      <w:r w:rsidR="00EE3A8B">
        <w:rPr>
          <w:rFonts w:cs="Arial"/>
        </w:rPr>
        <w:t>or</w:t>
      </w:r>
      <w:r w:rsidRPr="00AF2D96">
        <w:rPr>
          <w:rFonts w:cs="Arial"/>
        </w:rPr>
        <w:t xml:space="preserve"> – send a copy to:</w:t>
      </w:r>
    </w:p>
    <w:tbl>
      <w:tblPr>
        <w:tblStyle w:val="TableGrid"/>
        <w:tblW w:w="0" w:type="auto"/>
        <w:tblLook w:val="04A0" w:firstRow="1" w:lastRow="0" w:firstColumn="1" w:lastColumn="0" w:noHBand="0" w:noVBand="1"/>
      </w:tblPr>
      <w:tblGrid>
        <w:gridCol w:w="1805"/>
        <w:gridCol w:w="7545"/>
      </w:tblGrid>
      <w:tr w:rsidR="00F87E07" w:rsidRPr="00DF0AC2" w14:paraId="1F65E76B" w14:textId="77777777" w:rsidTr="00370E5F">
        <w:tc>
          <w:tcPr>
            <w:tcW w:w="1705" w:type="dxa"/>
            <w:vAlign w:val="center"/>
          </w:tcPr>
          <w:p w14:paraId="7EE75E1E" w14:textId="77777777" w:rsidR="00F87E07" w:rsidRPr="00DF0AC2" w:rsidRDefault="00F87E07" w:rsidP="00370E5F">
            <w:pPr>
              <w:keepNext/>
              <w:spacing w:before="60" w:after="60"/>
              <w:rPr>
                <w:rFonts w:cs="Arial"/>
                <w:sz w:val="22"/>
                <w:szCs w:val="22"/>
              </w:rPr>
            </w:pPr>
            <w:r w:rsidRPr="00DF0AC2">
              <w:rPr>
                <w:rFonts w:cs="Arial"/>
                <w:sz w:val="22"/>
                <w:szCs w:val="22"/>
              </w:rPr>
              <w:tab/>
              <w:t>Name:</w:t>
            </w:r>
          </w:p>
        </w:tc>
        <w:tc>
          <w:tcPr>
            <w:tcW w:w="8221" w:type="dxa"/>
            <w:vAlign w:val="center"/>
          </w:tcPr>
          <w:p w14:paraId="0D12A58E" w14:textId="77777777" w:rsidR="00F87E07" w:rsidRPr="00DF0AC2" w:rsidRDefault="00F87E07" w:rsidP="00370E5F">
            <w:pPr>
              <w:keepNext/>
              <w:spacing w:before="60" w:after="60"/>
              <w:rPr>
                <w:rFonts w:cs="Arial"/>
                <w:sz w:val="22"/>
                <w:szCs w:val="22"/>
              </w:rPr>
            </w:pPr>
            <w:r>
              <w:rPr>
                <w:rFonts w:cs="Arial"/>
                <w:sz w:val="22"/>
                <w:szCs w:val="22"/>
              </w:rPr>
              <w:t>Legal Department, T-Mobile USA, Inc.</w:t>
            </w:r>
          </w:p>
        </w:tc>
      </w:tr>
      <w:tr w:rsidR="00F87E07" w:rsidRPr="00DF0AC2" w14:paraId="33904F09" w14:textId="77777777" w:rsidTr="00370E5F">
        <w:tc>
          <w:tcPr>
            <w:tcW w:w="1705" w:type="dxa"/>
            <w:vAlign w:val="center"/>
          </w:tcPr>
          <w:p w14:paraId="236BBB81" w14:textId="77777777" w:rsidR="00F87E07" w:rsidRPr="00DF0AC2" w:rsidRDefault="00F87E07" w:rsidP="00370E5F">
            <w:pPr>
              <w:keepNext/>
              <w:spacing w:before="60" w:after="60"/>
              <w:rPr>
                <w:rFonts w:cs="Arial"/>
                <w:sz w:val="22"/>
                <w:szCs w:val="22"/>
              </w:rPr>
            </w:pPr>
            <w:r w:rsidRPr="00DF0AC2">
              <w:rPr>
                <w:rFonts w:cs="Arial"/>
                <w:sz w:val="22"/>
                <w:szCs w:val="22"/>
              </w:rPr>
              <w:tab/>
              <w:t>Address:</w:t>
            </w:r>
          </w:p>
        </w:tc>
        <w:tc>
          <w:tcPr>
            <w:tcW w:w="8221" w:type="dxa"/>
            <w:vAlign w:val="center"/>
          </w:tcPr>
          <w:p w14:paraId="77051036" w14:textId="77777777" w:rsidR="00F87E07" w:rsidRDefault="00F87E07" w:rsidP="00370E5F">
            <w:pPr>
              <w:keepNext/>
              <w:spacing w:before="60" w:after="60"/>
              <w:rPr>
                <w:rFonts w:cs="Arial"/>
                <w:sz w:val="22"/>
                <w:szCs w:val="22"/>
              </w:rPr>
            </w:pPr>
            <w:r>
              <w:rPr>
                <w:rFonts w:cs="Arial"/>
                <w:sz w:val="22"/>
                <w:szCs w:val="22"/>
              </w:rPr>
              <w:t xml:space="preserve">c/o T-Mobile USA, Inc., </w:t>
            </w:r>
          </w:p>
          <w:p w14:paraId="184BEB58" w14:textId="77777777" w:rsidR="00F87E07" w:rsidRPr="00DF0AC2" w:rsidRDefault="00F87E07" w:rsidP="00370E5F">
            <w:pPr>
              <w:keepNext/>
              <w:spacing w:before="60" w:after="60"/>
              <w:rPr>
                <w:rFonts w:cs="Arial"/>
                <w:sz w:val="22"/>
                <w:szCs w:val="22"/>
              </w:rPr>
            </w:pPr>
            <w:r>
              <w:rPr>
                <w:rFonts w:cs="Arial"/>
                <w:sz w:val="22"/>
                <w:szCs w:val="22"/>
              </w:rPr>
              <w:t>12920 SE 38</w:t>
            </w:r>
            <w:r w:rsidRPr="00DD28E4">
              <w:rPr>
                <w:rFonts w:cs="Arial"/>
                <w:sz w:val="22"/>
                <w:szCs w:val="22"/>
                <w:vertAlign w:val="superscript"/>
              </w:rPr>
              <w:t>th</w:t>
            </w:r>
            <w:r>
              <w:rPr>
                <w:rFonts w:cs="Arial"/>
                <w:sz w:val="22"/>
                <w:szCs w:val="22"/>
              </w:rPr>
              <w:t xml:space="preserve"> Street, Bellevue, WA 98006</w:t>
            </w:r>
          </w:p>
        </w:tc>
      </w:tr>
    </w:tbl>
    <w:p w14:paraId="19634255" w14:textId="77777777" w:rsidR="005D2822" w:rsidRDefault="005D2822" w:rsidP="00B07D14">
      <w:pPr>
        <w:rPr>
          <w:rFonts w:cs="Arial"/>
        </w:rPr>
      </w:pPr>
    </w:p>
    <w:p w14:paraId="6453EA2A" w14:textId="7E3E5AEF" w:rsidR="000D7197" w:rsidRPr="00DF0AC2" w:rsidRDefault="000D7197" w:rsidP="00B07D14">
      <w:pPr>
        <w:rPr>
          <w:rFonts w:cs="Arial"/>
        </w:rPr>
      </w:pPr>
      <w:r w:rsidRPr="00DF0AC2">
        <w:rPr>
          <w:rFonts w:cs="Arial"/>
        </w:rPr>
        <w:t>Participating Entity</w:t>
      </w:r>
      <w:r w:rsidR="00EE3A8B">
        <w:rPr>
          <w:rFonts w:cs="Arial"/>
        </w:rPr>
        <w:t>:</w:t>
      </w:r>
    </w:p>
    <w:tbl>
      <w:tblPr>
        <w:tblStyle w:val="TableGrid"/>
        <w:tblW w:w="0" w:type="auto"/>
        <w:tblLook w:val="04A0" w:firstRow="1" w:lastRow="0" w:firstColumn="1" w:lastColumn="0" w:noHBand="0" w:noVBand="1"/>
      </w:tblPr>
      <w:tblGrid>
        <w:gridCol w:w="2037"/>
        <w:gridCol w:w="7313"/>
      </w:tblGrid>
      <w:tr w:rsidR="000D7197" w:rsidRPr="00DF0AC2" w14:paraId="64204BAD" w14:textId="77777777" w:rsidTr="00FA2BF8">
        <w:tc>
          <w:tcPr>
            <w:tcW w:w="1705" w:type="dxa"/>
            <w:vAlign w:val="center"/>
          </w:tcPr>
          <w:p w14:paraId="024B45D2" w14:textId="77777777" w:rsidR="000D7197" w:rsidRPr="00DF0AC2" w:rsidRDefault="000D7197" w:rsidP="00B07D14">
            <w:pPr>
              <w:spacing w:before="60" w:after="60"/>
              <w:rPr>
                <w:rFonts w:cs="Arial"/>
                <w:sz w:val="22"/>
                <w:szCs w:val="22"/>
              </w:rPr>
            </w:pPr>
            <w:r w:rsidRPr="00DF0AC2">
              <w:rPr>
                <w:rFonts w:cs="Arial"/>
                <w:sz w:val="22"/>
                <w:szCs w:val="22"/>
              </w:rPr>
              <w:tab/>
              <w:t>Name:</w:t>
            </w:r>
          </w:p>
        </w:tc>
        <w:tc>
          <w:tcPr>
            <w:tcW w:w="8221" w:type="dxa"/>
            <w:vAlign w:val="center"/>
          </w:tcPr>
          <w:p w14:paraId="1CC246BC" w14:textId="77777777" w:rsidR="000D7197" w:rsidRPr="00DF0AC2" w:rsidRDefault="000D7197" w:rsidP="00B07D14">
            <w:pPr>
              <w:spacing w:before="60" w:after="60"/>
              <w:rPr>
                <w:rFonts w:cs="Arial"/>
                <w:sz w:val="22"/>
                <w:szCs w:val="22"/>
              </w:rPr>
            </w:pPr>
          </w:p>
        </w:tc>
      </w:tr>
      <w:tr w:rsidR="000D7197" w:rsidRPr="00DF0AC2" w14:paraId="4BDBA739" w14:textId="77777777" w:rsidTr="00FA2BF8">
        <w:tc>
          <w:tcPr>
            <w:tcW w:w="1705" w:type="dxa"/>
            <w:vAlign w:val="center"/>
          </w:tcPr>
          <w:p w14:paraId="4604113A" w14:textId="77777777" w:rsidR="000D7197" w:rsidRPr="00DF0AC2" w:rsidRDefault="000D7197" w:rsidP="00B07D14">
            <w:pPr>
              <w:spacing w:before="60" w:after="60"/>
              <w:rPr>
                <w:rFonts w:cs="Arial"/>
                <w:sz w:val="22"/>
                <w:szCs w:val="22"/>
              </w:rPr>
            </w:pPr>
            <w:r w:rsidRPr="00DF0AC2">
              <w:rPr>
                <w:rFonts w:cs="Arial"/>
                <w:sz w:val="22"/>
                <w:szCs w:val="22"/>
              </w:rPr>
              <w:tab/>
              <w:t>Address:</w:t>
            </w:r>
          </w:p>
        </w:tc>
        <w:tc>
          <w:tcPr>
            <w:tcW w:w="8221" w:type="dxa"/>
            <w:vAlign w:val="center"/>
          </w:tcPr>
          <w:p w14:paraId="2515AEB2" w14:textId="77777777" w:rsidR="000D7197" w:rsidRPr="00DF0AC2" w:rsidRDefault="000D7197" w:rsidP="00B07D14">
            <w:pPr>
              <w:spacing w:before="60" w:after="60"/>
              <w:rPr>
                <w:rFonts w:cs="Arial"/>
                <w:sz w:val="22"/>
                <w:szCs w:val="22"/>
              </w:rPr>
            </w:pPr>
          </w:p>
        </w:tc>
      </w:tr>
      <w:tr w:rsidR="000D7197" w:rsidRPr="00DF0AC2" w14:paraId="3E66B889" w14:textId="77777777" w:rsidTr="00FA2BF8">
        <w:tc>
          <w:tcPr>
            <w:tcW w:w="1705" w:type="dxa"/>
            <w:vAlign w:val="center"/>
          </w:tcPr>
          <w:p w14:paraId="44AB1744" w14:textId="77777777" w:rsidR="000D7197" w:rsidRPr="00DF0AC2" w:rsidRDefault="000D7197" w:rsidP="00B07D14">
            <w:pPr>
              <w:spacing w:before="60" w:after="60"/>
              <w:rPr>
                <w:rFonts w:cs="Arial"/>
                <w:sz w:val="22"/>
                <w:szCs w:val="22"/>
              </w:rPr>
            </w:pPr>
            <w:r w:rsidRPr="00DF0AC2">
              <w:rPr>
                <w:rFonts w:cs="Arial"/>
                <w:sz w:val="22"/>
                <w:szCs w:val="22"/>
              </w:rPr>
              <w:tab/>
              <w:t>Telephone:</w:t>
            </w:r>
          </w:p>
        </w:tc>
        <w:tc>
          <w:tcPr>
            <w:tcW w:w="8221" w:type="dxa"/>
            <w:vAlign w:val="center"/>
          </w:tcPr>
          <w:p w14:paraId="72A85235" w14:textId="77777777" w:rsidR="000D7197" w:rsidRPr="00DF0AC2" w:rsidRDefault="000D7197" w:rsidP="00B07D14">
            <w:pPr>
              <w:spacing w:before="60" w:after="60"/>
              <w:rPr>
                <w:rFonts w:cs="Arial"/>
                <w:sz w:val="22"/>
                <w:szCs w:val="22"/>
              </w:rPr>
            </w:pPr>
          </w:p>
        </w:tc>
      </w:tr>
      <w:tr w:rsidR="000D7197" w:rsidRPr="00DF0AC2" w14:paraId="4D7114FA" w14:textId="77777777" w:rsidTr="00FA2BF8">
        <w:tc>
          <w:tcPr>
            <w:tcW w:w="1705" w:type="dxa"/>
            <w:vAlign w:val="center"/>
          </w:tcPr>
          <w:p w14:paraId="05C22E39" w14:textId="77777777" w:rsidR="000D7197" w:rsidRPr="00DF0AC2" w:rsidRDefault="000D7197" w:rsidP="00B07D14">
            <w:pPr>
              <w:spacing w:before="60" w:after="60"/>
              <w:rPr>
                <w:rFonts w:cs="Arial"/>
                <w:sz w:val="22"/>
                <w:szCs w:val="22"/>
              </w:rPr>
            </w:pPr>
            <w:r w:rsidRPr="00DF0AC2">
              <w:rPr>
                <w:rFonts w:cs="Arial"/>
                <w:sz w:val="22"/>
                <w:szCs w:val="22"/>
              </w:rPr>
              <w:tab/>
              <w:t>Fax:</w:t>
            </w:r>
          </w:p>
        </w:tc>
        <w:tc>
          <w:tcPr>
            <w:tcW w:w="8221" w:type="dxa"/>
            <w:vAlign w:val="center"/>
          </w:tcPr>
          <w:p w14:paraId="0573FB01" w14:textId="77777777" w:rsidR="000D7197" w:rsidRPr="00DF0AC2" w:rsidRDefault="000D7197" w:rsidP="00B07D14">
            <w:pPr>
              <w:spacing w:before="60" w:after="60"/>
              <w:rPr>
                <w:rFonts w:cs="Arial"/>
                <w:sz w:val="22"/>
                <w:szCs w:val="22"/>
              </w:rPr>
            </w:pPr>
          </w:p>
        </w:tc>
      </w:tr>
      <w:tr w:rsidR="000D7197" w:rsidRPr="00DF0AC2" w14:paraId="1BCA20A6" w14:textId="77777777" w:rsidTr="00FA2BF8">
        <w:tc>
          <w:tcPr>
            <w:tcW w:w="1705" w:type="dxa"/>
            <w:vAlign w:val="center"/>
          </w:tcPr>
          <w:p w14:paraId="063E9CD5" w14:textId="77777777" w:rsidR="000D7197" w:rsidRPr="00DF0AC2" w:rsidRDefault="000D7197" w:rsidP="00B07D14">
            <w:pPr>
              <w:spacing w:before="60" w:after="60"/>
              <w:rPr>
                <w:rFonts w:cs="Arial"/>
                <w:sz w:val="22"/>
                <w:szCs w:val="22"/>
              </w:rPr>
            </w:pPr>
            <w:r w:rsidRPr="00DF0AC2">
              <w:rPr>
                <w:rFonts w:cs="Arial"/>
                <w:sz w:val="22"/>
                <w:szCs w:val="22"/>
              </w:rPr>
              <w:tab/>
              <w:t>Email:</w:t>
            </w:r>
          </w:p>
        </w:tc>
        <w:tc>
          <w:tcPr>
            <w:tcW w:w="8221" w:type="dxa"/>
            <w:vAlign w:val="center"/>
          </w:tcPr>
          <w:p w14:paraId="2B133AF9" w14:textId="77777777" w:rsidR="000D7197" w:rsidRPr="00DF0AC2" w:rsidRDefault="000D7197" w:rsidP="00B07D14">
            <w:pPr>
              <w:spacing w:before="60" w:after="60"/>
              <w:rPr>
                <w:rFonts w:cs="Arial"/>
                <w:sz w:val="22"/>
                <w:szCs w:val="22"/>
              </w:rPr>
            </w:pPr>
          </w:p>
        </w:tc>
      </w:tr>
    </w:tbl>
    <w:p w14:paraId="033A715A" w14:textId="77777777" w:rsidR="00B12BE8" w:rsidRPr="00B12BE8" w:rsidRDefault="00B12BE8" w:rsidP="00B12BE8">
      <w:pPr>
        <w:tabs>
          <w:tab w:val="left" w:pos="540"/>
        </w:tabs>
        <w:spacing w:after="0"/>
        <w:jc w:val="both"/>
        <w:rPr>
          <w:rFonts w:cs="Arial"/>
          <w:bCs/>
        </w:rPr>
      </w:pPr>
    </w:p>
    <w:p w14:paraId="467604D3" w14:textId="77777777" w:rsidR="00B12BE8" w:rsidRPr="00B12BE8" w:rsidRDefault="00B12BE8" w:rsidP="00B12BE8">
      <w:pPr>
        <w:tabs>
          <w:tab w:val="left" w:pos="540"/>
        </w:tabs>
        <w:spacing w:after="0"/>
        <w:jc w:val="both"/>
        <w:rPr>
          <w:rFonts w:cs="Arial"/>
          <w:bCs/>
        </w:rPr>
      </w:pPr>
    </w:p>
    <w:p w14:paraId="46FF4C9B" w14:textId="4ACDE2E2" w:rsidR="00337953" w:rsidRPr="00B12BE8" w:rsidRDefault="00DC2E37" w:rsidP="00337953">
      <w:pPr>
        <w:tabs>
          <w:tab w:val="left" w:pos="540"/>
        </w:tabs>
        <w:spacing w:after="0"/>
        <w:jc w:val="both"/>
        <w:rPr>
          <w:rFonts w:cs="Arial"/>
          <w:bCs/>
        </w:rPr>
      </w:pPr>
      <w:r>
        <w:rPr>
          <w:rFonts w:cs="Arial"/>
          <w:bCs/>
        </w:rPr>
        <w:t>9</w:t>
      </w:r>
      <w:r w:rsidR="00AF40E3">
        <w:rPr>
          <w:rFonts w:cs="Arial"/>
          <w:bCs/>
        </w:rPr>
        <w:t>.</w:t>
      </w:r>
      <w:r w:rsidR="00AF40E3">
        <w:rPr>
          <w:rFonts w:cs="Arial"/>
          <w:bCs/>
        </w:rPr>
        <w:tab/>
      </w:r>
      <w:r w:rsidR="00B87D2C">
        <w:rPr>
          <w:rFonts w:cs="Arial"/>
          <w:bCs/>
        </w:rPr>
        <w:t>Software</w:t>
      </w:r>
      <w:r w:rsidR="00337953" w:rsidRPr="00B12BE8">
        <w:rPr>
          <w:rFonts w:cs="Arial"/>
          <w:bCs/>
        </w:rPr>
        <w:t xml:space="preserve"> Terms and Conditions</w:t>
      </w:r>
      <w:r w:rsidR="00337953">
        <w:rPr>
          <w:rFonts w:cs="Arial"/>
          <w:bCs/>
        </w:rPr>
        <w:t xml:space="preserve">:  </w:t>
      </w:r>
      <w:r w:rsidR="00337953" w:rsidRPr="00B12BE8">
        <w:rPr>
          <w:rFonts w:cs="Arial"/>
          <w:bCs/>
        </w:rPr>
        <w:t xml:space="preserve">Purchasing Entities that acquire software shall be subject to the license agreements distributed with such software; however, in the event of a conflict in language between an end user license agreement (EULA) and the Master Agreement, the language in the Master Agreement will supersede and control.  In addition, any language in a EULA which violates a </w:t>
      </w:r>
      <w:r w:rsidR="00B87D2C">
        <w:rPr>
          <w:rFonts w:cs="Arial"/>
          <w:bCs/>
        </w:rPr>
        <w:t>Purchasing Entity’s</w:t>
      </w:r>
      <w:r w:rsidR="00337953" w:rsidRPr="00B12BE8">
        <w:rPr>
          <w:rFonts w:cs="Arial"/>
          <w:bCs/>
        </w:rPr>
        <w:t xml:space="preserve"> constitution</w:t>
      </w:r>
      <w:r w:rsidR="001F0014">
        <w:rPr>
          <w:rFonts w:cs="Arial"/>
          <w:bCs/>
        </w:rPr>
        <w:t xml:space="preserve">, statute or other applicable law </w:t>
      </w:r>
      <w:r w:rsidR="00337953" w:rsidRPr="00B12BE8">
        <w:rPr>
          <w:rFonts w:cs="Arial"/>
          <w:bCs/>
        </w:rPr>
        <w:t>will be deemed void, and of no force or effect, as applied to the Purchasing Entity.</w:t>
      </w:r>
    </w:p>
    <w:p w14:paraId="4FAEFBE7" w14:textId="77777777" w:rsidR="00337953" w:rsidRDefault="00337953" w:rsidP="00B07D14">
      <w:pPr>
        <w:spacing w:after="0"/>
        <w:jc w:val="both"/>
        <w:rPr>
          <w:rFonts w:cs="Arial"/>
          <w:bCs/>
        </w:rPr>
      </w:pPr>
    </w:p>
    <w:p w14:paraId="7D81FACF" w14:textId="5C37C58D" w:rsidR="002718CA" w:rsidRDefault="002718CA" w:rsidP="002718CA">
      <w:pPr>
        <w:jc w:val="both"/>
        <w:rPr>
          <w:rFonts w:cs="Arial"/>
        </w:rPr>
      </w:pPr>
      <w:r>
        <w:rPr>
          <w:rFonts w:cs="Arial"/>
        </w:rPr>
        <w:t>10.     Pursuant to Amendment No. 2 of Master Agreement No. MA176, upon execution of this PA, the parties agree that this PA will supersede and replace any existing Participating Addendum(s)</w:t>
      </w:r>
      <w:r w:rsidR="003B7811">
        <w:rPr>
          <w:rFonts w:cs="Arial"/>
        </w:rPr>
        <w:t xml:space="preserve"> executed by the Participating Entity</w:t>
      </w:r>
      <w:r>
        <w:rPr>
          <w:rFonts w:cs="Arial"/>
        </w:rPr>
        <w:t xml:space="preserve"> under either</w:t>
      </w:r>
      <w:r w:rsidR="00413268">
        <w:rPr>
          <w:rFonts w:cs="Arial"/>
        </w:rPr>
        <w:t xml:space="preserve">: 1) the NASPO </w:t>
      </w:r>
      <w:proofErr w:type="spellStart"/>
      <w:r w:rsidR="00413268">
        <w:rPr>
          <w:rFonts w:cs="Arial"/>
        </w:rPr>
        <w:t>ValuePoint</w:t>
      </w:r>
      <w:proofErr w:type="spellEnd"/>
      <w:r w:rsidR="00413268">
        <w:rPr>
          <w:rFonts w:cs="Arial"/>
        </w:rPr>
        <w:t xml:space="preserve"> Master Agreement #1907 between the State of Nevada and Contractor; or 2) the NASPO </w:t>
      </w:r>
      <w:proofErr w:type="spellStart"/>
      <w:r w:rsidR="00413268">
        <w:rPr>
          <w:rFonts w:cs="Arial"/>
        </w:rPr>
        <w:t>ValuePoint</w:t>
      </w:r>
      <w:proofErr w:type="spellEnd"/>
      <w:r w:rsidR="00413268">
        <w:rPr>
          <w:rFonts w:cs="Arial"/>
        </w:rPr>
        <w:t xml:space="preserve"> Master Agreement #1907 between the State of Nevada and Sprint Solutions, Inc., </w:t>
      </w:r>
      <w:r>
        <w:rPr>
          <w:rFonts w:cs="Arial"/>
        </w:rPr>
        <w:t xml:space="preserve">(“Existing 1907 Participating Addendums”) as of </w:t>
      </w:r>
      <w:r w:rsidR="003B7811">
        <w:rPr>
          <w:rFonts w:cs="Arial"/>
        </w:rPr>
        <w:t xml:space="preserve">this </w:t>
      </w:r>
      <w:r>
        <w:rPr>
          <w:rFonts w:cs="Arial"/>
        </w:rPr>
        <w:t xml:space="preserve">PA Effective Date, subject to the terms herein. The Existing 1907 Participating Addendums will be terminated in their entirety as of </w:t>
      </w:r>
      <w:r w:rsidR="003B7811">
        <w:rPr>
          <w:rFonts w:cs="Arial"/>
        </w:rPr>
        <w:t xml:space="preserve">this </w:t>
      </w:r>
      <w:r>
        <w:rPr>
          <w:rFonts w:cs="Arial"/>
        </w:rPr>
        <w:t>PA Effective Date.</w:t>
      </w:r>
    </w:p>
    <w:p w14:paraId="4B0E4536" w14:textId="77777777" w:rsidR="002718CA" w:rsidRDefault="002718CA" w:rsidP="00B07D14">
      <w:pPr>
        <w:spacing w:after="0"/>
        <w:jc w:val="both"/>
        <w:rPr>
          <w:rFonts w:cs="Arial"/>
          <w:bCs/>
        </w:rPr>
      </w:pPr>
    </w:p>
    <w:p w14:paraId="12C0C322" w14:textId="6800192C" w:rsidR="0045163A" w:rsidRPr="00104A66" w:rsidRDefault="0045163A" w:rsidP="0045163A">
      <w:pPr>
        <w:pStyle w:val="OutHead1"/>
        <w:numPr>
          <w:ilvl w:val="0"/>
          <w:numId w:val="0"/>
        </w:numPr>
        <w:rPr>
          <w:rFonts w:ascii="Arial" w:hAnsi="Arial" w:cs="Arial"/>
          <w:b/>
          <w:color w:val="auto"/>
          <w:sz w:val="22"/>
          <w:szCs w:val="22"/>
        </w:rPr>
      </w:pPr>
      <w:r w:rsidRPr="00104A66">
        <w:rPr>
          <w:rFonts w:ascii="Arial" w:hAnsi="Arial" w:cs="Arial"/>
          <w:bCs/>
          <w:sz w:val="22"/>
          <w:szCs w:val="22"/>
        </w:rPr>
        <w:t>1</w:t>
      </w:r>
      <w:r>
        <w:rPr>
          <w:rFonts w:ascii="Arial" w:hAnsi="Arial" w:cs="Arial"/>
          <w:bCs/>
          <w:sz w:val="22"/>
          <w:szCs w:val="22"/>
        </w:rPr>
        <w:t>1</w:t>
      </w:r>
      <w:r w:rsidRPr="00104A66">
        <w:rPr>
          <w:rFonts w:ascii="Arial" w:hAnsi="Arial" w:cs="Arial"/>
          <w:bCs/>
          <w:sz w:val="22"/>
          <w:szCs w:val="22"/>
        </w:rPr>
        <w:t xml:space="preserve">. </w:t>
      </w:r>
      <w:bookmarkStart w:id="0" w:name="_Ref38965208"/>
      <w:r w:rsidRPr="0045163A">
        <w:rPr>
          <w:rFonts w:ascii="Arial" w:hAnsi="Arial" w:cs="Arial"/>
          <w:color w:val="auto"/>
          <w:sz w:val="22"/>
          <w:szCs w:val="22"/>
        </w:rPr>
        <w:t>Technology Evolution</w:t>
      </w:r>
      <w:bookmarkEnd w:id="0"/>
      <w:r>
        <w:rPr>
          <w:rFonts w:ascii="Arial" w:hAnsi="Arial" w:cs="Arial"/>
          <w:color w:val="auto"/>
          <w:sz w:val="22"/>
          <w:szCs w:val="22"/>
        </w:rPr>
        <w:t>:</w:t>
      </w:r>
    </w:p>
    <w:p w14:paraId="4F72B92E" w14:textId="77777777" w:rsidR="0045163A" w:rsidRPr="0045163A" w:rsidRDefault="0045163A" w:rsidP="0045163A">
      <w:pPr>
        <w:pStyle w:val="ListParagraph"/>
        <w:numPr>
          <w:ilvl w:val="0"/>
          <w:numId w:val="23"/>
        </w:numPr>
        <w:spacing w:after="240"/>
        <w:contextualSpacing w:val="0"/>
        <w:jc w:val="both"/>
        <w:outlineLvl w:val="1"/>
        <w:rPr>
          <w:rFonts w:eastAsia="Times New Roman" w:cs="Arial"/>
          <w:vanish/>
        </w:rPr>
      </w:pPr>
    </w:p>
    <w:p w14:paraId="79F95C17" w14:textId="77777777" w:rsidR="0045163A" w:rsidRPr="0045163A" w:rsidRDefault="0045163A" w:rsidP="0045163A">
      <w:pPr>
        <w:pStyle w:val="ListParagraph"/>
        <w:numPr>
          <w:ilvl w:val="0"/>
          <w:numId w:val="23"/>
        </w:numPr>
        <w:spacing w:after="240"/>
        <w:contextualSpacing w:val="0"/>
        <w:jc w:val="both"/>
        <w:outlineLvl w:val="1"/>
        <w:rPr>
          <w:rFonts w:eastAsia="Times New Roman" w:cs="Arial"/>
          <w:vanish/>
        </w:rPr>
      </w:pPr>
    </w:p>
    <w:p w14:paraId="56B2549E" w14:textId="3128D387" w:rsidR="00997911" w:rsidRDefault="00EE3A8B" w:rsidP="00EE3A8B">
      <w:pPr>
        <w:pStyle w:val="OutHead2"/>
        <w:numPr>
          <w:ilvl w:val="0"/>
          <w:numId w:val="0"/>
        </w:numPr>
        <w:ind w:left="900" w:hanging="450"/>
        <w:rPr>
          <w:rFonts w:ascii="Arial" w:hAnsi="Arial" w:cs="Arial"/>
          <w:color w:val="auto"/>
          <w:sz w:val="22"/>
          <w:szCs w:val="22"/>
        </w:rPr>
      </w:pPr>
      <w:r>
        <w:rPr>
          <w:rFonts w:ascii="Arial" w:hAnsi="Arial" w:cs="Arial"/>
          <w:color w:val="auto"/>
          <w:sz w:val="22"/>
          <w:szCs w:val="22"/>
        </w:rPr>
        <w:t>11.1</w:t>
      </w:r>
      <w:r>
        <w:rPr>
          <w:rFonts w:ascii="Arial" w:hAnsi="Arial" w:cs="Arial"/>
          <w:color w:val="auto"/>
          <w:sz w:val="22"/>
          <w:szCs w:val="22"/>
        </w:rPr>
        <w:tab/>
      </w:r>
      <w:r w:rsidR="0045163A" w:rsidRPr="00EE3A8B">
        <w:rPr>
          <w:rFonts w:ascii="Arial" w:hAnsi="Arial" w:cs="Arial"/>
          <w:color w:val="auto"/>
          <w:sz w:val="22"/>
          <w:szCs w:val="22"/>
        </w:rPr>
        <w:t xml:space="preserve">In the normal course of technology evolution and enhancement, T-Mobile continually updates and upgrades its Services, </w:t>
      </w:r>
      <w:proofErr w:type="gramStart"/>
      <w:r w:rsidR="0045163A" w:rsidRPr="00EE3A8B">
        <w:rPr>
          <w:rFonts w:ascii="Arial" w:hAnsi="Arial" w:cs="Arial"/>
          <w:color w:val="auto"/>
          <w:sz w:val="22"/>
          <w:szCs w:val="22"/>
        </w:rPr>
        <w:t>Products</w:t>
      </w:r>
      <w:proofErr w:type="gramEnd"/>
      <w:r w:rsidR="0045163A" w:rsidRPr="00EE3A8B">
        <w:rPr>
          <w:rFonts w:ascii="Arial" w:hAnsi="Arial" w:cs="Arial"/>
          <w:color w:val="auto"/>
          <w:sz w:val="22"/>
          <w:szCs w:val="22"/>
        </w:rPr>
        <w:t xml:space="preserve"> and networks. In some instances, these efforts will result in the need to ultimately replace or discontinue certain offerings or technologies. In such event, T-Mobile will undertake such efforts in a customer-</w:t>
      </w:r>
      <w:r w:rsidR="0045163A" w:rsidRPr="00104A66">
        <w:rPr>
          <w:rFonts w:ascii="Arial" w:hAnsi="Arial" w:cs="Arial"/>
          <w:color w:val="auto"/>
          <w:sz w:val="22"/>
          <w:szCs w:val="22"/>
        </w:rPr>
        <w:t xml:space="preserve">focused and commercially reasonable manner. Accordingly and notwithstanding anything in the </w:t>
      </w:r>
      <w:r w:rsidR="0045163A">
        <w:rPr>
          <w:rFonts w:ascii="Arial" w:hAnsi="Arial" w:cs="Arial"/>
          <w:color w:val="auto"/>
          <w:sz w:val="22"/>
          <w:szCs w:val="22"/>
        </w:rPr>
        <w:t>PA</w:t>
      </w:r>
      <w:r w:rsidR="0045163A" w:rsidRPr="00104A66">
        <w:rPr>
          <w:rFonts w:ascii="Arial" w:hAnsi="Arial" w:cs="Arial"/>
          <w:color w:val="auto"/>
          <w:sz w:val="22"/>
          <w:szCs w:val="22"/>
        </w:rPr>
        <w:t xml:space="preserve"> to the contrary, T-Mobile reserves the right, in its sole discretion, after providing the notice set forth in subsection </w:t>
      </w:r>
      <w:r w:rsidR="0045163A">
        <w:rPr>
          <w:rFonts w:ascii="Arial" w:hAnsi="Arial" w:cs="Arial"/>
          <w:color w:val="auto"/>
          <w:sz w:val="22"/>
          <w:szCs w:val="22"/>
        </w:rPr>
        <w:t>11</w:t>
      </w:r>
      <w:r w:rsidR="0045163A" w:rsidRPr="00104A66">
        <w:rPr>
          <w:rFonts w:ascii="Arial" w:hAnsi="Arial" w:cs="Arial"/>
          <w:color w:val="auto"/>
          <w:sz w:val="22"/>
          <w:szCs w:val="22"/>
        </w:rPr>
        <w:t>.2 below, to</w:t>
      </w:r>
      <w:r w:rsidR="003F5B1F">
        <w:rPr>
          <w:rFonts w:ascii="Arial" w:hAnsi="Arial" w:cs="Arial"/>
          <w:color w:val="auto"/>
          <w:sz w:val="22"/>
          <w:szCs w:val="22"/>
        </w:rPr>
        <w:t xml:space="preserve"> (a) migrate Purchasing Entity to a</w:t>
      </w:r>
      <w:r w:rsidR="00984B49">
        <w:rPr>
          <w:rFonts w:ascii="Arial" w:hAnsi="Arial" w:cs="Arial"/>
          <w:color w:val="auto"/>
          <w:sz w:val="22"/>
          <w:szCs w:val="22"/>
        </w:rPr>
        <w:t xml:space="preserve"> mutually agreed upon</w:t>
      </w:r>
      <w:r w:rsidR="003F5B1F">
        <w:rPr>
          <w:rFonts w:ascii="Arial" w:hAnsi="Arial" w:cs="Arial"/>
          <w:color w:val="auto"/>
          <w:sz w:val="22"/>
          <w:szCs w:val="22"/>
        </w:rPr>
        <w:t xml:space="preserve"> replacement technology unless, within the notice period described in </w:t>
      </w:r>
      <w:r w:rsidR="003F5B1F">
        <w:rPr>
          <w:rFonts w:ascii="Arial" w:hAnsi="Arial" w:cs="Arial"/>
          <w:color w:val="auto"/>
          <w:sz w:val="22"/>
          <w:szCs w:val="22"/>
        </w:rPr>
        <w:lastRenderedPageBreak/>
        <w:t xml:space="preserve">subsection 11.2 below, the Purchasing Entity opts to discontinue its </w:t>
      </w:r>
      <w:r w:rsidR="001C213F">
        <w:rPr>
          <w:rFonts w:ascii="Arial" w:hAnsi="Arial" w:cs="Arial"/>
          <w:color w:val="auto"/>
          <w:sz w:val="22"/>
          <w:szCs w:val="22"/>
        </w:rPr>
        <w:t>Service, Product, network standard, or technology</w:t>
      </w:r>
      <w:r w:rsidR="003F5B1F">
        <w:rPr>
          <w:rFonts w:ascii="Arial" w:hAnsi="Arial" w:cs="Arial"/>
          <w:color w:val="auto"/>
          <w:sz w:val="22"/>
          <w:szCs w:val="22"/>
        </w:rPr>
        <w:t>; or (b)</w:t>
      </w:r>
      <w:r w:rsidR="0045163A" w:rsidRPr="00104A66">
        <w:rPr>
          <w:rFonts w:ascii="Arial" w:hAnsi="Arial" w:cs="Arial"/>
          <w:color w:val="auto"/>
          <w:sz w:val="22"/>
          <w:szCs w:val="22"/>
        </w:rPr>
        <w:t xml:space="preserve"> discontinue any Service, Product, network standard, or technology without </w:t>
      </w:r>
      <w:r w:rsidR="001F33D9">
        <w:rPr>
          <w:rFonts w:ascii="Arial" w:hAnsi="Arial" w:cs="Arial"/>
          <w:color w:val="auto"/>
          <w:sz w:val="22"/>
          <w:szCs w:val="22"/>
        </w:rPr>
        <w:t xml:space="preserve">replacement without </w:t>
      </w:r>
      <w:r w:rsidR="0045163A" w:rsidRPr="00104A66">
        <w:rPr>
          <w:rFonts w:ascii="Arial" w:hAnsi="Arial" w:cs="Arial"/>
          <w:color w:val="auto"/>
          <w:sz w:val="22"/>
          <w:szCs w:val="22"/>
        </w:rPr>
        <w:t xml:space="preserve">either party being in breach of the </w:t>
      </w:r>
      <w:r w:rsidR="0045163A">
        <w:rPr>
          <w:rFonts w:ascii="Arial" w:hAnsi="Arial" w:cs="Arial"/>
          <w:color w:val="auto"/>
          <w:sz w:val="22"/>
          <w:szCs w:val="22"/>
        </w:rPr>
        <w:t xml:space="preserve">PA </w:t>
      </w:r>
      <w:r w:rsidR="0045163A" w:rsidRPr="00104A66">
        <w:rPr>
          <w:rFonts w:ascii="Arial" w:hAnsi="Arial" w:cs="Arial"/>
          <w:color w:val="auto"/>
          <w:sz w:val="22"/>
          <w:szCs w:val="22"/>
        </w:rPr>
        <w:t>or incurring early termination liability relating to the discontinuance of the affected Service, Product, network standard, or technology</w:t>
      </w:r>
      <w:r w:rsidR="0074135D">
        <w:rPr>
          <w:rFonts w:ascii="Arial" w:hAnsi="Arial" w:cs="Arial"/>
          <w:color w:val="auto"/>
          <w:sz w:val="22"/>
          <w:szCs w:val="22"/>
        </w:rPr>
        <w:t>.</w:t>
      </w:r>
    </w:p>
    <w:p w14:paraId="1EBE8688" w14:textId="4FC59990" w:rsidR="0045163A" w:rsidRPr="00104A66" w:rsidRDefault="0045163A" w:rsidP="00EE3A8B">
      <w:pPr>
        <w:pStyle w:val="OutHead2"/>
        <w:numPr>
          <w:ilvl w:val="1"/>
          <w:numId w:val="24"/>
        </w:numPr>
        <w:spacing w:after="360"/>
        <w:ind w:left="900" w:hanging="540"/>
        <w:rPr>
          <w:rFonts w:ascii="Arial" w:hAnsi="Arial" w:cs="Arial"/>
          <w:color w:val="auto"/>
          <w:sz w:val="22"/>
          <w:szCs w:val="22"/>
        </w:rPr>
      </w:pPr>
      <w:bookmarkStart w:id="1" w:name="_Ref38965066"/>
      <w:r w:rsidRPr="00104A66">
        <w:rPr>
          <w:rFonts w:ascii="Arial" w:hAnsi="Arial" w:cs="Arial"/>
          <w:color w:val="auto"/>
          <w:sz w:val="22"/>
          <w:szCs w:val="22"/>
        </w:rPr>
        <w:t xml:space="preserve">If T-Mobile takes any action set forth in subsection </w:t>
      </w:r>
      <w:r>
        <w:rPr>
          <w:rFonts w:ascii="Arial" w:hAnsi="Arial" w:cs="Arial"/>
          <w:color w:val="auto"/>
          <w:sz w:val="22"/>
          <w:szCs w:val="22"/>
        </w:rPr>
        <w:t>11.1</w:t>
      </w:r>
      <w:r w:rsidRPr="00104A66">
        <w:rPr>
          <w:rFonts w:ascii="Arial" w:hAnsi="Arial" w:cs="Arial"/>
          <w:color w:val="auto"/>
          <w:sz w:val="22"/>
          <w:szCs w:val="22"/>
        </w:rPr>
        <w:t xml:space="preserve"> above, T-Mobile will provide </w:t>
      </w:r>
      <w:r>
        <w:rPr>
          <w:rFonts w:ascii="Arial" w:hAnsi="Arial" w:cs="Arial"/>
          <w:color w:val="auto"/>
          <w:sz w:val="22"/>
          <w:szCs w:val="22"/>
        </w:rPr>
        <w:t xml:space="preserve">no less than 60 days’ </w:t>
      </w:r>
      <w:r w:rsidRPr="00104A66">
        <w:rPr>
          <w:rFonts w:ascii="Arial" w:hAnsi="Arial" w:cs="Arial"/>
          <w:color w:val="auto"/>
          <w:sz w:val="22"/>
          <w:szCs w:val="22"/>
        </w:rPr>
        <w:t xml:space="preserve">advance notice reasonably designed to inform </w:t>
      </w:r>
      <w:r>
        <w:rPr>
          <w:rFonts w:ascii="Arial" w:hAnsi="Arial" w:cs="Arial"/>
          <w:color w:val="auto"/>
          <w:sz w:val="22"/>
          <w:szCs w:val="22"/>
        </w:rPr>
        <w:t>Purchasing Entity</w:t>
      </w:r>
      <w:r w:rsidRPr="00104A66">
        <w:rPr>
          <w:rFonts w:ascii="Arial" w:hAnsi="Arial" w:cs="Arial"/>
          <w:color w:val="auto"/>
          <w:sz w:val="22"/>
          <w:szCs w:val="22"/>
        </w:rPr>
        <w:t xml:space="preserve"> (if affected) of such pending action. The form of T-Mobile’s notice may include providing written notice to any address (a) T-Mobile uses for billing</w:t>
      </w:r>
      <w:r w:rsidR="007B2011">
        <w:rPr>
          <w:rFonts w:ascii="Arial" w:hAnsi="Arial" w:cs="Arial"/>
          <w:color w:val="auto"/>
          <w:sz w:val="22"/>
          <w:szCs w:val="22"/>
        </w:rPr>
        <w:t xml:space="preserve"> the Purchasing Entity</w:t>
      </w:r>
      <w:r w:rsidRPr="00104A66">
        <w:rPr>
          <w:rFonts w:ascii="Arial" w:hAnsi="Arial" w:cs="Arial"/>
          <w:color w:val="auto"/>
          <w:sz w:val="22"/>
          <w:szCs w:val="22"/>
        </w:rPr>
        <w:t>, (</w:t>
      </w:r>
      <w:r w:rsidR="007B2011">
        <w:rPr>
          <w:rFonts w:ascii="Arial" w:hAnsi="Arial" w:cs="Arial"/>
          <w:color w:val="auto"/>
          <w:sz w:val="22"/>
          <w:szCs w:val="22"/>
        </w:rPr>
        <w:t>b</w:t>
      </w:r>
      <w:r w:rsidRPr="00104A66">
        <w:rPr>
          <w:rFonts w:ascii="Arial" w:hAnsi="Arial" w:cs="Arial"/>
          <w:color w:val="auto"/>
          <w:sz w:val="22"/>
          <w:szCs w:val="22"/>
        </w:rPr>
        <w:t xml:space="preserve">) set forth in </w:t>
      </w:r>
      <w:r w:rsidR="007B2011">
        <w:rPr>
          <w:rFonts w:ascii="Arial" w:hAnsi="Arial" w:cs="Arial"/>
          <w:color w:val="auto"/>
          <w:sz w:val="22"/>
          <w:szCs w:val="22"/>
        </w:rPr>
        <w:t>Purchasing Entity’s</w:t>
      </w:r>
      <w:r w:rsidR="007B2011" w:rsidRPr="00104A66">
        <w:rPr>
          <w:rFonts w:ascii="Arial" w:hAnsi="Arial" w:cs="Arial"/>
          <w:color w:val="auto"/>
          <w:sz w:val="22"/>
          <w:szCs w:val="22"/>
        </w:rPr>
        <w:t xml:space="preserve"> </w:t>
      </w:r>
      <w:r w:rsidRPr="00104A66">
        <w:rPr>
          <w:rFonts w:ascii="Arial" w:hAnsi="Arial" w:cs="Arial"/>
          <w:color w:val="auto"/>
          <w:sz w:val="22"/>
          <w:szCs w:val="22"/>
        </w:rPr>
        <w:t>Order</w:t>
      </w:r>
      <w:r w:rsidR="007B2011">
        <w:rPr>
          <w:rFonts w:ascii="Arial" w:hAnsi="Arial" w:cs="Arial"/>
          <w:color w:val="auto"/>
          <w:sz w:val="22"/>
          <w:szCs w:val="22"/>
        </w:rPr>
        <w:t>, or, if (a) or (b) are unavailable, (c) listed in the PA for Participating Entity</w:t>
      </w:r>
      <w:r w:rsidRPr="00104A66">
        <w:rPr>
          <w:rFonts w:ascii="Arial" w:hAnsi="Arial" w:cs="Arial"/>
          <w:color w:val="auto"/>
          <w:sz w:val="22"/>
          <w:szCs w:val="22"/>
        </w:rPr>
        <w:t xml:space="preserve">. </w:t>
      </w:r>
      <w:bookmarkEnd w:id="1"/>
      <w:r w:rsidR="00D92337">
        <w:rPr>
          <w:rFonts w:ascii="Arial" w:hAnsi="Arial" w:cs="Arial"/>
          <w:color w:val="auto"/>
          <w:sz w:val="22"/>
          <w:szCs w:val="22"/>
        </w:rPr>
        <w:t xml:space="preserve"> </w:t>
      </w:r>
      <w:r w:rsidR="00D92337" w:rsidRPr="00104A66">
        <w:rPr>
          <w:rFonts w:ascii="Arial" w:hAnsi="Arial" w:cs="Arial"/>
          <w:color w:val="auto"/>
          <w:sz w:val="22"/>
          <w:szCs w:val="22"/>
        </w:rPr>
        <w:t>Customer agrees that such notice is reasonable and sufficient notice of T-Mobile’s pending action.</w:t>
      </w:r>
    </w:p>
    <w:p w14:paraId="1A792089" w14:textId="629F8EAC" w:rsidR="006404FF" w:rsidRDefault="00337953" w:rsidP="0045163A">
      <w:pPr>
        <w:spacing w:before="240" w:after="0"/>
        <w:jc w:val="both"/>
        <w:rPr>
          <w:rFonts w:cs="Arial"/>
        </w:rPr>
      </w:pPr>
      <w:r>
        <w:rPr>
          <w:rFonts w:cs="Arial"/>
          <w:bCs/>
        </w:rPr>
        <w:t>1</w:t>
      </w:r>
      <w:r w:rsidR="0045163A">
        <w:rPr>
          <w:rFonts w:cs="Arial"/>
          <w:bCs/>
        </w:rPr>
        <w:t>2</w:t>
      </w:r>
      <w:r>
        <w:rPr>
          <w:rFonts w:cs="Arial"/>
          <w:bCs/>
        </w:rPr>
        <w:t>.</w:t>
      </w:r>
      <w:r>
        <w:rPr>
          <w:rFonts w:cs="Arial"/>
          <w:bCs/>
        </w:rPr>
        <w:tab/>
      </w:r>
      <w:r w:rsidR="006C3F68">
        <w:rPr>
          <w:rFonts w:cs="Arial"/>
        </w:rPr>
        <w:t>Entire Agreement</w:t>
      </w:r>
      <w:r w:rsidR="00AF40E3">
        <w:rPr>
          <w:rFonts w:cs="Arial"/>
        </w:rPr>
        <w:t>:</w:t>
      </w:r>
    </w:p>
    <w:p w14:paraId="1139A60F" w14:textId="6BA44B43" w:rsidR="005450F1" w:rsidRDefault="005450F1" w:rsidP="00B07D14">
      <w:pPr>
        <w:spacing w:after="0"/>
        <w:jc w:val="both"/>
        <w:rPr>
          <w:rFonts w:cs="Arial"/>
        </w:rPr>
      </w:pPr>
    </w:p>
    <w:p w14:paraId="569049D6" w14:textId="786D8C27" w:rsidR="00F87E07" w:rsidRPr="00980906" w:rsidRDefault="00F87E07" w:rsidP="00F87E07">
      <w:pPr>
        <w:spacing w:after="0"/>
        <w:jc w:val="both"/>
        <w:rPr>
          <w:rFonts w:cs="Arial"/>
          <w:i/>
          <w:iCs/>
        </w:rPr>
      </w:pPr>
      <w:r w:rsidRPr="00980906">
        <w:rPr>
          <w:rFonts w:cs="Arial"/>
          <w:i/>
          <w:iCs/>
        </w:rPr>
        <w:t>Insert your State’s standard “Entire Agreement” provision, unless included in your Exhibit 1.</w:t>
      </w:r>
    </w:p>
    <w:p w14:paraId="18E843ED" w14:textId="0DBE3F55" w:rsidR="005450F1" w:rsidRDefault="005450F1" w:rsidP="00B07D14">
      <w:pPr>
        <w:spacing w:after="0"/>
        <w:jc w:val="both"/>
        <w:rPr>
          <w:rFonts w:cs="Arial"/>
          <w:i/>
          <w:iCs/>
        </w:rPr>
      </w:pPr>
    </w:p>
    <w:p w14:paraId="0497011C" w14:textId="59574777" w:rsidR="006E62D0" w:rsidRPr="00DF0AC2" w:rsidRDefault="000A5D79" w:rsidP="00B07D14">
      <w:pPr>
        <w:keepNext/>
        <w:keepLines/>
        <w:spacing w:after="240"/>
        <w:jc w:val="both"/>
        <w:rPr>
          <w:rFonts w:cs="Arial"/>
        </w:rPr>
      </w:pPr>
      <w:r w:rsidRPr="00DF0AC2">
        <w:rPr>
          <w:rFonts w:cs="Arial"/>
        </w:rPr>
        <w:t>T</w:t>
      </w:r>
      <w:r w:rsidR="006E62D0" w:rsidRPr="00DF0AC2">
        <w:rPr>
          <w:rFonts w:cs="Arial"/>
        </w:rPr>
        <w:t xml:space="preserve">he parties have executed this </w:t>
      </w:r>
      <w:r w:rsidRPr="00DF0AC2">
        <w:rPr>
          <w:rFonts w:cs="Arial"/>
        </w:rPr>
        <w:t xml:space="preserve">Participating </w:t>
      </w:r>
      <w:r w:rsidR="006E62D0" w:rsidRPr="00DF0AC2">
        <w:rPr>
          <w:rFonts w:cs="Arial"/>
        </w:rPr>
        <w:t xml:space="preserve">Addendum as of the date of </w:t>
      </w:r>
      <w:r w:rsidR="005D2822">
        <w:rPr>
          <w:rFonts w:cs="Arial"/>
        </w:rPr>
        <w:t xml:space="preserve">final </w:t>
      </w:r>
      <w:r w:rsidR="006E62D0" w:rsidRPr="00DF0AC2">
        <w:rPr>
          <w:rFonts w:cs="Arial"/>
        </w:rPr>
        <w:t>execution below</w:t>
      </w:r>
      <w:r w:rsidR="002718CA">
        <w:rPr>
          <w:rFonts w:cs="Arial"/>
        </w:rPr>
        <w:t xml:space="preserve"> (“PA Effective Date”)</w:t>
      </w:r>
      <w:r w:rsidR="006E62D0" w:rsidRPr="00DF0AC2">
        <w:rPr>
          <w:rFonts w:cs="Arial"/>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DF0AC2" w14:paraId="4000905D" w14:textId="77777777" w:rsidTr="002F4F90">
        <w:tc>
          <w:tcPr>
            <w:tcW w:w="4682" w:type="dxa"/>
          </w:tcPr>
          <w:p w14:paraId="30124B57" w14:textId="77777777" w:rsidR="006E62D0" w:rsidRPr="00DF0AC2" w:rsidRDefault="006E62D0" w:rsidP="00B07D14">
            <w:pPr>
              <w:keepNext/>
              <w:keepLines/>
              <w:rPr>
                <w:rFonts w:cs="Arial"/>
              </w:rPr>
            </w:pPr>
            <w:r w:rsidRPr="00DF0AC2">
              <w:rPr>
                <w:rFonts w:cs="Arial"/>
              </w:rPr>
              <w:t xml:space="preserve">Participating </w:t>
            </w:r>
            <w:r w:rsidR="00F01753" w:rsidRPr="00DF0AC2">
              <w:rPr>
                <w:rFonts w:cs="Arial"/>
              </w:rPr>
              <w:t>Entity</w:t>
            </w:r>
            <w:r w:rsidRPr="00DF0AC2">
              <w:rPr>
                <w:rFonts w:cs="Arial"/>
              </w:rPr>
              <w:t>:</w:t>
            </w:r>
          </w:p>
          <w:p w14:paraId="48E11CF9" w14:textId="77777777" w:rsidR="006E62D0" w:rsidRPr="00DF0AC2" w:rsidRDefault="006E62D0" w:rsidP="00B07D14">
            <w:pPr>
              <w:keepNext/>
              <w:keepLines/>
              <w:rPr>
                <w:rFonts w:cs="Arial"/>
              </w:rPr>
            </w:pPr>
          </w:p>
        </w:tc>
        <w:tc>
          <w:tcPr>
            <w:tcW w:w="4668" w:type="dxa"/>
          </w:tcPr>
          <w:p w14:paraId="7F216A86" w14:textId="5711C071" w:rsidR="006E62D0" w:rsidRPr="00DF0AC2" w:rsidRDefault="006E62D0" w:rsidP="00B07D14">
            <w:pPr>
              <w:keepNext/>
              <w:keepLines/>
              <w:rPr>
                <w:rFonts w:cs="Arial"/>
              </w:rPr>
            </w:pPr>
            <w:r w:rsidRPr="00DF0AC2">
              <w:rPr>
                <w:rFonts w:cs="Arial"/>
              </w:rPr>
              <w:t>Contractor:</w:t>
            </w:r>
            <w:r w:rsidR="00BC1966">
              <w:rPr>
                <w:rFonts w:cs="Arial"/>
              </w:rPr>
              <w:t xml:space="preserve"> T-Mobile USA, Inc.</w:t>
            </w:r>
          </w:p>
        </w:tc>
      </w:tr>
      <w:tr w:rsidR="006E62D0" w:rsidRPr="00DF0AC2" w14:paraId="146EB749" w14:textId="77777777" w:rsidTr="002F4F90">
        <w:tc>
          <w:tcPr>
            <w:tcW w:w="4682" w:type="dxa"/>
          </w:tcPr>
          <w:p w14:paraId="70AF1906" w14:textId="77777777" w:rsidR="006E62D0" w:rsidRPr="00DF0AC2" w:rsidRDefault="006E62D0" w:rsidP="00B07D14">
            <w:pPr>
              <w:keepNext/>
              <w:keepLines/>
              <w:rPr>
                <w:rFonts w:cs="Arial"/>
              </w:rPr>
            </w:pPr>
            <w:r w:rsidRPr="00DF0AC2">
              <w:rPr>
                <w:rFonts w:cs="Arial"/>
              </w:rPr>
              <w:t>Signature:</w:t>
            </w:r>
          </w:p>
          <w:p w14:paraId="5A20F9D8" w14:textId="77777777" w:rsidR="006E62D0" w:rsidRPr="00DF0AC2" w:rsidRDefault="006E62D0" w:rsidP="00B07D14">
            <w:pPr>
              <w:keepNext/>
              <w:keepLines/>
              <w:rPr>
                <w:rFonts w:cs="Arial"/>
              </w:rPr>
            </w:pPr>
          </w:p>
        </w:tc>
        <w:tc>
          <w:tcPr>
            <w:tcW w:w="4668" w:type="dxa"/>
          </w:tcPr>
          <w:p w14:paraId="3E1DB327" w14:textId="77777777" w:rsidR="006E62D0" w:rsidRPr="00DF0AC2" w:rsidRDefault="006E62D0" w:rsidP="00B07D14">
            <w:pPr>
              <w:keepNext/>
              <w:keepLines/>
              <w:rPr>
                <w:rFonts w:cs="Arial"/>
              </w:rPr>
            </w:pPr>
            <w:r w:rsidRPr="00DF0AC2">
              <w:rPr>
                <w:rFonts w:cs="Arial"/>
              </w:rPr>
              <w:t>Signature:</w:t>
            </w:r>
          </w:p>
        </w:tc>
      </w:tr>
      <w:tr w:rsidR="006E62D0" w:rsidRPr="00DF0AC2" w14:paraId="347384CA" w14:textId="77777777" w:rsidTr="002F4F90">
        <w:tc>
          <w:tcPr>
            <w:tcW w:w="4682" w:type="dxa"/>
          </w:tcPr>
          <w:p w14:paraId="767A365F" w14:textId="18BFC903" w:rsidR="006E62D0" w:rsidRPr="00DF0AC2" w:rsidRDefault="000A5D79" w:rsidP="00B07D14">
            <w:pPr>
              <w:keepNext/>
              <w:keepLines/>
              <w:rPr>
                <w:rFonts w:cs="Arial"/>
              </w:rPr>
            </w:pPr>
            <w:r w:rsidRPr="00DF0AC2">
              <w:rPr>
                <w:rFonts w:cs="Arial"/>
              </w:rPr>
              <w:t xml:space="preserve">Printed </w:t>
            </w:r>
            <w:r w:rsidR="006E62D0" w:rsidRPr="00DF0AC2">
              <w:rPr>
                <w:rFonts w:cs="Arial"/>
              </w:rPr>
              <w:t>Name:</w:t>
            </w:r>
          </w:p>
          <w:p w14:paraId="05AB3421" w14:textId="77777777" w:rsidR="006E62D0" w:rsidRPr="00DF0AC2" w:rsidRDefault="006E62D0" w:rsidP="00B07D14">
            <w:pPr>
              <w:keepNext/>
              <w:keepLines/>
              <w:rPr>
                <w:rFonts w:cs="Arial"/>
              </w:rPr>
            </w:pPr>
          </w:p>
        </w:tc>
        <w:tc>
          <w:tcPr>
            <w:tcW w:w="4668" w:type="dxa"/>
          </w:tcPr>
          <w:p w14:paraId="13FB8D97" w14:textId="02BB2615" w:rsidR="006E62D0" w:rsidRPr="00DF0AC2" w:rsidRDefault="000A5D79" w:rsidP="00B07D14">
            <w:pPr>
              <w:keepNext/>
              <w:keepLines/>
              <w:rPr>
                <w:rFonts w:cs="Arial"/>
              </w:rPr>
            </w:pPr>
            <w:r w:rsidRPr="00DF0AC2">
              <w:rPr>
                <w:rFonts w:cs="Arial"/>
              </w:rPr>
              <w:t xml:space="preserve">Printed </w:t>
            </w:r>
            <w:r w:rsidR="006E62D0" w:rsidRPr="00DF0AC2">
              <w:rPr>
                <w:rFonts w:cs="Arial"/>
              </w:rPr>
              <w:t>Name:</w:t>
            </w:r>
          </w:p>
        </w:tc>
      </w:tr>
      <w:tr w:rsidR="006E62D0" w:rsidRPr="00DF0AC2" w14:paraId="4A07FC07" w14:textId="77777777" w:rsidTr="002F4F90">
        <w:tc>
          <w:tcPr>
            <w:tcW w:w="4682" w:type="dxa"/>
          </w:tcPr>
          <w:p w14:paraId="4EBA164B" w14:textId="77777777" w:rsidR="006E62D0" w:rsidRPr="00DF0AC2" w:rsidRDefault="006E62D0" w:rsidP="00B07D14">
            <w:pPr>
              <w:keepNext/>
              <w:keepLines/>
              <w:rPr>
                <w:rFonts w:cs="Arial"/>
              </w:rPr>
            </w:pPr>
            <w:r w:rsidRPr="00DF0AC2">
              <w:rPr>
                <w:rFonts w:cs="Arial"/>
              </w:rPr>
              <w:t>Title:</w:t>
            </w:r>
          </w:p>
          <w:p w14:paraId="53F61E13" w14:textId="77777777" w:rsidR="006E62D0" w:rsidRPr="00DF0AC2" w:rsidRDefault="006E62D0" w:rsidP="00B07D14">
            <w:pPr>
              <w:keepNext/>
              <w:keepLines/>
              <w:rPr>
                <w:rFonts w:cs="Arial"/>
              </w:rPr>
            </w:pPr>
          </w:p>
        </w:tc>
        <w:tc>
          <w:tcPr>
            <w:tcW w:w="4668" w:type="dxa"/>
          </w:tcPr>
          <w:p w14:paraId="23ECAF26" w14:textId="77777777" w:rsidR="006E62D0" w:rsidRPr="00DF0AC2" w:rsidRDefault="006E62D0" w:rsidP="00B07D14">
            <w:pPr>
              <w:keepNext/>
              <w:keepLines/>
              <w:rPr>
                <w:rFonts w:cs="Arial"/>
              </w:rPr>
            </w:pPr>
            <w:r w:rsidRPr="00DF0AC2">
              <w:rPr>
                <w:rFonts w:cs="Arial"/>
              </w:rPr>
              <w:t>Title:</w:t>
            </w:r>
          </w:p>
        </w:tc>
      </w:tr>
      <w:tr w:rsidR="006E62D0" w:rsidRPr="00DF0AC2" w14:paraId="7E2509ED" w14:textId="77777777" w:rsidTr="002F4F90">
        <w:tc>
          <w:tcPr>
            <w:tcW w:w="4682" w:type="dxa"/>
          </w:tcPr>
          <w:p w14:paraId="2F5C6D5D" w14:textId="77777777" w:rsidR="006E62D0" w:rsidRPr="00DF0AC2" w:rsidRDefault="006E62D0" w:rsidP="00B07D14">
            <w:pPr>
              <w:keepNext/>
              <w:keepLines/>
              <w:rPr>
                <w:rFonts w:cs="Arial"/>
              </w:rPr>
            </w:pPr>
            <w:r w:rsidRPr="00DF0AC2">
              <w:rPr>
                <w:rFonts w:cs="Arial"/>
              </w:rPr>
              <w:t>Date:</w:t>
            </w:r>
          </w:p>
          <w:p w14:paraId="07DC53F1" w14:textId="77777777" w:rsidR="006E62D0" w:rsidRPr="00DF0AC2" w:rsidRDefault="006E62D0" w:rsidP="00B07D14">
            <w:pPr>
              <w:keepNext/>
              <w:keepLines/>
              <w:rPr>
                <w:rFonts w:cs="Arial"/>
              </w:rPr>
            </w:pPr>
          </w:p>
        </w:tc>
        <w:tc>
          <w:tcPr>
            <w:tcW w:w="4668" w:type="dxa"/>
          </w:tcPr>
          <w:p w14:paraId="2A8CFF25" w14:textId="77777777" w:rsidR="006E62D0" w:rsidRPr="00DF0AC2" w:rsidRDefault="006E62D0" w:rsidP="00B07D14">
            <w:pPr>
              <w:keepNext/>
              <w:keepLines/>
              <w:rPr>
                <w:rFonts w:cs="Arial"/>
              </w:rPr>
            </w:pPr>
            <w:r w:rsidRPr="00DF0AC2">
              <w:rPr>
                <w:rFonts w:cs="Arial"/>
              </w:rPr>
              <w:t>Date:</w:t>
            </w:r>
          </w:p>
        </w:tc>
      </w:tr>
      <w:tr w:rsidR="00257349" w:rsidRPr="00DF0AC2" w14:paraId="1AD03DE1" w14:textId="77777777" w:rsidTr="002F4F90">
        <w:tc>
          <w:tcPr>
            <w:tcW w:w="4682" w:type="dxa"/>
          </w:tcPr>
          <w:p w14:paraId="6AF71D78" w14:textId="77777777" w:rsidR="00257349" w:rsidRPr="00DF0AC2" w:rsidRDefault="00257349" w:rsidP="00B07D14">
            <w:pPr>
              <w:keepNext/>
              <w:keepLines/>
              <w:rPr>
                <w:rFonts w:cs="Arial"/>
              </w:rPr>
            </w:pPr>
          </w:p>
        </w:tc>
        <w:tc>
          <w:tcPr>
            <w:tcW w:w="4668" w:type="dxa"/>
          </w:tcPr>
          <w:p w14:paraId="41E2B110" w14:textId="77777777" w:rsidR="00257349" w:rsidRDefault="00257349" w:rsidP="00257349">
            <w:pPr>
              <w:keepNext/>
              <w:keepLines/>
              <w:spacing w:after="0"/>
              <w:rPr>
                <w:rFonts w:cs="Arial"/>
              </w:rPr>
            </w:pPr>
            <w:r>
              <w:rPr>
                <w:rFonts w:cs="Arial"/>
              </w:rPr>
              <w:t>Legal Approved by:</w:t>
            </w:r>
          </w:p>
          <w:p w14:paraId="30AF81DD" w14:textId="77777777" w:rsidR="00257349" w:rsidRDefault="00257349" w:rsidP="00257349">
            <w:pPr>
              <w:keepNext/>
              <w:keepLines/>
              <w:spacing w:after="0"/>
              <w:rPr>
                <w:rFonts w:cs="Arial"/>
              </w:rPr>
            </w:pPr>
            <w:r>
              <w:rPr>
                <w:rFonts w:cs="Arial"/>
              </w:rPr>
              <w:t>________________________________</w:t>
            </w:r>
          </w:p>
          <w:p w14:paraId="25326EC5" w14:textId="5815C6F6" w:rsidR="00257349" w:rsidRPr="00DF0AC2" w:rsidRDefault="00257349" w:rsidP="00257349">
            <w:pPr>
              <w:keepNext/>
              <w:keepLines/>
              <w:spacing w:after="0"/>
              <w:rPr>
                <w:rFonts w:cs="Arial"/>
              </w:rPr>
            </w:pPr>
            <w:r>
              <w:rPr>
                <w:rFonts w:cs="Arial"/>
              </w:rPr>
              <w:t>T-Mobile USA, Inc. Legal Department</w:t>
            </w:r>
          </w:p>
        </w:tc>
      </w:tr>
    </w:tbl>
    <w:p w14:paraId="47CA4F00" w14:textId="65E6435E" w:rsidR="00DE3119" w:rsidRPr="0017785A" w:rsidRDefault="006E62D0" w:rsidP="0017785A">
      <w:pPr>
        <w:spacing w:before="120"/>
        <w:jc w:val="center"/>
        <w:rPr>
          <w:rFonts w:cs="Arial"/>
          <w:i/>
        </w:rPr>
      </w:pPr>
      <w:r w:rsidRPr="00DF0AC2">
        <w:rPr>
          <w:rFonts w:cs="Arial"/>
          <w:i/>
        </w:rPr>
        <w:t xml:space="preserve">[Additional signatures may be added if required by the Participating </w:t>
      </w:r>
      <w:r w:rsidR="00F01753" w:rsidRPr="00DF0AC2">
        <w:rPr>
          <w:rFonts w:cs="Arial"/>
          <w:i/>
        </w:rPr>
        <w:t>Entity</w:t>
      </w:r>
      <w:r w:rsidRPr="00DF0AC2">
        <w:rPr>
          <w:rFonts w:cs="Arial"/>
          <w:i/>
        </w:rPr>
        <w:t>]</w:t>
      </w:r>
    </w:p>
    <w:p w14:paraId="4089189C" w14:textId="77777777" w:rsidR="005D2822" w:rsidRDefault="005D2822" w:rsidP="0071041E">
      <w:pPr>
        <w:keepNext/>
        <w:keepLines/>
        <w:rPr>
          <w:rFonts w:cs="Arial"/>
        </w:rPr>
      </w:pPr>
    </w:p>
    <w:p w14:paraId="01BA6B79" w14:textId="5A5B58C3" w:rsidR="006E62D0" w:rsidRPr="00DF0AC2" w:rsidRDefault="006E62D0" w:rsidP="0071041E">
      <w:pPr>
        <w:keepNext/>
        <w:keepLines/>
        <w:rPr>
          <w:rFonts w:cs="Arial"/>
        </w:rPr>
      </w:pPr>
      <w:r w:rsidRPr="00DF0AC2">
        <w:rPr>
          <w:rFonts w:cs="Arial"/>
        </w:rPr>
        <w:t xml:space="preserve">For questions on </w:t>
      </w:r>
      <w:r w:rsidR="0071041E" w:rsidRPr="00DF0AC2">
        <w:rPr>
          <w:rFonts w:cs="Arial"/>
        </w:rPr>
        <w:t xml:space="preserve">the Participating Addendum or NASPO </w:t>
      </w:r>
      <w:proofErr w:type="spellStart"/>
      <w:r w:rsidR="0071041E" w:rsidRPr="00DF0AC2">
        <w:rPr>
          <w:rFonts w:cs="Arial"/>
        </w:rPr>
        <w:t>ValuePoint</w:t>
      </w:r>
      <w:proofErr w:type="spellEnd"/>
      <w:r w:rsidR="0071041E" w:rsidRPr="00DF0AC2">
        <w:rPr>
          <w:rFonts w:cs="Arial"/>
        </w:rPr>
        <w:t xml:space="preserve"> cooperative contracting process, </w:t>
      </w:r>
      <w:r w:rsidRPr="00DF0AC2">
        <w:rPr>
          <w:rFonts w:cs="Arial"/>
        </w:rPr>
        <w:t>please contact</w:t>
      </w:r>
      <w:r w:rsidR="005D2822">
        <w:rPr>
          <w:rFonts w:cs="Arial"/>
        </w:rPr>
        <w:t xml:space="preserve"> the NASPO </w:t>
      </w:r>
      <w:proofErr w:type="spellStart"/>
      <w:r w:rsidR="005D2822">
        <w:rPr>
          <w:rFonts w:cs="Arial"/>
        </w:rPr>
        <w:t>ValuePoint</w:t>
      </w:r>
      <w:proofErr w:type="spellEnd"/>
      <w:r w:rsidR="005D2822">
        <w:rPr>
          <w:rFonts w:cs="Arial"/>
        </w:rPr>
        <w:t xml:space="preserve"> Cooperative Contract Coordinator assigned to this Portfolio, as provided on this Portfolio’s webpage at </w:t>
      </w:r>
      <w:hyperlink r:id="rId11" w:history="1">
        <w:r w:rsidR="005D2822" w:rsidRPr="00391946">
          <w:rPr>
            <w:rStyle w:val="Hyperlink"/>
            <w:rFonts w:cs="Arial"/>
          </w:rPr>
          <w:t>www.naspovaluepoint.org</w:t>
        </w:r>
      </w:hyperlink>
      <w:r w:rsidR="005D2822">
        <w:rPr>
          <w:rFonts w:cs="Arial"/>
        </w:rPr>
        <w:t xml:space="preserve"> or the NASPO </w:t>
      </w:r>
      <w:proofErr w:type="spellStart"/>
      <w:r w:rsidR="005D2822">
        <w:rPr>
          <w:rFonts w:cs="Arial"/>
        </w:rPr>
        <w:t>ValuePoint</w:t>
      </w:r>
      <w:proofErr w:type="spellEnd"/>
      <w:r w:rsidR="005D2822">
        <w:rPr>
          <w:rFonts w:cs="Arial"/>
        </w:rPr>
        <w:t xml:space="preserve"> team at </w:t>
      </w:r>
      <w:hyperlink r:id="rId12" w:history="1">
        <w:r w:rsidR="005D2822" w:rsidRPr="00391946">
          <w:rPr>
            <w:rStyle w:val="Hyperlink"/>
            <w:rFonts w:cs="Arial"/>
          </w:rPr>
          <w:t>ccc@naspovaluepoint.org</w:t>
        </w:r>
      </w:hyperlink>
      <w:r w:rsidR="005D2822">
        <w:rPr>
          <w:rFonts w:cs="Arial"/>
        </w:rPr>
        <w:t>.</w:t>
      </w:r>
    </w:p>
    <w:p w14:paraId="7664ABBC" w14:textId="77777777" w:rsidR="003167DD" w:rsidRDefault="003167DD" w:rsidP="003167DD">
      <w:pPr>
        <w:rPr>
          <w:rFonts w:cs="Arial"/>
          <w:b/>
          <w:bCs/>
        </w:rPr>
      </w:pPr>
    </w:p>
    <w:p w14:paraId="1DC2B4C9" w14:textId="162BDB2B" w:rsidR="00740399" w:rsidRPr="0017785A" w:rsidRDefault="003167DD" w:rsidP="0017785A">
      <w:pPr>
        <w:jc w:val="center"/>
        <w:rPr>
          <w:rFonts w:cs="Arial"/>
          <w:b/>
          <w:bCs/>
        </w:rPr>
      </w:pPr>
      <w:r>
        <w:rPr>
          <w:rFonts w:cs="Arial"/>
          <w:b/>
          <w:bCs/>
        </w:rPr>
        <w:t>***Attach Exhibit 1</w:t>
      </w:r>
      <w:r w:rsidR="00740399">
        <w:rPr>
          <w:rFonts w:cs="Arial"/>
          <w:b/>
          <w:bCs/>
        </w:rPr>
        <w:t xml:space="preserve"> if necessary</w:t>
      </w:r>
      <w:r>
        <w:rPr>
          <w:rFonts w:cs="Arial"/>
          <w:b/>
          <w:bCs/>
        </w:rPr>
        <w:t xml:space="preserve"> – Participating Entity Modifications or Additions***</w:t>
      </w:r>
    </w:p>
    <w:p w14:paraId="63D68A2C" w14:textId="08B34260" w:rsidR="00FF71F6" w:rsidRPr="00DF0AC2" w:rsidRDefault="00A23F28" w:rsidP="00D23B77">
      <w:pPr>
        <w:spacing w:after="160" w:line="259" w:lineRule="auto"/>
        <w:jc w:val="center"/>
        <w:rPr>
          <w:rFonts w:cs="Arial"/>
          <w:b/>
          <w:i/>
        </w:rPr>
      </w:pPr>
      <w:r w:rsidRPr="00DF0AC2">
        <w:rPr>
          <w:rFonts w:cs="Arial"/>
          <w:b/>
          <w:i/>
        </w:rPr>
        <w:t>Contractor</w:t>
      </w:r>
      <w:r w:rsidR="00740399">
        <w:rPr>
          <w:rFonts w:cs="Arial"/>
          <w:b/>
          <w:i/>
        </w:rPr>
        <w:t xml:space="preserve"> - </w:t>
      </w:r>
      <w:r w:rsidR="006E62D0" w:rsidRPr="00DF0AC2">
        <w:rPr>
          <w:rFonts w:cs="Arial"/>
          <w:b/>
          <w:i/>
        </w:rPr>
        <w:t xml:space="preserve">email </w:t>
      </w:r>
      <w:r w:rsidRPr="00DF0AC2">
        <w:rPr>
          <w:rFonts w:cs="Arial"/>
          <w:b/>
          <w:i/>
        </w:rPr>
        <w:t xml:space="preserve">a </w:t>
      </w:r>
      <w:r w:rsidR="006E62D0" w:rsidRPr="00DF0AC2">
        <w:rPr>
          <w:rFonts w:cs="Arial"/>
          <w:b/>
          <w:i/>
        </w:rPr>
        <w:t>fully executed PDF copy of this document to</w:t>
      </w:r>
      <w:r w:rsidR="00740399">
        <w:rPr>
          <w:rFonts w:cs="Arial"/>
          <w:b/>
          <w:i/>
        </w:rPr>
        <w:t>:</w:t>
      </w:r>
    </w:p>
    <w:p w14:paraId="0132B590" w14:textId="77777777" w:rsidR="00257349" w:rsidRPr="00DF0AC2" w:rsidRDefault="00257349" w:rsidP="00257349">
      <w:pPr>
        <w:keepNext/>
        <w:keepLines/>
        <w:pBdr>
          <w:top w:val="single" w:sz="4" w:space="1" w:color="auto"/>
          <w:left w:val="single" w:sz="4" w:space="4" w:color="auto"/>
          <w:bottom w:val="single" w:sz="4" w:space="1" w:color="auto"/>
          <w:right w:val="single" w:sz="4" w:space="31" w:color="auto"/>
        </w:pBdr>
        <w:spacing w:after="0"/>
        <w:ind w:left="1440" w:right="2160"/>
        <w:jc w:val="center"/>
        <w:rPr>
          <w:rFonts w:cs="Arial"/>
          <w:b/>
          <w:i/>
        </w:rPr>
      </w:pPr>
      <w:r>
        <w:rPr>
          <w:rFonts w:cs="Arial"/>
          <w:b/>
          <w:i/>
        </w:rPr>
        <w:t>T</w:t>
      </w:r>
      <w:r w:rsidRPr="00DF0AC2">
        <w:rPr>
          <w:rFonts w:cs="Arial"/>
          <w:b/>
          <w:i/>
        </w:rPr>
        <w:t>o support documentation of participation and posting in appropriate databases</w:t>
      </w:r>
    </w:p>
    <w:p w14:paraId="3D0ED57F" w14:textId="62899798" w:rsidR="00257349" w:rsidRPr="00DF0AC2" w:rsidRDefault="008C2CEF" w:rsidP="00257349">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hyperlink r:id="rId13" w:history="1">
        <w:r w:rsidR="00257349" w:rsidRPr="00DF0AC2">
          <w:rPr>
            <w:rStyle w:val="Hyperlink"/>
            <w:rFonts w:cs="Arial"/>
            <w:b/>
            <w:i/>
            <w:color w:val="2E74B5" w:themeColor="accent1" w:themeShade="BF"/>
          </w:rPr>
          <w:t>PA@naspovaluepoint.org</w:t>
        </w:r>
      </w:hyperlink>
    </w:p>
    <w:sectPr w:rsidR="00257349" w:rsidRPr="00DF0AC2" w:rsidSect="00274D34">
      <w:headerReference w:type="default" r:id="rId14"/>
      <w:footerReference w:type="default" r:id="rId15"/>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635EB" w14:textId="77777777" w:rsidR="008C2CEF" w:rsidRDefault="008C2CEF" w:rsidP="00ED2DF2">
      <w:pPr>
        <w:spacing w:after="0"/>
      </w:pPr>
      <w:r>
        <w:separator/>
      </w:r>
    </w:p>
  </w:endnote>
  <w:endnote w:type="continuationSeparator" w:id="0">
    <w:p w14:paraId="208C9109" w14:textId="77777777" w:rsidR="008C2CEF" w:rsidRDefault="008C2CEF"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03861DD3" w14:textId="205F34A8" w:rsidR="002F4F90" w:rsidRPr="00A63102" w:rsidRDefault="002F4F90"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EE3A8B">
              <w:rPr>
                <w:noProof/>
                <w:sz w:val="20"/>
                <w:szCs w:val="20"/>
              </w:rPr>
              <w:t>5</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EE3A8B">
              <w:rPr>
                <w:noProof/>
                <w:sz w:val="20"/>
                <w:szCs w:val="20"/>
              </w:rPr>
              <w:t>5</w:t>
            </w:r>
            <w:r w:rsidRPr="00A63102">
              <w:rPr>
                <w:sz w:val="20"/>
                <w:szCs w:val="20"/>
              </w:rPr>
              <w:fldChar w:fldCharType="end"/>
            </w:r>
          </w:p>
        </w:sdtContent>
      </w:sdt>
    </w:sdtContent>
  </w:sdt>
  <w:p w14:paraId="4B32D80E" w14:textId="77777777" w:rsidR="002F4F90" w:rsidRDefault="002F4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D72F16" w14:textId="77777777" w:rsidR="008C2CEF" w:rsidRDefault="008C2CEF" w:rsidP="00ED2DF2">
      <w:pPr>
        <w:spacing w:after="0"/>
      </w:pPr>
      <w:r>
        <w:separator/>
      </w:r>
    </w:p>
  </w:footnote>
  <w:footnote w:type="continuationSeparator" w:id="0">
    <w:p w14:paraId="3F52988F" w14:textId="77777777" w:rsidR="008C2CEF" w:rsidRDefault="008C2CEF"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C1572" w14:textId="4500C3C7" w:rsidR="002F4F90" w:rsidRDefault="002F4F90" w:rsidP="00ED2DF2">
    <w:pPr>
      <w:pStyle w:val="Header"/>
      <w:tabs>
        <w:tab w:val="clear" w:pos="4680"/>
      </w:tabs>
    </w:pPr>
    <w:r>
      <w:t>NASPO ValuePoint</w:t>
    </w:r>
    <w:r>
      <w:tab/>
    </w:r>
    <w:r>
      <w:rPr>
        <w:noProof/>
      </w:rPr>
      <w:drawing>
        <wp:inline distT="0" distB="0" distL="0" distR="0" wp14:anchorId="64F68713" wp14:editId="7623A2C8">
          <wp:extent cx="2330140" cy="4318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6198" cy="442188"/>
                  </a:xfrm>
                  <a:prstGeom prst="rect">
                    <a:avLst/>
                  </a:prstGeom>
                  <a:noFill/>
                  <a:ln>
                    <a:noFill/>
                  </a:ln>
                </pic:spPr>
              </pic:pic>
            </a:graphicData>
          </a:graphic>
        </wp:inline>
      </w:drawing>
    </w:r>
  </w:p>
  <w:p w14:paraId="00BF8D8F" w14:textId="1465ED40" w:rsidR="002F4F90" w:rsidRPr="00274D34" w:rsidRDefault="002F4F90" w:rsidP="00274D34">
    <w:pPr>
      <w:pStyle w:val="Header"/>
      <w:spacing w:after="240"/>
      <w:rPr>
        <w:rStyle w:val="Strong"/>
      </w:rPr>
    </w:pPr>
    <w:r w:rsidRPr="00283F55">
      <w:rPr>
        <w:rStyle w:val="Strong"/>
      </w:rPr>
      <w:t>PARTICIPATING</w:t>
    </w:r>
    <w:r w:rsidRPr="00274D34">
      <w:rPr>
        <w:rStyle w:val="Strong"/>
      </w:rPr>
      <w:t xml:space="preserve"> ADDENDUM</w:t>
    </w:r>
  </w:p>
  <w:p w14:paraId="4FA663F1" w14:textId="16094F66" w:rsidR="002F4F90" w:rsidRPr="00274D34" w:rsidRDefault="002F4F90" w:rsidP="00274D34">
    <w:pPr>
      <w:spacing w:after="0"/>
      <w:rPr>
        <w:rStyle w:val="Strong"/>
      </w:rPr>
    </w:pPr>
    <w:r>
      <w:rPr>
        <w:rStyle w:val="Strong"/>
      </w:rPr>
      <w:t>wireless, data, voice and accessories</w:t>
    </w:r>
  </w:p>
  <w:p w14:paraId="3D54E8D9" w14:textId="04020D6B" w:rsidR="002F4F90" w:rsidRPr="008C05CC" w:rsidRDefault="002F4F90" w:rsidP="00283F55">
    <w:pPr>
      <w:spacing w:after="0"/>
      <w:rPr>
        <w:bCs/>
      </w:rPr>
    </w:pPr>
    <w:r>
      <w:t xml:space="preserve">Led by the state of </w:t>
    </w:r>
    <w:r>
      <w:rPr>
        <w:bCs/>
      </w:rPr>
      <w:t>Utah</w:t>
    </w:r>
  </w:p>
  <w:p w14:paraId="7D759908" w14:textId="77777777" w:rsidR="002F4F90" w:rsidRPr="00274D34" w:rsidRDefault="002F4F90"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63E30"/>
    <w:multiLevelType w:val="multilevel"/>
    <w:tmpl w:val="4684B262"/>
    <w:name w:val="OutHead1"/>
    <w:lvl w:ilvl="0">
      <w:start w:val="1"/>
      <w:numFmt w:val="decimal"/>
      <w:pStyle w:val="OutHead1"/>
      <w:lvlText w:val="%1."/>
      <w:lvlJc w:val="left"/>
      <w:pPr>
        <w:tabs>
          <w:tab w:val="num" w:pos="720"/>
        </w:tabs>
        <w:ind w:left="0" w:firstLine="0"/>
      </w:pPr>
      <w:rPr>
        <w:rFonts w:ascii="Calibri" w:hAnsi="Calibri" w:cs="Times New Roman" w:hint="default"/>
        <w:b/>
        <w:i w:val="0"/>
        <w:caps w:val="0"/>
        <w:smallCaps w:val="0"/>
        <w:vanish w:val="0"/>
        <w:color w:val="000000"/>
        <w:sz w:val="20"/>
        <w:u w:val="none"/>
      </w:rPr>
    </w:lvl>
    <w:lvl w:ilvl="1">
      <w:start w:val="1"/>
      <w:numFmt w:val="decimal"/>
      <w:pStyle w:val="OutHead2"/>
      <w:lvlText w:val="%1.%2"/>
      <w:lvlJc w:val="left"/>
      <w:pPr>
        <w:tabs>
          <w:tab w:val="num" w:pos="720"/>
        </w:tabs>
        <w:ind w:left="0" w:firstLine="0"/>
      </w:pPr>
      <w:rPr>
        <w:rFonts w:ascii="Calibri" w:hAnsi="Calibri" w:cs="Times New Roman" w:hint="default"/>
        <w:b/>
        <w:i w:val="0"/>
        <w:caps w:val="0"/>
        <w:color w:val="000000"/>
        <w:sz w:val="20"/>
        <w:u w:val="none"/>
      </w:rPr>
    </w:lvl>
    <w:lvl w:ilvl="2">
      <w:start w:val="1"/>
      <w:numFmt w:val="decimal"/>
      <w:pStyle w:val="OutHead3"/>
      <w:lvlText w:val="%1.%2.%3"/>
      <w:lvlJc w:val="left"/>
      <w:pPr>
        <w:tabs>
          <w:tab w:val="num" w:pos="720"/>
        </w:tabs>
        <w:ind w:left="0" w:firstLine="0"/>
      </w:pPr>
      <w:rPr>
        <w:rFonts w:ascii="Calibri" w:hAnsi="Calibri" w:cs="Times New Roman" w:hint="default"/>
        <w:b/>
        <w:i w:val="0"/>
        <w:caps w:val="0"/>
        <w:color w:val="000000"/>
        <w:sz w:val="20"/>
        <w:u w:val="none"/>
      </w:rPr>
    </w:lvl>
    <w:lvl w:ilvl="3">
      <w:start w:val="1"/>
      <w:numFmt w:val="decimal"/>
      <w:pStyle w:val="OutHead4"/>
      <w:lvlText w:val="%1.%2.%3.%4 "/>
      <w:lvlJc w:val="left"/>
      <w:pPr>
        <w:tabs>
          <w:tab w:val="num" w:pos="0"/>
        </w:tabs>
        <w:ind w:left="0" w:firstLine="2160"/>
      </w:pPr>
      <w:rPr>
        <w:rFonts w:ascii="Times New Roman" w:hAnsi="Times New Roman" w:cs="Times New Roman" w:hint="default"/>
        <w:b w:val="0"/>
        <w:i w:val="0"/>
        <w:caps w:val="0"/>
        <w:color w:val="000000"/>
        <w:sz w:val="24"/>
        <w:u w:val="none"/>
      </w:rPr>
    </w:lvl>
    <w:lvl w:ilvl="4">
      <w:start w:val="1"/>
      <w:numFmt w:val="decimal"/>
      <w:pStyle w:val="OutHead5"/>
      <w:lvlText w:val="%1.%2.%3.%4.%5 "/>
      <w:lvlJc w:val="left"/>
      <w:pPr>
        <w:tabs>
          <w:tab w:val="num" w:pos="0"/>
        </w:tabs>
        <w:ind w:left="0" w:firstLine="2880"/>
      </w:pPr>
      <w:rPr>
        <w:rFonts w:ascii="Times New Roman" w:hAnsi="Times New Roman" w:cs="Times New Roman" w:hint="default"/>
        <w:b w:val="0"/>
        <w:i w:val="0"/>
        <w:caps w:val="0"/>
        <w:color w:val="000000"/>
        <w:sz w:val="24"/>
        <w:u w:val="none"/>
      </w:rPr>
    </w:lvl>
    <w:lvl w:ilvl="5">
      <w:start w:val="1"/>
      <w:numFmt w:val="decimal"/>
      <w:pStyle w:val="OutHead6"/>
      <w:lvlText w:val="%1.%2.%3.%4.%5.%6 "/>
      <w:lvlJc w:val="left"/>
      <w:pPr>
        <w:tabs>
          <w:tab w:val="num" w:pos="0"/>
        </w:tabs>
        <w:ind w:left="0" w:firstLine="3600"/>
      </w:pPr>
      <w:rPr>
        <w:rFonts w:ascii="Times New Roman" w:hAnsi="Times New Roman" w:cs="Times New Roman" w:hint="default"/>
        <w:b w:val="0"/>
        <w:i w:val="0"/>
        <w:caps w:val="0"/>
        <w:color w:val="000000"/>
        <w:sz w:val="24"/>
        <w:u w:val="none"/>
      </w:rPr>
    </w:lvl>
    <w:lvl w:ilvl="6">
      <w:start w:val="1"/>
      <w:numFmt w:val="decimal"/>
      <w:pStyle w:val="OutHead7"/>
      <w:lvlText w:val="%1.%2.%3.%4.%5.%6.%7 "/>
      <w:lvlJc w:val="left"/>
      <w:pPr>
        <w:tabs>
          <w:tab w:val="num" w:pos="0"/>
        </w:tabs>
        <w:ind w:left="0" w:firstLine="4320"/>
      </w:pPr>
      <w:rPr>
        <w:rFonts w:ascii="Times New Roman" w:hAnsi="Times New Roman" w:cs="Times New Roman" w:hint="default"/>
        <w:b w:val="0"/>
        <w:i w:val="0"/>
        <w:caps w:val="0"/>
        <w:color w:val="000000"/>
        <w:sz w:val="24"/>
        <w:u w:val="none"/>
      </w:rPr>
    </w:lvl>
    <w:lvl w:ilvl="7">
      <w:start w:val="1"/>
      <w:numFmt w:val="decimal"/>
      <w:pStyle w:val="OutHead8"/>
      <w:lvlText w:val="%1.%2.%3.%4.%5.%6.%7.%8 "/>
      <w:lvlJc w:val="left"/>
      <w:pPr>
        <w:tabs>
          <w:tab w:val="num" w:pos="0"/>
        </w:tabs>
        <w:ind w:left="0" w:firstLine="5040"/>
      </w:pPr>
      <w:rPr>
        <w:rFonts w:ascii="Times New Roman" w:hAnsi="Times New Roman" w:cs="Times New Roman" w:hint="default"/>
        <w:b w:val="0"/>
        <w:i w:val="0"/>
        <w:caps w:val="0"/>
        <w:color w:val="000000"/>
        <w:sz w:val="24"/>
        <w:u w:val="none"/>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B76EC"/>
    <w:multiLevelType w:val="multilevel"/>
    <w:tmpl w:val="1220DBE0"/>
    <w:lvl w:ilvl="0">
      <w:start w:val="10"/>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753709A"/>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91DD2"/>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73707E"/>
    <w:multiLevelType w:val="multilevel"/>
    <w:tmpl w:val="39B41F9C"/>
    <w:lvl w:ilvl="0">
      <w:start w:val="1"/>
      <w:numFmt w:val="decimal"/>
      <w:lvlText w:val="SECTION %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b/>
        <w:bCs/>
        <w:i w:val="0"/>
        <w:spacing w:val="-2"/>
        <w:w w:val="99"/>
        <w:sz w:val="24"/>
        <w:szCs w:val="24"/>
      </w:rPr>
    </w:lvl>
    <w:lvl w:ilvl="2">
      <w:start w:val="1"/>
      <w:numFmt w:val="decimal"/>
      <w:lvlText w:val="%1.%2.%3"/>
      <w:lvlJc w:val="left"/>
      <w:pPr>
        <w:tabs>
          <w:tab w:val="num" w:pos="720"/>
        </w:tabs>
        <w:ind w:left="1080" w:hanging="720"/>
      </w:pPr>
      <w:rPr>
        <w:rFonts w:hint="default"/>
        <w:b/>
        <w:bCs/>
        <w:i w:val="0"/>
        <w:spacing w:val="-4"/>
        <w:w w:val="99"/>
        <w:sz w:val="22"/>
        <w:szCs w:val="24"/>
      </w:rPr>
    </w:lvl>
    <w:lvl w:ilvl="3">
      <w:start w:val="1"/>
      <w:numFmt w:val="decimal"/>
      <w:lvlText w:val="%1.%2.%3.%4"/>
      <w:lvlJc w:val="left"/>
      <w:pPr>
        <w:tabs>
          <w:tab w:val="num" w:pos="1800"/>
        </w:tabs>
        <w:ind w:left="1800" w:hanging="1080"/>
      </w:pPr>
      <w:rPr>
        <w:rFonts w:hint="default"/>
        <w:sz w:val="22"/>
      </w:rPr>
    </w:lvl>
    <w:lvl w:ilvl="4">
      <w:start w:val="1"/>
      <w:numFmt w:val="none"/>
      <w:lvlText w:val=""/>
      <w:lvlJc w:val="left"/>
      <w:pPr>
        <w:tabs>
          <w:tab w:val="num" w:pos="1080"/>
        </w:tabs>
        <w:ind w:left="1080" w:firstLine="0"/>
      </w:pPr>
      <w:rPr>
        <w:rFonts w:hint="default"/>
        <w:sz w:val="22"/>
      </w:rPr>
    </w:lvl>
    <w:lvl w:ilvl="5">
      <w:start w:val="1"/>
      <w:numFmt w:val="decimal"/>
      <w:lvlText w:val="%1.%2.%3.%4.%6"/>
      <w:lvlJc w:val="left"/>
      <w:pPr>
        <w:tabs>
          <w:tab w:val="num" w:pos="2448"/>
        </w:tabs>
        <w:ind w:left="2448" w:hanging="1008"/>
      </w:pPr>
      <w:rPr>
        <w:rFonts w:hint="default"/>
        <w:sz w:val="22"/>
      </w:rPr>
    </w:lvl>
    <w:lvl w:ilvl="6">
      <w:start w:val="1"/>
      <w:numFmt w:val="lowerLetter"/>
      <w:lvlText w:val="%7)"/>
      <w:lvlJc w:val="left"/>
      <w:pPr>
        <w:tabs>
          <w:tab w:val="num" w:pos="2160"/>
        </w:tabs>
        <w:ind w:left="2160" w:hanging="36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6"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994EAF"/>
    <w:multiLevelType w:val="hybridMultilevel"/>
    <w:tmpl w:val="39B8D04A"/>
    <w:lvl w:ilvl="0" w:tplc="4D263538">
      <w:start w:val="1"/>
      <w:numFmt w:val="lowerRoman"/>
      <w:lvlText w:val="%1)"/>
      <w:lvlJc w:val="left"/>
      <w:pPr>
        <w:ind w:left="1350" w:hanging="360"/>
      </w:pPr>
      <w:rPr>
        <w:rFonts w:hint="default"/>
        <w:b w:val="0"/>
        <w:bCs/>
      </w:r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8" w15:restartNumberingAfterBreak="0">
    <w:nsid w:val="39860B19"/>
    <w:multiLevelType w:val="hybridMultilevel"/>
    <w:tmpl w:val="8FB24908"/>
    <w:lvl w:ilvl="0" w:tplc="1E6C89C4">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C8E431A"/>
    <w:multiLevelType w:val="hybridMultilevel"/>
    <w:tmpl w:val="E5ACAB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F6D7500"/>
    <w:multiLevelType w:val="hybridMultilevel"/>
    <w:tmpl w:val="8622276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FC4070A"/>
    <w:multiLevelType w:val="hybridMultilevel"/>
    <w:tmpl w:val="625A86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B559DC"/>
    <w:multiLevelType w:val="hybridMultilevel"/>
    <w:tmpl w:val="2A44CA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F91323A"/>
    <w:multiLevelType w:val="hybridMultilevel"/>
    <w:tmpl w:val="FD9027F4"/>
    <w:lvl w:ilvl="0" w:tplc="5032E726">
      <w:start w:val="1"/>
      <w:numFmt w:val="decimal"/>
      <w:lvlText w:val="%1)"/>
      <w:lvlJc w:val="left"/>
      <w:pPr>
        <w:ind w:left="2232" w:hanging="360"/>
      </w:pPr>
      <w:rPr>
        <w:b/>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6"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E143D0"/>
    <w:multiLevelType w:val="hybridMultilevel"/>
    <w:tmpl w:val="83306FAA"/>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EA6D10"/>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19" w15:restartNumberingAfterBreak="0">
    <w:nsid w:val="5F2B41E1"/>
    <w:multiLevelType w:val="multilevel"/>
    <w:tmpl w:val="3A88EAA2"/>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0555C58"/>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21" w15:restartNumberingAfterBreak="0">
    <w:nsid w:val="65AF4298"/>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22" w15:restartNumberingAfterBreak="0">
    <w:nsid w:val="660B0431"/>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23"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23"/>
  </w:num>
  <w:num w:numId="4">
    <w:abstractNumId w:val="17"/>
  </w:num>
  <w:num w:numId="5">
    <w:abstractNumId w:val="1"/>
  </w:num>
  <w:num w:numId="6">
    <w:abstractNumId w:val="12"/>
  </w:num>
  <w:num w:numId="7">
    <w:abstractNumId w:val="16"/>
  </w:num>
  <w:num w:numId="8">
    <w:abstractNumId w:val="4"/>
  </w:num>
  <w:num w:numId="9">
    <w:abstractNumId w:val="15"/>
  </w:num>
  <w:num w:numId="10">
    <w:abstractNumId w:val="10"/>
  </w:num>
  <w:num w:numId="11">
    <w:abstractNumId w:val="3"/>
  </w:num>
  <w:num w:numId="12">
    <w:abstractNumId w:val="21"/>
  </w:num>
  <w:num w:numId="13">
    <w:abstractNumId w:val="7"/>
  </w:num>
  <w:num w:numId="14">
    <w:abstractNumId w:val="8"/>
  </w:num>
  <w:num w:numId="15">
    <w:abstractNumId w:val="5"/>
  </w:num>
  <w:num w:numId="16">
    <w:abstractNumId w:val="18"/>
  </w:num>
  <w:num w:numId="17">
    <w:abstractNumId w:val="20"/>
  </w:num>
  <w:num w:numId="18">
    <w:abstractNumId w:val="22"/>
  </w:num>
  <w:num w:numId="19">
    <w:abstractNumId w:val="14"/>
  </w:num>
  <w:num w:numId="20">
    <w:abstractNumId w:val="11"/>
  </w:num>
  <w:num w:numId="21">
    <w:abstractNumId w:val="9"/>
  </w:num>
  <w:num w:numId="22">
    <w:abstractNumId w:val="0"/>
  </w:num>
  <w:num w:numId="23">
    <w:abstractNumId w:val="2"/>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0621C"/>
    <w:rsid w:val="000101C2"/>
    <w:rsid w:val="000444B7"/>
    <w:rsid w:val="000712C7"/>
    <w:rsid w:val="000719B3"/>
    <w:rsid w:val="000722AB"/>
    <w:rsid w:val="00072A63"/>
    <w:rsid w:val="0007419F"/>
    <w:rsid w:val="00095AD8"/>
    <w:rsid w:val="000A5D79"/>
    <w:rsid w:val="000C1F9F"/>
    <w:rsid w:val="000D4705"/>
    <w:rsid w:val="000D7197"/>
    <w:rsid w:val="001003D8"/>
    <w:rsid w:val="001037C9"/>
    <w:rsid w:val="00107C69"/>
    <w:rsid w:val="001172F7"/>
    <w:rsid w:val="00117E91"/>
    <w:rsid w:val="00136AF8"/>
    <w:rsid w:val="00143241"/>
    <w:rsid w:val="00147C33"/>
    <w:rsid w:val="00162C67"/>
    <w:rsid w:val="001740C6"/>
    <w:rsid w:val="0017785A"/>
    <w:rsid w:val="001A1817"/>
    <w:rsid w:val="001A2DE7"/>
    <w:rsid w:val="001A4AD3"/>
    <w:rsid w:val="001B2665"/>
    <w:rsid w:val="001C213F"/>
    <w:rsid w:val="001E3CDA"/>
    <w:rsid w:val="001E59D8"/>
    <w:rsid w:val="001F0014"/>
    <w:rsid w:val="001F33D9"/>
    <w:rsid w:val="00207371"/>
    <w:rsid w:val="0021603A"/>
    <w:rsid w:val="00226E88"/>
    <w:rsid w:val="002317E0"/>
    <w:rsid w:val="0024209E"/>
    <w:rsid w:val="00257349"/>
    <w:rsid w:val="002632F5"/>
    <w:rsid w:val="002718CA"/>
    <w:rsid w:val="00274279"/>
    <w:rsid w:val="00274D34"/>
    <w:rsid w:val="002836D0"/>
    <w:rsid w:val="00283F55"/>
    <w:rsid w:val="002E0FCA"/>
    <w:rsid w:val="002E4F69"/>
    <w:rsid w:val="002F186F"/>
    <w:rsid w:val="002F2FFC"/>
    <w:rsid w:val="002F4F90"/>
    <w:rsid w:val="00311C81"/>
    <w:rsid w:val="003167DD"/>
    <w:rsid w:val="0032625C"/>
    <w:rsid w:val="00330A20"/>
    <w:rsid w:val="0033577D"/>
    <w:rsid w:val="003363E3"/>
    <w:rsid w:val="00337953"/>
    <w:rsid w:val="00357586"/>
    <w:rsid w:val="003709A7"/>
    <w:rsid w:val="003B6398"/>
    <w:rsid w:val="003B7811"/>
    <w:rsid w:val="003C72D4"/>
    <w:rsid w:val="003E14C5"/>
    <w:rsid w:val="003E1C87"/>
    <w:rsid w:val="003E4368"/>
    <w:rsid w:val="003F48B7"/>
    <w:rsid w:val="003F5B1F"/>
    <w:rsid w:val="0040019A"/>
    <w:rsid w:val="00413268"/>
    <w:rsid w:val="004241EA"/>
    <w:rsid w:val="00430F56"/>
    <w:rsid w:val="00434BB0"/>
    <w:rsid w:val="00440EB2"/>
    <w:rsid w:val="00441EEE"/>
    <w:rsid w:val="0045163A"/>
    <w:rsid w:val="00454883"/>
    <w:rsid w:val="00460290"/>
    <w:rsid w:val="00480398"/>
    <w:rsid w:val="00483F90"/>
    <w:rsid w:val="00487326"/>
    <w:rsid w:val="004A4C31"/>
    <w:rsid w:val="004E2D20"/>
    <w:rsid w:val="00502D77"/>
    <w:rsid w:val="005148BD"/>
    <w:rsid w:val="0051703C"/>
    <w:rsid w:val="00523EDA"/>
    <w:rsid w:val="005244A8"/>
    <w:rsid w:val="00527876"/>
    <w:rsid w:val="0053041B"/>
    <w:rsid w:val="00535593"/>
    <w:rsid w:val="005450F1"/>
    <w:rsid w:val="00556C59"/>
    <w:rsid w:val="00564EA9"/>
    <w:rsid w:val="00567BC1"/>
    <w:rsid w:val="00577AF7"/>
    <w:rsid w:val="005801EF"/>
    <w:rsid w:val="0058712D"/>
    <w:rsid w:val="005A295C"/>
    <w:rsid w:val="005B78CB"/>
    <w:rsid w:val="005C67B5"/>
    <w:rsid w:val="005D2822"/>
    <w:rsid w:val="005D3B3C"/>
    <w:rsid w:val="005E2C3A"/>
    <w:rsid w:val="005F5544"/>
    <w:rsid w:val="00611BCE"/>
    <w:rsid w:val="00616584"/>
    <w:rsid w:val="00624F35"/>
    <w:rsid w:val="00631014"/>
    <w:rsid w:val="006404FF"/>
    <w:rsid w:val="00652080"/>
    <w:rsid w:val="00656B4E"/>
    <w:rsid w:val="006745A5"/>
    <w:rsid w:val="00680CF6"/>
    <w:rsid w:val="00692558"/>
    <w:rsid w:val="00695E68"/>
    <w:rsid w:val="00697085"/>
    <w:rsid w:val="006C3F68"/>
    <w:rsid w:val="006D2004"/>
    <w:rsid w:val="006E62D0"/>
    <w:rsid w:val="006F6210"/>
    <w:rsid w:val="0070075C"/>
    <w:rsid w:val="0071041E"/>
    <w:rsid w:val="00714DA0"/>
    <w:rsid w:val="007301B7"/>
    <w:rsid w:val="00730C5C"/>
    <w:rsid w:val="00730E6E"/>
    <w:rsid w:val="00740399"/>
    <w:rsid w:val="00741289"/>
    <w:rsid w:val="0074135D"/>
    <w:rsid w:val="00744605"/>
    <w:rsid w:val="00753EFB"/>
    <w:rsid w:val="00754A93"/>
    <w:rsid w:val="007576D5"/>
    <w:rsid w:val="007752CE"/>
    <w:rsid w:val="00777FA7"/>
    <w:rsid w:val="0078042A"/>
    <w:rsid w:val="007A70B4"/>
    <w:rsid w:val="007B2011"/>
    <w:rsid w:val="007C258D"/>
    <w:rsid w:val="007D059B"/>
    <w:rsid w:val="007E1FFE"/>
    <w:rsid w:val="007F19E6"/>
    <w:rsid w:val="007F4B52"/>
    <w:rsid w:val="00812BF8"/>
    <w:rsid w:val="008231BA"/>
    <w:rsid w:val="00831EB9"/>
    <w:rsid w:val="008550BE"/>
    <w:rsid w:val="0086045D"/>
    <w:rsid w:val="00862C92"/>
    <w:rsid w:val="00870E5A"/>
    <w:rsid w:val="00886472"/>
    <w:rsid w:val="00886675"/>
    <w:rsid w:val="008B45E6"/>
    <w:rsid w:val="008C05CC"/>
    <w:rsid w:val="008C2CEF"/>
    <w:rsid w:val="008C3040"/>
    <w:rsid w:val="008C5AE9"/>
    <w:rsid w:val="008C6A14"/>
    <w:rsid w:val="008D58EB"/>
    <w:rsid w:val="008D6979"/>
    <w:rsid w:val="008D7EB8"/>
    <w:rsid w:val="008F7C1F"/>
    <w:rsid w:val="009158D9"/>
    <w:rsid w:val="00933C33"/>
    <w:rsid w:val="00937AD7"/>
    <w:rsid w:val="00955C73"/>
    <w:rsid w:val="00962F83"/>
    <w:rsid w:val="009828BB"/>
    <w:rsid w:val="00984B49"/>
    <w:rsid w:val="00992C37"/>
    <w:rsid w:val="00997911"/>
    <w:rsid w:val="009B28E3"/>
    <w:rsid w:val="009C368A"/>
    <w:rsid w:val="009C3F40"/>
    <w:rsid w:val="009C54FB"/>
    <w:rsid w:val="009E5424"/>
    <w:rsid w:val="009F58FE"/>
    <w:rsid w:val="009F6665"/>
    <w:rsid w:val="00A227BE"/>
    <w:rsid w:val="00A23F28"/>
    <w:rsid w:val="00A249E8"/>
    <w:rsid w:val="00A33FC6"/>
    <w:rsid w:val="00A34769"/>
    <w:rsid w:val="00A44FE1"/>
    <w:rsid w:val="00A516C3"/>
    <w:rsid w:val="00A63102"/>
    <w:rsid w:val="00A804D1"/>
    <w:rsid w:val="00A84B0A"/>
    <w:rsid w:val="00AA6962"/>
    <w:rsid w:val="00AB59AA"/>
    <w:rsid w:val="00AC0987"/>
    <w:rsid w:val="00AC0B0A"/>
    <w:rsid w:val="00AD5C27"/>
    <w:rsid w:val="00AF1955"/>
    <w:rsid w:val="00AF40E3"/>
    <w:rsid w:val="00B07D14"/>
    <w:rsid w:val="00B12BE8"/>
    <w:rsid w:val="00B12F03"/>
    <w:rsid w:val="00B13314"/>
    <w:rsid w:val="00B27A06"/>
    <w:rsid w:val="00B360F7"/>
    <w:rsid w:val="00B37880"/>
    <w:rsid w:val="00B40808"/>
    <w:rsid w:val="00B43D4C"/>
    <w:rsid w:val="00B454A4"/>
    <w:rsid w:val="00B515B7"/>
    <w:rsid w:val="00B60341"/>
    <w:rsid w:val="00B66DF3"/>
    <w:rsid w:val="00B8056D"/>
    <w:rsid w:val="00B86C24"/>
    <w:rsid w:val="00B87D2C"/>
    <w:rsid w:val="00BA0772"/>
    <w:rsid w:val="00BA71A1"/>
    <w:rsid w:val="00BB630E"/>
    <w:rsid w:val="00BB7D36"/>
    <w:rsid w:val="00BC1966"/>
    <w:rsid w:val="00C0255D"/>
    <w:rsid w:val="00C06A0B"/>
    <w:rsid w:val="00C3069D"/>
    <w:rsid w:val="00C308A7"/>
    <w:rsid w:val="00C310A4"/>
    <w:rsid w:val="00C50C17"/>
    <w:rsid w:val="00C54E32"/>
    <w:rsid w:val="00C77ED8"/>
    <w:rsid w:val="00CA2799"/>
    <w:rsid w:val="00CB5245"/>
    <w:rsid w:val="00CC5740"/>
    <w:rsid w:val="00CD2713"/>
    <w:rsid w:val="00CE6847"/>
    <w:rsid w:val="00CE76DF"/>
    <w:rsid w:val="00CF7D19"/>
    <w:rsid w:val="00D01725"/>
    <w:rsid w:val="00D15182"/>
    <w:rsid w:val="00D23B77"/>
    <w:rsid w:val="00D36D07"/>
    <w:rsid w:val="00D37898"/>
    <w:rsid w:val="00D73F1E"/>
    <w:rsid w:val="00D92337"/>
    <w:rsid w:val="00D940B1"/>
    <w:rsid w:val="00D97937"/>
    <w:rsid w:val="00DB5950"/>
    <w:rsid w:val="00DC2E37"/>
    <w:rsid w:val="00DD28E4"/>
    <w:rsid w:val="00DD4A95"/>
    <w:rsid w:val="00DE2E72"/>
    <w:rsid w:val="00DE3119"/>
    <w:rsid w:val="00DE46E2"/>
    <w:rsid w:val="00DE561D"/>
    <w:rsid w:val="00DF0AC2"/>
    <w:rsid w:val="00DF5F8E"/>
    <w:rsid w:val="00DF6EC1"/>
    <w:rsid w:val="00E01614"/>
    <w:rsid w:val="00E062B2"/>
    <w:rsid w:val="00E11D4B"/>
    <w:rsid w:val="00E12118"/>
    <w:rsid w:val="00E221A8"/>
    <w:rsid w:val="00E45623"/>
    <w:rsid w:val="00E66CFE"/>
    <w:rsid w:val="00E771FD"/>
    <w:rsid w:val="00E93942"/>
    <w:rsid w:val="00E9510C"/>
    <w:rsid w:val="00E972E5"/>
    <w:rsid w:val="00EB42C0"/>
    <w:rsid w:val="00ED2DF2"/>
    <w:rsid w:val="00EE3A8B"/>
    <w:rsid w:val="00EF0637"/>
    <w:rsid w:val="00F01753"/>
    <w:rsid w:val="00F07E25"/>
    <w:rsid w:val="00F1787F"/>
    <w:rsid w:val="00F32A8D"/>
    <w:rsid w:val="00F32F59"/>
    <w:rsid w:val="00F4509D"/>
    <w:rsid w:val="00F455E0"/>
    <w:rsid w:val="00F55C1A"/>
    <w:rsid w:val="00F70E61"/>
    <w:rsid w:val="00F765E7"/>
    <w:rsid w:val="00F77FD5"/>
    <w:rsid w:val="00F850A0"/>
    <w:rsid w:val="00F87E07"/>
    <w:rsid w:val="00F90B71"/>
    <w:rsid w:val="00FA2BF8"/>
    <w:rsid w:val="00FB6CE4"/>
    <w:rsid w:val="00FC3347"/>
    <w:rsid w:val="00FE2C19"/>
    <w:rsid w:val="00FF3364"/>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77836"/>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paragraph" w:styleId="BodyText">
    <w:name w:val="Body Text"/>
    <w:basedOn w:val="Normal"/>
    <w:link w:val="BodyTextChar"/>
    <w:semiHidden/>
    <w:rsid w:val="00483F9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pPr>
    <w:rPr>
      <w:rFonts w:ascii="CG Times" w:eastAsia="Times New Roman" w:hAnsi="CG Times" w:cs="Times New Roman"/>
      <w:b/>
      <w:spacing w:val="-3"/>
      <w:sz w:val="24"/>
      <w:szCs w:val="20"/>
    </w:rPr>
  </w:style>
  <w:style w:type="character" w:customStyle="1" w:styleId="BodyTextChar">
    <w:name w:val="Body Text Char"/>
    <w:basedOn w:val="DefaultParagraphFont"/>
    <w:link w:val="BodyText"/>
    <w:semiHidden/>
    <w:rsid w:val="00483F90"/>
    <w:rPr>
      <w:rFonts w:ascii="CG Times" w:eastAsia="Times New Roman" w:hAnsi="CG Times" w:cs="Times New Roman"/>
      <w:b/>
      <w:spacing w:val="-3"/>
      <w:sz w:val="24"/>
      <w:szCs w:val="20"/>
    </w:rPr>
  </w:style>
  <w:style w:type="paragraph" w:customStyle="1" w:styleId="IFBBody">
    <w:name w:val="IFB Body"/>
    <w:basedOn w:val="Normal"/>
    <w:link w:val="IFBBodyChar"/>
    <w:qFormat/>
    <w:rsid w:val="00483F90"/>
    <w:pPr>
      <w:ind w:left="576"/>
    </w:pPr>
    <w:rPr>
      <w:rFonts w:ascii="Times New Roman" w:eastAsia="Times New Roman" w:hAnsi="Times New Roman" w:cs="Times New Roman"/>
      <w:sz w:val="24"/>
      <w:szCs w:val="20"/>
    </w:rPr>
  </w:style>
  <w:style w:type="character" w:customStyle="1" w:styleId="IFBBodyChar">
    <w:name w:val="IFB Body Char"/>
    <w:basedOn w:val="DefaultParagraphFont"/>
    <w:link w:val="IFBBody"/>
    <w:rsid w:val="00483F90"/>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B454A4"/>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454A4"/>
    <w:rPr>
      <w:rFonts w:ascii="Times New Roman" w:hAnsi="Times New Roman" w:cs="Times New Roman"/>
      <w:sz w:val="18"/>
      <w:szCs w:val="18"/>
    </w:rPr>
  </w:style>
  <w:style w:type="character" w:customStyle="1" w:styleId="UnresolvedMention1">
    <w:name w:val="Unresolved Mention1"/>
    <w:basedOn w:val="DefaultParagraphFont"/>
    <w:uiPriority w:val="99"/>
    <w:semiHidden/>
    <w:unhideWhenUsed/>
    <w:rsid w:val="00FE2C19"/>
    <w:rPr>
      <w:color w:val="605E5C"/>
      <w:shd w:val="clear" w:color="auto" w:fill="E1DFDD"/>
    </w:rPr>
  </w:style>
  <w:style w:type="character" w:styleId="CommentReference">
    <w:name w:val="annotation reference"/>
    <w:basedOn w:val="DefaultParagraphFont"/>
    <w:uiPriority w:val="99"/>
    <w:semiHidden/>
    <w:unhideWhenUsed/>
    <w:rsid w:val="00434BB0"/>
    <w:rPr>
      <w:sz w:val="16"/>
      <w:szCs w:val="16"/>
    </w:rPr>
  </w:style>
  <w:style w:type="paragraph" w:styleId="CommentText">
    <w:name w:val="annotation text"/>
    <w:basedOn w:val="Normal"/>
    <w:link w:val="CommentTextChar"/>
    <w:uiPriority w:val="99"/>
    <w:semiHidden/>
    <w:unhideWhenUsed/>
    <w:rsid w:val="00434BB0"/>
    <w:rPr>
      <w:sz w:val="20"/>
      <w:szCs w:val="20"/>
    </w:rPr>
  </w:style>
  <w:style w:type="character" w:customStyle="1" w:styleId="CommentTextChar">
    <w:name w:val="Comment Text Char"/>
    <w:basedOn w:val="DefaultParagraphFont"/>
    <w:link w:val="CommentText"/>
    <w:uiPriority w:val="99"/>
    <w:semiHidden/>
    <w:rsid w:val="00434BB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34BB0"/>
    <w:rPr>
      <w:b/>
      <w:bCs/>
    </w:rPr>
  </w:style>
  <w:style w:type="character" w:customStyle="1" w:styleId="CommentSubjectChar">
    <w:name w:val="Comment Subject Char"/>
    <w:basedOn w:val="CommentTextChar"/>
    <w:link w:val="CommentSubject"/>
    <w:uiPriority w:val="99"/>
    <w:semiHidden/>
    <w:rsid w:val="00434BB0"/>
    <w:rPr>
      <w:rFonts w:ascii="Arial" w:hAnsi="Arial"/>
      <w:b/>
      <w:bCs/>
      <w:sz w:val="20"/>
      <w:szCs w:val="20"/>
    </w:rPr>
  </w:style>
  <w:style w:type="paragraph" w:customStyle="1" w:styleId="Default">
    <w:name w:val="Default"/>
    <w:rsid w:val="003C72D4"/>
    <w:pPr>
      <w:autoSpaceDE w:val="0"/>
      <w:autoSpaceDN w:val="0"/>
      <w:adjustRightInd w:val="0"/>
      <w:spacing w:after="0" w:line="240" w:lineRule="auto"/>
    </w:pPr>
    <w:rPr>
      <w:rFonts w:ascii="Calibri" w:hAnsi="Calibri" w:cs="Calibri"/>
      <w:color w:val="000000"/>
      <w:sz w:val="24"/>
      <w:szCs w:val="24"/>
    </w:rPr>
  </w:style>
  <w:style w:type="character" w:customStyle="1" w:styleId="UnresolvedMention2">
    <w:name w:val="Unresolved Mention2"/>
    <w:basedOn w:val="DefaultParagraphFont"/>
    <w:uiPriority w:val="99"/>
    <w:rsid w:val="005D2822"/>
    <w:rPr>
      <w:color w:val="605E5C"/>
      <w:shd w:val="clear" w:color="auto" w:fill="E1DFDD"/>
    </w:rPr>
  </w:style>
  <w:style w:type="paragraph" w:customStyle="1" w:styleId="OutHead1">
    <w:name w:val="OutHead1"/>
    <w:basedOn w:val="Normal"/>
    <w:next w:val="Normal"/>
    <w:qFormat/>
    <w:rsid w:val="0045163A"/>
    <w:pPr>
      <w:keepNext/>
      <w:numPr>
        <w:numId w:val="22"/>
      </w:numPr>
      <w:spacing w:after="240"/>
      <w:jc w:val="both"/>
      <w:outlineLvl w:val="0"/>
    </w:pPr>
    <w:rPr>
      <w:rFonts w:ascii="Calibri" w:eastAsia="Times New Roman" w:hAnsi="Calibri" w:cs="Times New Roman"/>
      <w:color w:val="000000"/>
      <w:sz w:val="20"/>
      <w:szCs w:val="20"/>
    </w:rPr>
  </w:style>
  <w:style w:type="paragraph" w:customStyle="1" w:styleId="OutHead2">
    <w:name w:val="OutHead2"/>
    <w:basedOn w:val="Normal"/>
    <w:next w:val="Normal"/>
    <w:qFormat/>
    <w:rsid w:val="0045163A"/>
    <w:pPr>
      <w:numPr>
        <w:ilvl w:val="1"/>
        <w:numId w:val="22"/>
      </w:numPr>
      <w:spacing w:after="240"/>
      <w:jc w:val="both"/>
      <w:outlineLvl w:val="1"/>
    </w:pPr>
    <w:rPr>
      <w:rFonts w:ascii="Calibri" w:eastAsia="Times New Roman" w:hAnsi="Calibri" w:cs="Times New Roman"/>
      <w:color w:val="000000"/>
      <w:sz w:val="20"/>
      <w:szCs w:val="20"/>
    </w:rPr>
  </w:style>
  <w:style w:type="paragraph" w:customStyle="1" w:styleId="OutHead3">
    <w:name w:val="OutHead3"/>
    <w:basedOn w:val="Normal"/>
    <w:next w:val="Normal"/>
    <w:qFormat/>
    <w:rsid w:val="0045163A"/>
    <w:pPr>
      <w:numPr>
        <w:ilvl w:val="2"/>
        <w:numId w:val="22"/>
      </w:numPr>
      <w:spacing w:after="240"/>
      <w:jc w:val="both"/>
      <w:outlineLvl w:val="2"/>
    </w:pPr>
    <w:rPr>
      <w:rFonts w:ascii="Calibri" w:eastAsia="Times New Roman" w:hAnsi="Calibri" w:cs="Times New Roman"/>
      <w:color w:val="000000"/>
      <w:sz w:val="20"/>
      <w:szCs w:val="20"/>
    </w:rPr>
  </w:style>
  <w:style w:type="paragraph" w:customStyle="1" w:styleId="OutHead4">
    <w:name w:val="OutHead4"/>
    <w:basedOn w:val="Normal"/>
    <w:next w:val="Normal"/>
    <w:qFormat/>
    <w:rsid w:val="0045163A"/>
    <w:pPr>
      <w:numPr>
        <w:ilvl w:val="3"/>
        <w:numId w:val="22"/>
      </w:numPr>
      <w:spacing w:after="240"/>
      <w:outlineLvl w:val="3"/>
    </w:pPr>
    <w:rPr>
      <w:rFonts w:ascii="Times New Roman" w:eastAsia="Times New Roman" w:hAnsi="Times New Roman" w:cs="Times New Roman"/>
      <w:color w:val="000000"/>
      <w:sz w:val="24"/>
      <w:szCs w:val="20"/>
      <w:u w:val="single"/>
    </w:rPr>
  </w:style>
  <w:style w:type="paragraph" w:customStyle="1" w:styleId="OutHead5">
    <w:name w:val="OutHead5"/>
    <w:basedOn w:val="Normal"/>
    <w:next w:val="Normal"/>
    <w:qFormat/>
    <w:rsid w:val="0045163A"/>
    <w:pPr>
      <w:numPr>
        <w:ilvl w:val="4"/>
        <w:numId w:val="22"/>
      </w:numPr>
      <w:spacing w:after="240"/>
      <w:outlineLvl w:val="4"/>
    </w:pPr>
    <w:rPr>
      <w:rFonts w:ascii="Times New Roman" w:eastAsia="Times New Roman" w:hAnsi="Times New Roman" w:cs="Times New Roman"/>
      <w:color w:val="000000"/>
      <w:sz w:val="24"/>
      <w:szCs w:val="20"/>
      <w:u w:val="single"/>
    </w:rPr>
  </w:style>
  <w:style w:type="paragraph" w:customStyle="1" w:styleId="OutHead6">
    <w:name w:val="OutHead6"/>
    <w:basedOn w:val="Normal"/>
    <w:next w:val="Normal"/>
    <w:qFormat/>
    <w:rsid w:val="0045163A"/>
    <w:pPr>
      <w:numPr>
        <w:ilvl w:val="5"/>
        <w:numId w:val="22"/>
      </w:numPr>
      <w:spacing w:after="240"/>
      <w:outlineLvl w:val="5"/>
    </w:pPr>
    <w:rPr>
      <w:rFonts w:ascii="Times New Roman" w:eastAsia="Times New Roman" w:hAnsi="Times New Roman" w:cs="Times New Roman"/>
      <w:color w:val="000000"/>
      <w:sz w:val="24"/>
      <w:szCs w:val="20"/>
      <w:u w:val="single"/>
    </w:rPr>
  </w:style>
  <w:style w:type="paragraph" w:customStyle="1" w:styleId="OutHead7">
    <w:name w:val="OutHead7"/>
    <w:basedOn w:val="Normal"/>
    <w:next w:val="Normal"/>
    <w:qFormat/>
    <w:rsid w:val="0045163A"/>
    <w:pPr>
      <w:numPr>
        <w:ilvl w:val="6"/>
        <w:numId w:val="22"/>
      </w:numPr>
      <w:spacing w:after="240"/>
      <w:outlineLvl w:val="6"/>
    </w:pPr>
    <w:rPr>
      <w:rFonts w:ascii="Times New Roman" w:eastAsia="Times New Roman" w:hAnsi="Times New Roman" w:cs="Times New Roman"/>
      <w:color w:val="000000"/>
      <w:sz w:val="24"/>
      <w:szCs w:val="20"/>
      <w:u w:val="single"/>
    </w:rPr>
  </w:style>
  <w:style w:type="paragraph" w:customStyle="1" w:styleId="OutHead8">
    <w:name w:val="OutHead8"/>
    <w:basedOn w:val="Normal"/>
    <w:next w:val="Normal"/>
    <w:qFormat/>
    <w:rsid w:val="0045163A"/>
    <w:pPr>
      <w:numPr>
        <w:ilvl w:val="7"/>
        <w:numId w:val="22"/>
      </w:numPr>
      <w:spacing w:after="240"/>
      <w:outlineLvl w:val="7"/>
    </w:pPr>
    <w:rPr>
      <w:rFonts w:ascii="Times New Roman" w:eastAsia="Times New Roman" w:hAnsi="Times New Roman" w:cs="Times New Roman"/>
      <w:color w:val="000000"/>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81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naspovaluepoint.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cc@naspovaluepoint.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spovaluepoint.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5159D6F4C8F974EA180E5355A100CA6" ma:contentTypeVersion="10" ma:contentTypeDescription="Create a new document." ma:contentTypeScope="" ma:versionID="431bb2ca649305e78a9b7b8d7bc6a5f7">
  <xsd:schema xmlns:xsd="http://www.w3.org/2001/XMLSchema" xmlns:xs="http://www.w3.org/2001/XMLSchema" xmlns:p="http://schemas.microsoft.com/office/2006/metadata/properties" xmlns:ns3="0bc4c8ec-0d66-4ca5-a1ae-28360edf08c6" targetNamespace="http://schemas.microsoft.com/office/2006/metadata/properties" ma:root="true" ma:fieldsID="d9221b70e685856bccea81bfeb456b6b" ns3:_="">
    <xsd:import namespace="0bc4c8ec-0d66-4ca5-a1ae-28360edf08c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4c8ec-0d66-4ca5-a1ae-28360edf08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A1F895-22D0-428A-9728-3BDB7736FE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41D612-E1A0-40BD-85E9-AC8D967EF052}">
  <ds:schemaRefs>
    <ds:schemaRef ds:uri="http://schemas.openxmlformats.org/officeDocument/2006/bibliography"/>
  </ds:schemaRefs>
</ds:datastoreItem>
</file>

<file path=customXml/itemProps3.xml><?xml version="1.0" encoding="utf-8"?>
<ds:datastoreItem xmlns:ds="http://schemas.openxmlformats.org/officeDocument/2006/customXml" ds:itemID="{94793F2C-786F-49A4-A963-A206A4113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4c8ec-0d66-4ca5-a1ae-28360edf08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418459-B475-44E7-8442-4C4E575106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1307</Words>
  <Characters>7453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Fay Tan</cp:lastModifiedBy>
  <cp:revision>2</cp:revision>
  <dcterms:created xsi:type="dcterms:W3CDTF">2020-11-23T21:49:00Z</dcterms:created>
  <dcterms:modified xsi:type="dcterms:W3CDTF">2020-11-23T21:49:00Z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0x01010075159D6F4C8F974EA180E5355A100CA6</vt:lpwstr>
  </property>
</Properties>
</file>