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05D4DAE2"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B37060">
        <w:rPr>
          <w:rStyle w:val="Strong"/>
          <w:rFonts w:cs="Arial"/>
        </w:rPr>
        <w:t>4</w:t>
      </w:r>
    </w:p>
    <w:p w14:paraId="30AA7C5C" w14:textId="16FCD1FB" w:rsidR="006A74F0" w:rsidRDefault="006A74F0" w:rsidP="006A74F0">
      <w:pPr>
        <w:spacing w:after="120"/>
        <w:rPr>
          <w:rFonts w:ascii="Arial Black" w:hAnsi="Arial Black"/>
          <w:b/>
          <w:smallCaps/>
          <w:szCs w:val="24"/>
        </w:rPr>
      </w:pPr>
      <w:r w:rsidRPr="00990727">
        <w:rPr>
          <w:rStyle w:val="Strong"/>
          <w:rFonts w:cs="Arial"/>
        </w:rPr>
        <w:t>Contractor:</w:t>
      </w:r>
      <w:r w:rsidR="00CE7256">
        <w:rPr>
          <w:rStyle w:val="Strong"/>
          <w:rFonts w:cs="Arial"/>
        </w:rPr>
        <w:t xml:space="preserve"> </w:t>
      </w:r>
      <w:r w:rsidR="00B37060" w:rsidRPr="00B37060">
        <w:rPr>
          <w:rFonts w:cs="Arial"/>
          <w:b/>
          <w:bCs/>
          <w:szCs w:val="24"/>
        </w:rPr>
        <w:t>Superior International Industries, dba Superior Recreational Products</w:t>
      </w:r>
      <w:r w:rsidRPr="00B37060">
        <w:rPr>
          <w:rStyle w:val="Strong"/>
          <w:rFonts w:cs="Arial"/>
          <w:b w:val="0"/>
          <w:bCs w:val="0"/>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5364BF75"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 xml:space="preserve">participation of Participating Entity in the above-referenced Master Agreement between the State of Oregon and Contractor for </w:t>
      </w:r>
      <w:r w:rsidR="007C65C4">
        <w:rPr>
          <w:rFonts w:cs="Arial"/>
          <w:sz w:val="22"/>
          <w:szCs w:val="22"/>
        </w:rPr>
        <w:t>Parks and Recreation</w:t>
      </w:r>
      <w:r w:rsidRPr="00A306A9">
        <w:rPr>
          <w:rFonts w:cs="Arial"/>
          <w:sz w:val="22"/>
          <w:szCs w:val="22"/>
        </w:rPr>
        <w:t>.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599C3D17" w:rsidR="006A74F0" w:rsidRPr="00990727" w:rsidRDefault="006A74F0" w:rsidP="00AF5E8C">
            <w:pPr>
              <w:keepNext/>
              <w:keepLines/>
              <w:spacing w:after="120"/>
              <w:rPr>
                <w:rFonts w:cs="Arial"/>
                <w:sz w:val="22"/>
                <w:szCs w:val="22"/>
              </w:rPr>
            </w:pP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59E08587" w:rsidR="006A74F0" w:rsidRPr="00990727" w:rsidRDefault="006A74F0" w:rsidP="00AF5E8C">
            <w:pPr>
              <w:keepNext/>
              <w:keepLines/>
              <w:spacing w:after="120"/>
              <w:rPr>
                <w:rFonts w:cs="Arial"/>
                <w:sz w:val="22"/>
                <w:szCs w:val="22"/>
              </w:rPr>
            </w:pP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156F74A5" w:rsidR="006A74F0" w:rsidRPr="00990727" w:rsidRDefault="006A74F0" w:rsidP="00AF5E8C">
            <w:pPr>
              <w:keepNext/>
              <w:keepLines/>
              <w:spacing w:after="120"/>
              <w:rPr>
                <w:rFonts w:cs="Arial"/>
                <w:sz w:val="22"/>
                <w:szCs w:val="22"/>
              </w:rPr>
            </w:pP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6FDAA74B" w:rsidR="006A74F0" w:rsidRPr="00990727" w:rsidRDefault="006A74F0" w:rsidP="00AF5E8C">
            <w:pPr>
              <w:keepNext/>
              <w:keepLines/>
              <w:spacing w:after="120"/>
              <w:rPr>
                <w:rFonts w:cs="Arial"/>
                <w:sz w:val="22"/>
                <w:szCs w:val="22"/>
              </w:rPr>
            </w:pP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54ABA"/>
    <w:rsid w:val="000E0327"/>
    <w:rsid w:val="00193184"/>
    <w:rsid w:val="002F4091"/>
    <w:rsid w:val="00343B80"/>
    <w:rsid w:val="003809F2"/>
    <w:rsid w:val="00682462"/>
    <w:rsid w:val="006A74F0"/>
    <w:rsid w:val="007C65C4"/>
    <w:rsid w:val="00944C5B"/>
    <w:rsid w:val="009A174F"/>
    <w:rsid w:val="00B30780"/>
    <w:rsid w:val="00B37060"/>
    <w:rsid w:val="00C03608"/>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2023-05-19T21:44:00Z</dcterms:created>
  <dcterms:modified xsi:type="dcterms:W3CDTF">2023-05-19T21:44:00Z</dcterms:modified>
</cp:coreProperties>
</file>