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01B0E" w14:textId="77777777" w:rsidR="004F5723" w:rsidRDefault="00ED0A15">
      <w:pPr>
        <w:pStyle w:val="Heading1"/>
        <w:spacing w:before="39"/>
      </w:pPr>
      <w:r>
        <w:t>NASPO</w:t>
      </w:r>
      <w:r>
        <w:rPr>
          <w:spacing w:val="-4"/>
        </w:rPr>
        <w:t xml:space="preserve"> </w:t>
      </w:r>
      <w:r>
        <w:t>Pricing</w:t>
      </w:r>
      <w:r>
        <w:rPr>
          <w:spacing w:val="-4"/>
        </w:rPr>
        <w:t xml:space="preserve"> </w:t>
      </w:r>
      <w:r>
        <w:t>Notes</w:t>
      </w:r>
      <w:r>
        <w:rPr>
          <w:spacing w:val="-3"/>
        </w:rPr>
        <w:t xml:space="preserve"> </w:t>
      </w:r>
      <w:r>
        <w:t>and</w:t>
      </w:r>
      <w:r>
        <w:rPr>
          <w:spacing w:val="-4"/>
        </w:rPr>
        <w:t xml:space="preserve"> </w:t>
      </w:r>
      <w:r>
        <w:t>Explanations</w:t>
      </w:r>
    </w:p>
    <w:p w14:paraId="11401B0F" w14:textId="77777777" w:rsidR="004F5723" w:rsidRDefault="00ED0A15">
      <w:pPr>
        <w:pStyle w:val="BodyText"/>
        <w:spacing w:before="181" w:line="259" w:lineRule="auto"/>
        <w:ind w:right="272"/>
      </w:pPr>
      <w:r>
        <w:t>Smartronix is pleased to provide the State of Utah with its pricing response to Bid #:</w:t>
      </w:r>
      <w:r>
        <w:rPr>
          <w:spacing w:val="1"/>
        </w:rPr>
        <w:t xml:space="preserve"> </w:t>
      </w:r>
      <w:r>
        <w:t>CH16012. The</w:t>
      </w:r>
      <w:r>
        <w:rPr>
          <w:spacing w:val="1"/>
        </w:rPr>
        <w:t xml:space="preserve"> </w:t>
      </w:r>
      <w:r>
        <w:t xml:space="preserve">attached NASPO Pricing offers pricing for the following Cloud Models: </w:t>
      </w:r>
      <w:proofErr w:type="spellStart"/>
      <w:r>
        <w:t>Iaas</w:t>
      </w:r>
      <w:proofErr w:type="spellEnd"/>
      <w:r>
        <w:t>, Paas, SaaS. We are offering</w:t>
      </w:r>
      <w:r>
        <w:rPr>
          <w:spacing w:val="-47"/>
        </w:rPr>
        <w:t xml:space="preserve"> </w:t>
      </w:r>
      <w:r>
        <w:t>our Cloud Assured Managed Services (CAMS) for cloud services utilized in Public/Government</w:t>
      </w:r>
      <w:r>
        <w:rPr>
          <w:spacing w:val="1"/>
        </w:rPr>
        <w:t xml:space="preserve"> </w:t>
      </w:r>
      <w:r>
        <w:t>Community</w:t>
      </w:r>
      <w:r>
        <w:rPr>
          <w:spacing w:val="-1"/>
        </w:rPr>
        <w:t xml:space="preserve"> </w:t>
      </w:r>
      <w:r>
        <w:t>Clouds.</w:t>
      </w:r>
    </w:p>
    <w:p w14:paraId="11401B10" w14:textId="77777777" w:rsidR="004F5723" w:rsidRDefault="00ED0A15">
      <w:pPr>
        <w:pStyle w:val="BodyText"/>
        <w:spacing w:before="160" w:line="259" w:lineRule="auto"/>
        <w:ind w:right="117"/>
      </w:pPr>
      <w:r>
        <w:t>The prices for Public and Government Community Cloud Services can be found within the same links</w:t>
      </w:r>
      <w:r>
        <w:rPr>
          <w:spacing w:val="1"/>
        </w:rPr>
        <w:t xml:space="preserve"> </w:t>
      </w:r>
      <w:r>
        <w:t>provided in the price attachment and receive the same discounts, 3%. The pricing and discount schedule</w:t>
      </w:r>
      <w:r>
        <w:rPr>
          <w:spacing w:val="-47"/>
        </w:rPr>
        <w:t xml:space="preserve"> </w:t>
      </w:r>
      <w:r>
        <w:t>for</w:t>
      </w:r>
      <w:r>
        <w:rPr>
          <w:spacing w:val="-3"/>
        </w:rPr>
        <w:t xml:space="preserve"> </w:t>
      </w:r>
      <w:r>
        <w:t>Managed Services can</w:t>
      </w:r>
      <w:r>
        <w:rPr>
          <w:spacing w:val="-1"/>
        </w:rPr>
        <w:t xml:space="preserve"> </w:t>
      </w:r>
      <w:r>
        <w:t>also be</w:t>
      </w:r>
      <w:r>
        <w:rPr>
          <w:spacing w:val="-3"/>
        </w:rPr>
        <w:t xml:space="preserve"> </w:t>
      </w:r>
      <w:r>
        <w:t>found</w:t>
      </w:r>
      <w:r>
        <w:rPr>
          <w:spacing w:val="-1"/>
        </w:rPr>
        <w:t xml:space="preserve"> </w:t>
      </w:r>
      <w:r>
        <w:t>in</w:t>
      </w:r>
      <w:r>
        <w:rPr>
          <w:spacing w:val="-1"/>
        </w:rPr>
        <w:t xml:space="preserve"> </w:t>
      </w:r>
      <w:r>
        <w:t>the</w:t>
      </w:r>
      <w:r>
        <w:rPr>
          <w:spacing w:val="1"/>
        </w:rPr>
        <w:t xml:space="preserve"> </w:t>
      </w:r>
      <w:r>
        <w:t>attached</w:t>
      </w:r>
      <w:r>
        <w:rPr>
          <w:spacing w:val="-1"/>
        </w:rPr>
        <w:t xml:space="preserve"> </w:t>
      </w:r>
      <w:r>
        <w:t>pricing.</w:t>
      </w:r>
    </w:p>
    <w:p w14:paraId="11401B11" w14:textId="460A6D40" w:rsidR="004F5723" w:rsidRDefault="00ED0A15">
      <w:pPr>
        <w:pStyle w:val="BodyText"/>
        <w:spacing w:before="160" w:line="259" w:lineRule="auto"/>
        <w:ind w:right="484"/>
      </w:pPr>
      <w:r>
        <w:t>Due to the rapid innovation and growth of available services in the cloud marketplace Smartronix is</w:t>
      </w:r>
      <w:r>
        <w:rPr>
          <w:spacing w:val="-47"/>
        </w:rPr>
        <w:t xml:space="preserve"> </w:t>
      </w:r>
      <w:r>
        <w:t>offering the use of all current and future cloud services as they are available. The current generation</w:t>
      </w:r>
      <w:r>
        <w:rPr>
          <w:spacing w:val="-47"/>
        </w:rPr>
        <w:t xml:space="preserve"> </w:t>
      </w:r>
      <w:r>
        <w:t>instance configurations can be found outlined in the attached pricing document. The full suite of</w:t>
      </w:r>
      <w:r>
        <w:rPr>
          <w:spacing w:val="1"/>
        </w:rPr>
        <w:t xml:space="preserve"> </w:t>
      </w:r>
      <w:r>
        <w:t>products</w:t>
      </w:r>
      <w:r>
        <w:rPr>
          <w:spacing w:val="-1"/>
        </w:rPr>
        <w:t xml:space="preserve"> </w:t>
      </w:r>
      <w:r>
        <w:t>available</w:t>
      </w:r>
      <w:r>
        <w:rPr>
          <w:spacing w:val="-2"/>
        </w:rPr>
        <w:t xml:space="preserve"> </w:t>
      </w:r>
      <w:r>
        <w:t>to</w:t>
      </w:r>
      <w:r>
        <w:rPr>
          <w:spacing w:val="-1"/>
        </w:rPr>
        <w:t xml:space="preserve"> </w:t>
      </w:r>
      <w:r>
        <w:t>the</w:t>
      </w:r>
      <w:r>
        <w:rPr>
          <w:spacing w:val="-2"/>
        </w:rPr>
        <w:t xml:space="preserve"> </w:t>
      </w:r>
      <w:r>
        <w:t>state</w:t>
      </w:r>
      <w:r>
        <w:rPr>
          <w:spacing w:val="1"/>
        </w:rPr>
        <w:t xml:space="preserve"> </w:t>
      </w:r>
      <w:r>
        <w:t>under contract</w:t>
      </w:r>
      <w:r>
        <w:rPr>
          <w:spacing w:val="-2"/>
        </w:rPr>
        <w:t xml:space="preserve"> </w:t>
      </w:r>
      <w:r>
        <w:t>with Smartronix</w:t>
      </w:r>
      <w:r>
        <w:rPr>
          <w:spacing w:val="-3"/>
        </w:rPr>
        <w:t xml:space="preserve"> </w:t>
      </w:r>
      <w:r>
        <w:t>can</w:t>
      </w:r>
      <w:r>
        <w:rPr>
          <w:spacing w:val="-1"/>
        </w:rPr>
        <w:t xml:space="preserve"> </w:t>
      </w:r>
      <w:r>
        <w:t>be found here:</w:t>
      </w:r>
    </w:p>
    <w:p w14:paraId="11401B12" w14:textId="77777777" w:rsidR="004F5723" w:rsidRDefault="00ED0A15">
      <w:pPr>
        <w:pStyle w:val="ListParagraph"/>
        <w:numPr>
          <w:ilvl w:val="0"/>
          <w:numId w:val="2"/>
        </w:numPr>
        <w:tabs>
          <w:tab w:val="left" w:pos="820"/>
          <w:tab w:val="left" w:pos="821"/>
        </w:tabs>
        <w:spacing w:before="160"/>
        <w:ind w:hanging="361"/>
      </w:pPr>
      <w:r>
        <w:t>AWS:</w:t>
      </w:r>
      <w:r>
        <w:rPr>
          <w:spacing w:val="-4"/>
        </w:rPr>
        <w:t xml:space="preserve"> </w:t>
      </w:r>
      <w:hyperlink r:id="rId10">
        <w:r>
          <w:rPr>
            <w:color w:val="007DB8"/>
          </w:rPr>
          <w:t>https://aws.amazon.com/products</w:t>
        </w:r>
      </w:hyperlink>
    </w:p>
    <w:p w14:paraId="11401B13" w14:textId="77777777" w:rsidR="004F5723" w:rsidRPr="00DC2F75" w:rsidRDefault="00ED0A15">
      <w:pPr>
        <w:pStyle w:val="ListParagraph"/>
        <w:numPr>
          <w:ilvl w:val="0"/>
          <w:numId w:val="2"/>
        </w:numPr>
        <w:tabs>
          <w:tab w:val="left" w:pos="820"/>
          <w:tab w:val="left" w:pos="821"/>
        </w:tabs>
        <w:ind w:hanging="361"/>
        <w:rPr>
          <w:lang w:val="it-IT"/>
        </w:rPr>
      </w:pPr>
      <w:r w:rsidRPr="00DC2F75">
        <w:rPr>
          <w:lang w:val="it-IT"/>
        </w:rPr>
        <w:t>Azure:</w:t>
      </w:r>
      <w:r w:rsidRPr="00DC2F75">
        <w:rPr>
          <w:spacing w:val="-7"/>
          <w:lang w:val="it-IT"/>
        </w:rPr>
        <w:t xml:space="preserve"> </w:t>
      </w:r>
      <w:hyperlink r:id="rId11">
        <w:r w:rsidRPr="00DC2F75">
          <w:rPr>
            <w:color w:val="007DB8"/>
            <w:lang w:val="it-IT"/>
          </w:rPr>
          <w:t>https://azure.microsoft.com/en-us/services/</w:t>
        </w:r>
      </w:hyperlink>
    </w:p>
    <w:p w14:paraId="11401B14" w14:textId="77777777" w:rsidR="004F5723" w:rsidRDefault="00ED0A15">
      <w:pPr>
        <w:pStyle w:val="ListParagraph"/>
        <w:numPr>
          <w:ilvl w:val="0"/>
          <w:numId w:val="2"/>
        </w:numPr>
        <w:tabs>
          <w:tab w:val="left" w:pos="820"/>
          <w:tab w:val="left" w:pos="821"/>
        </w:tabs>
        <w:spacing w:before="23"/>
        <w:ind w:hanging="361"/>
      </w:pPr>
      <w:r>
        <w:t>GCP:</w:t>
      </w:r>
      <w:r>
        <w:rPr>
          <w:spacing w:val="-6"/>
        </w:rPr>
        <w:t xml:space="preserve"> </w:t>
      </w:r>
      <w:hyperlink r:id="rId12">
        <w:r>
          <w:rPr>
            <w:color w:val="007DB8"/>
          </w:rPr>
          <w:t>https://cloud.google.com/products/</w:t>
        </w:r>
      </w:hyperlink>
    </w:p>
    <w:p w14:paraId="11401B15" w14:textId="77777777" w:rsidR="004F5723" w:rsidRPr="00AA3EE8" w:rsidRDefault="00ED0A15">
      <w:pPr>
        <w:spacing w:before="180"/>
        <w:ind w:left="100"/>
        <w:rPr>
          <w:b/>
          <w:bCs/>
          <w:i/>
        </w:rPr>
      </w:pPr>
      <w:r w:rsidRPr="00AA3EE8">
        <w:rPr>
          <w:b/>
          <w:bCs/>
          <w:i/>
        </w:rPr>
        <w:t>Note:</w:t>
      </w:r>
      <w:r w:rsidRPr="00AA3EE8">
        <w:rPr>
          <w:b/>
          <w:bCs/>
          <w:i/>
          <w:spacing w:val="-2"/>
        </w:rPr>
        <w:t xml:space="preserve"> </w:t>
      </w:r>
      <w:r w:rsidRPr="00AA3EE8">
        <w:rPr>
          <w:b/>
          <w:bCs/>
          <w:i/>
        </w:rPr>
        <w:t>Not</w:t>
      </w:r>
      <w:r w:rsidRPr="00AA3EE8">
        <w:rPr>
          <w:b/>
          <w:bCs/>
          <w:i/>
          <w:spacing w:val="-3"/>
        </w:rPr>
        <w:t xml:space="preserve"> </w:t>
      </w:r>
      <w:r w:rsidRPr="00AA3EE8">
        <w:rPr>
          <w:b/>
          <w:bCs/>
          <w:i/>
        </w:rPr>
        <w:t>all</w:t>
      </w:r>
      <w:r w:rsidRPr="00AA3EE8">
        <w:rPr>
          <w:b/>
          <w:bCs/>
          <w:i/>
          <w:spacing w:val="-2"/>
        </w:rPr>
        <w:t xml:space="preserve"> </w:t>
      </w:r>
      <w:r w:rsidRPr="00AA3EE8">
        <w:rPr>
          <w:b/>
          <w:bCs/>
          <w:i/>
        </w:rPr>
        <w:t>services</w:t>
      </w:r>
      <w:r w:rsidRPr="00AA3EE8">
        <w:rPr>
          <w:b/>
          <w:bCs/>
          <w:i/>
          <w:spacing w:val="-4"/>
        </w:rPr>
        <w:t xml:space="preserve"> </w:t>
      </w:r>
      <w:r w:rsidRPr="00AA3EE8">
        <w:rPr>
          <w:b/>
          <w:bCs/>
          <w:i/>
        </w:rPr>
        <w:t>are</w:t>
      </w:r>
      <w:r w:rsidRPr="00AA3EE8">
        <w:rPr>
          <w:b/>
          <w:bCs/>
          <w:i/>
          <w:spacing w:val="-1"/>
        </w:rPr>
        <w:t xml:space="preserve"> </w:t>
      </w:r>
      <w:r w:rsidRPr="00AA3EE8">
        <w:rPr>
          <w:b/>
          <w:bCs/>
          <w:i/>
        </w:rPr>
        <w:t>available</w:t>
      </w:r>
      <w:r w:rsidRPr="00AA3EE8">
        <w:rPr>
          <w:b/>
          <w:bCs/>
          <w:i/>
          <w:spacing w:val="-2"/>
        </w:rPr>
        <w:t xml:space="preserve"> </w:t>
      </w:r>
      <w:r w:rsidRPr="00AA3EE8">
        <w:rPr>
          <w:b/>
          <w:bCs/>
          <w:i/>
        </w:rPr>
        <w:t>in</w:t>
      </w:r>
      <w:r w:rsidRPr="00AA3EE8">
        <w:rPr>
          <w:b/>
          <w:bCs/>
          <w:i/>
          <w:spacing w:val="-2"/>
        </w:rPr>
        <w:t xml:space="preserve"> </w:t>
      </w:r>
      <w:r w:rsidRPr="00AA3EE8">
        <w:rPr>
          <w:b/>
          <w:bCs/>
          <w:i/>
        </w:rPr>
        <w:t>all</w:t>
      </w:r>
      <w:r w:rsidRPr="00AA3EE8">
        <w:rPr>
          <w:b/>
          <w:bCs/>
          <w:i/>
          <w:spacing w:val="-2"/>
        </w:rPr>
        <w:t xml:space="preserve"> </w:t>
      </w:r>
      <w:r w:rsidRPr="00AA3EE8">
        <w:rPr>
          <w:b/>
          <w:bCs/>
          <w:i/>
        </w:rPr>
        <w:t>regions.</w:t>
      </w:r>
    </w:p>
    <w:p w14:paraId="11401B16" w14:textId="77777777" w:rsidR="004F5723" w:rsidRDefault="00ED0A15">
      <w:pPr>
        <w:pStyle w:val="BodyText"/>
        <w:spacing w:before="183"/>
      </w:pPr>
      <w:r>
        <w:t>With current</w:t>
      </w:r>
      <w:r>
        <w:rPr>
          <w:spacing w:val="-3"/>
        </w:rPr>
        <w:t xml:space="preserve"> </w:t>
      </w:r>
      <w:r>
        <w:t>list pricing</w:t>
      </w:r>
      <w:r>
        <w:rPr>
          <w:spacing w:val="-1"/>
        </w:rPr>
        <w:t xml:space="preserve"> </w:t>
      </w:r>
      <w:r>
        <w:t>for</w:t>
      </w:r>
      <w:r>
        <w:rPr>
          <w:spacing w:val="-3"/>
        </w:rPr>
        <w:t xml:space="preserve"> </w:t>
      </w:r>
      <w:r>
        <w:t>all services</w:t>
      </w:r>
      <w:r>
        <w:rPr>
          <w:spacing w:val="-2"/>
        </w:rPr>
        <w:t xml:space="preserve"> </w:t>
      </w:r>
      <w:r>
        <w:t>can</w:t>
      </w:r>
      <w:r>
        <w:rPr>
          <w:spacing w:val="-1"/>
        </w:rPr>
        <w:t xml:space="preserve"> </w:t>
      </w:r>
      <w:r>
        <w:t>be</w:t>
      </w:r>
      <w:r>
        <w:rPr>
          <w:spacing w:val="-3"/>
        </w:rPr>
        <w:t xml:space="preserve"> </w:t>
      </w:r>
      <w:r>
        <w:t>found</w:t>
      </w:r>
      <w:r>
        <w:rPr>
          <w:spacing w:val="-1"/>
        </w:rPr>
        <w:t xml:space="preserve"> </w:t>
      </w:r>
      <w:r>
        <w:t>here:</w:t>
      </w:r>
    </w:p>
    <w:p w14:paraId="11401B17" w14:textId="77777777" w:rsidR="004F5723" w:rsidRDefault="00ED0A15">
      <w:pPr>
        <w:pStyle w:val="ListParagraph"/>
        <w:numPr>
          <w:ilvl w:val="0"/>
          <w:numId w:val="2"/>
        </w:numPr>
        <w:tabs>
          <w:tab w:val="left" w:pos="820"/>
          <w:tab w:val="left" w:pos="821"/>
        </w:tabs>
        <w:spacing w:before="180"/>
        <w:ind w:hanging="361"/>
      </w:pPr>
      <w:r>
        <w:t>AWS:</w:t>
      </w:r>
      <w:r>
        <w:rPr>
          <w:spacing w:val="-6"/>
        </w:rPr>
        <w:t xml:space="preserve"> </w:t>
      </w:r>
      <w:hyperlink r:id="rId13">
        <w:r>
          <w:rPr>
            <w:color w:val="007DB8"/>
          </w:rPr>
          <w:t>https://aws.amazon.com/pricing/services/</w:t>
        </w:r>
      </w:hyperlink>
    </w:p>
    <w:p w14:paraId="11401B18" w14:textId="77777777" w:rsidR="004F5723" w:rsidRPr="00DC2F75" w:rsidRDefault="00ED0A15">
      <w:pPr>
        <w:pStyle w:val="ListParagraph"/>
        <w:numPr>
          <w:ilvl w:val="0"/>
          <w:numId w:val="2"/>
        </w:numPr>
        <w:tabs>
          <w:tab w:val="left" w:pos="820"/>
          <w:tab w:val="left" w:pos="821"/>
        </w:tabs>
        <w:spacing w:before="23"/>
        <w:ind w:hanging="361"/>
        <w:rPr>
          <w:lang w:val="it-IT"/>
        </w:rPr>
      </w:pPr>
      <w:r w:rsidRPr="00DC2F75">
        <w:rPr>
          <w:lang w:val="it-IT"/>
        </w:rPr>
        <w:t>Azure:</w:t>
      </w:r>
      <w:r w:rsidRPr="00DC2F75">
        <w:rPr>
          <w:spacing w:val="-6"/>
          <w:lang w:val="it-IT"/>
        </w:rPr>
        <w:t xml:space="preserve"> </w:t>
      </w:r>
      <w:hyperlink r:id="rId14">
        <w:r w:rsidRPr="00DC2F75">
          <w:rPr>
            <w:color w:val="007DB8"/>
            <w:lang w:val="it-IT"/>
          </w:rPr>
          <w:t>https://azure.microsoft.com/en-us/pricing/</w:t>
        </w:r>
      </w:hyperlink>
    </w:p>
    <w:p w14:paraId="11401B19" w14:textId="77777777" w:rsidR="004F5723" w:rsidRDefault="00ED0A15">
      <w:pPr>
        <w:pStyle w:val="ListParagraph"/>
        <w:numPr>
          <w:ilvl w:val="0"/>
          <w:numId w:val="2"/>
        </w:numPr>
        <w:tabs>
          <w:tab w:val="left" w:pos="820"/>
          <w:tab w:val="left" w:pos="821"/>
        </w:tabs>
        <w:ind w:hanging="361"/>
      </w:pPr>
      <w:r>
        <w:t>GCP:</w:t>
      </w:r>
      <w:r>
        <w:rPr>
          <w:spacing w:val="-6"/>
        </w:rPr>
        <w:t xml:space="preserve"> </w:t>
      </w:r>
      <w:hyperlink r:id="rId15">
        <w:r>
          <w:rPr>
            <w:color w:val="007DB8"/>
          </w:rPr>
          <w:t>https://cloud.google.com/pricing/</w:t>
        </w:r>
      </w:hyperlink>
    </w:p>
    <w:p w14:paraId="11401B1A" w14:textId="77777777" w:rsidR="004F5723" w:rsidRDefault="00ED0A15">
      <w:pPr>
        <w:pStyle w:val="Heading1"/>
        <w:spacing w:before="183"/>
      </w:pPr>
      <w:r>
        <w:t>Pricing</w:t>
      </w:r>
      <w:r>
        <w:rPr>
          <w:spacing w:val="-4"/>
        </w:rPr>
        <w:t xml:space="preserve"> </w:t>
      </w:r>
      <w:r>
        <w:t>Methodology</w:t>
      </w:r>
    </w:p>
    <w:p w14:paraId="11401B1B" w14:textId="77777777" w:rsidR="004F5723" w:rsidRDefault="00ED0A15">
      <w:pPr>
        <w:pStyle w:val="BodyText"/>
        <w:spacing w:line="259" w:lineRule="auto"/>
        <w:ind w:right="433"/>
      </w:pPr>
      <w:r>
        <w:t>Smartronix’ approach to pricing and discounts based on consumption (or utility style), with Managed</w:t>
      </w:r>
      <w:r>
        <w:rPr>
          <w:spacing w:val="-47"/>
        </w:rPr>
        <w:t xml:space="preserve"> </w:t>
      </w:r>
      <w:r>
        <w:t>Service cost broken out from the cost of compute. We believe this model, of separating the cloud</w:t>
      </w:r>
      <w:r>
        <w:rPr>
          <w:spacing w:val="1"/>
        </w:rPr>
        <w:t xml:space="preserve"> </w:t>
      </w:r>
      <w:r>
        <w:t>service and</w:t>
      </w:r>
      <w:r>
        <w:rPr>
          <w:spacing w:val="-3"/>
        </w:rPr>
        <w:t xml:space="preserve"> </w:t>
      </w:r>
      <w:r>
        <w:t>management</w:t>
      </w:r>
      <w:r>
        <w:rPr>
          <w:spacing w:val="-3"/>
        </w:rPr>
        <w:t xml:space="preserve"> </w:t>
      </w:r>
      <w:r>
        <w:t>costs</w:t>
      </w:r>
      <w:r>
        <w:rPr>
          <w:spacing w:val="-2"/>
        </w:rPr>
        <w:t xml:space="preserve"> </w:t>
      </w:r>
      <w:r>
        <w:t>provide the customer</w:t>
      </w:r>
      <w:r>
        <w:rPr>
          <w:spacing w:val="-4"/>
        </w:rPr>
        <w:t xml:space="preserve"> </w:t>
      </w:r>
      <w:r>
        <w:t>with</w:t>
      </w:r>
      <w:r>
        <w:rPr>
          <w:spacing w:val="-1"/>
        </w:rPr>
        <w:t xml:space="preserve"> </w:t>
      </w:r>
      <w:r>
        <w:t>the</w:t>
      </w:r>
      <w:r>
        <w:rPr>
          <w:spacing w:val="-3"/>
        </w:rPr>
        <w:t xml:space="preserve"> </w:t>
      </w:r>
      <w:r>
        <w:t>most</w:t>
      </w:r>
      <w:r>
        <w:rPr>
          <w:spacing w:val="-2"/>
        </w:rPr>
        <w:t xml:space="preserve"> </w:t>
      </w:r>
      <w:r>
        <w:t>flexible and</w:t>
      </w:r>
      <w:r>
        <w:rPr>
          <w:spacing w:val="-1"/>
        </w:rPr>
        <w:t xml:space="preserve"> </w:t>
      </w:r>
      <w:r>
        <w:t>transparency.</w:t>
      </w:r>
    </w:p>
    <w:p w14:paraId="11401B1C" w14:textId="77777777" w:rsidR="004F5723" w:rsidRDefault="00ED0A15">
      <w:pPr>
        <w:pStyle w:val="BodyText"/>
        <w:spacing w:before="160" w:line="259" w:lineRule="auto"/>
        <w:ind w:right="186"/>
      </w:pPr>
      <w:proofErr w:type="gramStart"/>
      <w:r>
        <w:t>First</w:t>
      </w:r>
      <w:proofErr w:type="gramEnd"/>
      <w:r>
        <w:t xml:space="preserve"> we are offering discounts, outlined below, based on your month AWS spend. For example, utilizing</w:t>
      </w:r>
      <w:r>
        <w:rPr>
          <w:spacing w:val="-47"/>
        </w:rPr>
        <w:t xml:space="preserve"> </w:t>
      </w:r>
      <w:proofErr w:type="spellStart"/>
      <w:r>
        <w:t>CloudCheckr</w:t>
      </w:r>
      <w:proofErr w:type="spellEnd"/>
      <w:r>
        <w:t xml:space="preserve"> we run your AWS invoice at list price. We then discount that amount and invoice you. Our</w:t>
      </w:r>
      <w:r>
        <w:rPr>
          <w:spacing w:val="1"/>
        </w:rPr>
        <w:t xml:space="preserve"> </w:t>
      </w:r>
      <w:r>
        <w:t>CAMS offering, invoiced separately, from your cloud services is priced per instance. In a variable</w:t>
      </w:r>
      <w:r>
        <w:rPr>
          <w:spacing w:val="1"/>
        </w:rPr>
        <w:t xml:space="preserve"> </w:t>
      </w:r>
      <w:r>
        <w:t xml:space="preserve">environment where instances are stood up and shut down </w:t>
      </w:r>
      <w:proofErr w:type="gramStart"/>
      <w:r>
        <w:t>frequently</w:t>
      </w:r>
      <w:proofErr w:type="gramEnd"/>
      <w:r>
        <w:t xml:space="preserve"> we invoice the number of</w:t>
      </w:r>
      <w:r>
        <w:rPr>
          <w:spacing w:val="1"/>
        </w:rPr>
        <w:t xml:space="preserve"> </w:t>
      </w:r>
      <w:r>
        <w:t>effective</w:t>
      </w:r>
      <w:r>
        <w:rPr>
          <w:spacing w:val="-2"/>
        </w:rPr>
        <w:t xml:space="preserve"> </w:t>
      </w:r>
      <w:r>
        <w:t>instances:</w:t>
      </w:r>
    </w:p>
    <w:p w14:paraId="11401B1D" w14:textId="77777777" w:rsidR="004F5723" w:rsidRDefault="004F5723">
      <w:pPr>
        <w:pStyle w:val="BodyText"/>
        <w:spacing w:before="6" w:after="1"/>
        <w:ind w:left="0"/>
        <w:rPr>
          <w:sz w:val="16"/>
        </w:rPr>
      </w:pPr>
    </w:p>
    <w:tbl>
      <w:tblPr>
        <w:tblW w:w="0" w:type="auto"/>
        <w:tblInd w:w="2103" w:type="dxa"/>
        <w:tblLayout w:type="fixed"/>
        <w:tblCellMar>
          <w:left w:w="0" w:type="dxa"/>
          <w:right w:w="0" w:type="dxa"/>
        </w:tblCellMar>
        <w:tblLook w:val="01E0" w:firstRow="1" w:lastRow="1" w:firstColumn="1" w:lastColumn="1" w:noHBand="0" w:noVBand="0"/>
      </w:tblPr>
      <w:tblGrid>
        <w:gridCol w:w="2533"/>
        <w:gridCol w:w="426"/>
        <w:gridCol w:w="2384"/>
      </w:tblGrid>
      <w:tr w:rsidR="004F5723" w14:paraId="11401B21" w14:textId="77777777">
        <w:trPr>
          <w:trHeight w:val="249"/>
        </w:trPr>
        <w:tc>
          <w:tcPr>
            <w:tcW w:w="2533" w:type="dxa"/>
          </w:tcPr>
          <w:p w14:paraId="11401B1E" w14:textId="77777777" w:rsidR="004F5723" w:rsidRDefault="00ED0A15">
            <w:pPr>
              <w:pStyle w:val="TableParagraph"/>
              <w:tabs>
                <w:tab w:val="left" w:pos="351"/>
                <w:tab w:val="left" w:pos="2614"/>
              </w:tabs>
              <w:spacing w:before="0" w:line="225" w:lineRule="exact"/>
              <w:ind w:left="77" w:right="-87"/>
              <w:jc w:val="center"/>
              <w:rPr>
                <w:rFonts w:ascii="Calibri"/>
              </w:rPr>
            </w:pPr>
            <w:r>
              <w:rPr>
                <w:rFonts w:ascii="Calibri"/>
                <w:u w:val="single"/>
              </w:rPr>
              <w:t xml:space="preserve"> </w:t>
            </w:r>
            <w:r>
              <w:rPr>
                <w:rFonts w:ascii="Calibri"/>
                <w:u w:val="single"/>
              </w:rPr>
              <w:tab/>
              <w:t>Total</w:t>
            </w:r>
            <w:r>
              <w:rPr>
                <w:rFonts w:ascii="Calibri"/>
                <w:spacing w:val="-4"/>
                <w:u w:val="single"/>
              </w:rPr>
              <w:t xml:space="preserve"> </w:t>
            </w:r>
            <w:r>
              <w:rPr>
                <w:rFonts w:ascii="Calibri"/>
                <w:u w:val="single"/>
              </w:rPr>
              <w:t>hours</w:t>
            </w:r>
            <w:r>
              <w:rPr>
                <w:rFonts w:ascii="Calibri"/>
                <w:spacing w:val="-2"/>
                <w:u w:val="single"/>
              </w:rPr>
              <w:t xml:space="preserve"> </w:t>
            </w:r>
            <w:r>
              <w:rPr>
                <w:rFonts w:ascii="Calibri"/>
                <w:u w:val="single"/>
              </w:rPr>
              <w:t>consumed</w:t>
            </w:r>
            <w:r>
              <w:rPr>
                <w:rFonts w:ascii="Calibri"/>
                <w:u w:val="single"/>
              </w:rPr>
              <w:tab/>
            </w:r>
          </w:p>
        </w:tc>
        <w:tc>
          <w:tcPr>
            <w:tcW w:w="426" w:type="dxa"/>
          </w:tcPr>
          <w:p w14:paraId="11401B1F" w14:textId="77777777" w:rsidR="004F5723" w:rsidRDefault="00ED0A15">
            <w:pPr>
              <w:pStyle w:val="TableParagraph"/>
              <w:spacing w:before="0" w:line="225" w:lineRule="exact"/>
              <w:ind w:left="190"/>
              <w:rPr>
                <w:rFonts w:ascii="Calibri"/>
              </w:rPr>
            </w:pPr>
            <w:r>
              <w:rPr>
                <w:rFonts w:ascii="Calibri"/>
              </w:rPr>
              <w:t>=</w:t>
            </w:r>
          </w:p>
        </w:tc>
        <w:tc>
          <w:tcPr>
            <w:tcW w:w="2384" w:type="dxa"/>
          </w:tcPr>
          <w:p w14:paraId="11401B20" w14:textId="77777777" w:rsidR="004F5723" w:rsidRDefault="00ED0A15">
            <w:pPr>
              <w:pStyle w:val="TableParagraph"/>
              <w:spacing w:before="0" w:line="225" w:lineRule="exact"/>
              <w:ind w:left="126"/>
              <w:rPr>
                <w:rFonts w:ascii="Calibri"/>
              </w:rPr>
            </w:pPr>
            <w:r>
              <w:rPr>
                <w:rFonts w:ascii="Calibri"/>
              </w:rPr>
              <w:t>#</w:t>
            </w:r>
            <w:r>
              <w:rPr>
                <w:rFonts w:ascii="Calibri"/>
                <w:spacing w:val="-2"/>
              </w:rPr>
              <w:t xml:space="preserve"> </w:t>
            </w:r>
            <w:r>
              <w:rPr>
                <w:rFonts w:ascii="Calibri"/>
              </w:rPr>
              <w:t>of</w:t>
            </w:r>
            <w:r>
              <w:rPr>
                <w:rFonts w:ascii="Calibri"/>
                <w:spacing w:val="-4"/>
              </w:rPr>
              <w:t xml:space="preserve"> </w:t>
            </w:r>
            <w:r>
              <w:rPr>
                <w:rFonts w:ascii="Calibri"/>
              </w:rPr>
              <w:t>effective</w:t>
            </w:r>
            <w:r>
              <w:rPr>
                <w:rFonts w:ascii="Calibri"/>
                <w:spacing w:val="-1"/>
              </w:rPr>
              <w:t xml:space="preserve"> </w:t>
            </w:r>
            <w:r>
              <w:rPr>
                <w:rFonts w:ascii="Calibri"/>
              </w:rPr>
              <w:t>instances</w:t>
            </w:r>
          </w:p>
        </w:tc>
      </w:tr>
      <w:tr w:rsidR="004F5723" w14:paraId="11401B25" w14:textId="77777777">
        <w:trPr>
          <w:trHeight w:val="249"/>
        </w:trPr>
        <w:tc>
          <w:tcPr>
            <w:tcW w:w="2533" w:type="dxa"/>
          </w:tcPr>
          <w:p w14:paraId="11401B22" w14:textId="77777777" w:rsidR="004F5723" w:rsidRDefault="00ED0A15">
            <w:pPr>
              <w:pStyle w:val="TableParagraph"/>
              <w:spacing w:before="0" w:line="230" w:lineRule="exact"/>
              <w:ind w:left="182" w:right="21"/>
              <w:jc w:val="center"/>
              <w:rPr>
                <w:rFonts w:ascii="Calibri"/>
              </w:rPr>
            </w:pPr>
            <w:r>
              <w:rPr>
                <w:rFonts w:ascii="Calibri"/>
              </w:rPr>
              <w:t>Total</w:t>
            </w:r>
            <w:r>
              <w:rPr>
                <w:rFonts w:ascii="Calibri"/>
                <w:spacing w:val="-2"/>
              </w:rPr>
              <w:t xml:space="preserve"> </w:t>
            </w:r>
            <w:r>
              <w:rPr>
                <w:rFonts w:ascii="Calibri"/>
              </w:rPr>
              <w:t>hours</w:t>
            </w:r>
            <w:r>
              <w:rPr>
                <w:rFonts w:ascii="Calibri"/>
                <w:spacing w:val="1"/>
              </w:rPr>
              <w:t xml:space="preserve"> </w:t>
            </w:r>
            <w:r>
              <w:rPr>
                <w:rFonts w:ascii="Calibri"/>
              </w:rPr>
              <w:t>in</w:t>
            </w:r>
            <w:r>
              <w:rPr>
                <w:rFonts w:ascii="Calibri"/>
                <w:spacing w:val="-2"/>
              </w:rPr>
              <w:t xml:space="preserve"> </w:t>
            </w:r>
            <w:r>
              <w:rPr>
                <w:rFonts w:ascii="Calibri"/>
              </w:rPr>
              <w:t>that</w:t>
            </w:r>
            <w:r>
              <w:rPr>
                <w:rFonts w:ascii="Calibri"/>
                <w:spacing w:val="-1"/>
              </w:rPr>
              <w:t xml:space="preserve"> </w:t>
            </w:r>
            <w:r>
              <w:rPr>
                <w:rFonts w:ascii="Calibri"/>
              </w:rPr>
              <w:t>month</w:t>
            </w:r>
          </w:p>
        </w:tc>
        <w:tc>
          <w:tcPr>
            <w:tcW w:w="426" w:type="dxa"/>
          </w:tcPr>
          <w:p w14:paraId="11401B23" w14:textId="77777777" w:rsidR="004F5723" w:rsidRDefault="004F5723">
            <w:pPr>
              <w:pStyle w:val="TableParagraph"/>
              <w:spacing w:before="0"/>
              <w:ind w:left="0"/>
              <w:rPr>
                <w:rFonts w:ascii="Times New Roman"/>
                <w:sz w:val="18"/>
              </w:rPr>
            </w:pPr>
          </w:p>
        </w:tc>
        <w:tc>
          <w:tcPr>
            <w:tcW w:w="2384" w:type="dxa"/>
          </w:tcPr>
          <w:p w14:paraId="11401B24" w14:textId="77777777" w:rsidR="004F5723" w:rsidRDefault="004F5723">
            <w:pPr>
              <w:pStyle w:val="TableParagraph"/>
              <w:spacing w:before="0"/>
              <w:ind w:left="0"/>
              <w:rPr>
                <w:rFonts w:ascii="Times New Roman"/>
                <w:sz w:val="18"/>
              </w:rPr>
            </w:pPr>
          </w:p>
        </w:tc>
      </w:tr>
    </w:tbl>
    <w:p w14:paraId="11401B26" w14:textId="77777777" w:rsidR="004F5723" w:rsidRDefault="004F5723">
      <w:pPr>
        <w:pStyle w:val="BodyText"/>
        <w:spacing w:before="0"/>
        <w:ind w:left="0"/>
      </w:pPr>
    </w:p>
    <w:p w14:paraId="11401B27" w14:textId="77777777" w:rsidR="004F5723" w:rsidRDefault="00ED0A15">
      <w:pPr>
        <w:pStyle w:val="Heading1"/>
        <w:spacing w:before="188"/>
      </w:pPr>
      <w:r>
        <w:t>Cloud</w:t>
      </w:r>
      <w:r>
        <w:rPr>
          <w:spacing w:val="-5"/>
        </w:rPr>
        <w:t xml:space="preserve"> </w:t>
      </w:r>
      <w:r>
        <w:t>Services</w:t>
      </w:r>
      <w:r>
        <w:rPr>
          <w:spacing w:val="-1"/>
        </w:rPr>
        <w:t xml:space="preserve"> </w:t>
      </w:r>
      <w:r>
        <w:t>Price</w:t>
      </w:r>
      <w:r>
        <w:rPr>
          <w:spacing w:val="-4"/>
        </w:rPr>
        <w:t xml:space="preserve"> </w:t>
      </w:r>
      <w:r>
        <w:t>Estimating</w:t>
      </w:r>
    </w:p>
    <w:p w14:paraId="11401B28" w14:textId="77777777" w:rsidR="004F5723" w:rsidRDefault="00ED0A15">
      <w:pPr>
        <w:pStyle w:val="BodyText"/>
        <w:spacing w:line="259" w:lineRule="auto"/>
        <w:ind w:right="90"/>
      </w:pPr>
      <w:r>
        <w:t>AWS provide pricing calculators to estimate the cost of their services. These calculators are an important</w:t>
      </w:r>
      <w:r>
        <w:rPr>
          <w:spacing w:val="-47"/>
        </w:rPr>
        <w:t xml:space="preserve"> </w:t>
      </w:r>
      <w:r>
        <w:t>tool to estimate the cost of future task orders. And with all prices being publicly available there are no</w:t>
      </w:r>
      <w:r>
        <w:rPr>
          <w:spacing w:val="1"/>
        </w:rPr>
        <w:t xml:space="preserve"> </w:t>
      </w:r>
      <w:r>
        <w:t>hidden</w:t>
      </w:r>
      <w:r>
        <w:rPr>
          <w:spacing w:val="-1"/>
        </w:rPr>
        <w:t xml:space="preserve"> </w:t>
      </w:r>
      <w:r>
        <w:t>cost.</w:t>
      </w:r>
      <w:r>
        <w:rPr>
          <w:spacing w:val="-2"/>
        </w:rPr>
        <w:t xml:space="preserve"> </w:t>
      </w:r>
      <w:r>
        <w:t>These</w:t>
      </w:r>
      <w:r>
        <w:rPr>
          <w:spacing w:val="1"/>
        </w:rPr>
        <w:t xml:space="preserve"> </w:t>
      </w:r>
      <w:r>
        <w:t>calculators can</w:t>
      </w:r>
      <w:r>
        <w:rPr>
          <w:spacing w:val="-3"/>
        </w:rPr>
        <w:t xml:space="preserve"> </w:t>
      </w:r>
      <w:r>
        <w:t>be found</w:t>
      </w:r>
      <w:r>
        <w:rPr>
          <w:spacing w:val="-1"/>
        </w:rPr>
        <w:t xml:space="preserve"> </w:t>
      </w:r>
      <w:r>
        <w:t>here:</w:t>
      </w:r>
    </w:p>
    <w:p w14:paraId="43DD58E1" w14:textId="77777777" w:rsidR="004F5723" w:rsidRDefault="004F5723">
      <w:pPr>
        <w:spacing w:line="259" w:lineRule="auto"/>
      </w:pPr>
    </w:p>
    <w:p w14:paraId="0F909994" w14:textId="77777777" w:rsidR="00E84C8E" w:rsidRDefault="00E84C8E">
      <w:pPr>
        <w:spacing w:line="259" w:lineRule="auto"/>
      </w:pPr>
    </w:p>
    <w:p w14:paraId="46DB40B8" w14:textId="77777777" w:rsidR="00E84C8E" w:rsidRDefault="00E84C8E">
      <w:pPr>
        <w:spacing w:line="259" w:lineRule="auto"/>
      </w:pPr>
    </w:p>
    <w:p w14:paraId="11401B29" w14:textId="77777777" w:rsidR="00E84C8E" w:rsidRDefault="00E84C8E">
      <w:pPr>
        <w:spacing w:line="259" w:lineRule="auto"/>
        <w:sectPr w:rsidR="00E84C8E" w:rsidSect="00AE7F2F">
          <w:type w:val="continuous"/>
          <w:pgSz w:w="12240" w:h="15840"/>
          <w:pgMar w:top="1400" w:right="1340" w:bottom="280" w:left="1340" w:header="720" w:footer="720" w:gutter="0"/>
          <w:cols w:space="720"/>
        </w:sectPr>
      </w:pPr>
    </w:p>
    <w:p w14:paraId="255470F9" w14:textId="77777777" w:rsidR="00E84C8E" w:rsidRDefault="00E84C8E" w:rsidP="00E84C8E">
      <w:pPr>
        <w:pStyle w:val="ListParagraph"/>
        <w:tabs>
          <w:tab w:val="left" w:pos="865"/>
          <w:tab w:val="left" w:pos="866"/>
        </w:tabs>
        <w:spacing w:before="80"/>
        <w:ind w:left="866" w:firstLine="0"/>
      </w:pPr>
    </w:p>
    <w:p w14:paraId="6C496222" w14:textId="77777777" w:rsidR="00E84C8E" w:rsidRDefault="00E84C8E" w:rsidP="00E84C8E">
      <w:pPr>
        <w:pStyle w:val="ListParagraph"/>
        <w:tabs>
          <w:tab w:val="left" w:pos="865"/>
          <w:tab w:val="left" w:pos="866"/>
        </w:tabs>
        <w:spacing w:before="80"/>
        <w:ind w:left="866" w:firstLine="0"/>
      </w:pPr>
    </w:p>
    <w:p w14:paraId="6F683856" w14:textId="77777777" w:rsidR="00E84C8E" w:rsidRDefault="00E84C8E" w:rsidP="00E84C8E">
      <w:pPr>
        <w:pStyle w:val="ListParagraph"/>
        <w:tabs>
          <w:tab w:val="left" w:pos="865"/>
          <w:tab w:val="left" w:pos="866"/>
        </w:tabs>
        <w:spacing w:before="80"/>
        <w:ind w:left="866" w:firstLine="0"/>
      </w:pPr>
    </w:p>
    <w:p w14:paraId="11401B2A" w14:textId="182D8503" w:rsidR="004F5723" w:rsidRDefault="00ED0A15">
      <w:pPr>
        <w:pStyle w:val="ListParagraph"/>
        <w:numPr>
          <w:ilvl w:val="0"/>
          <w:numId w:val="2"/>
        </w:numPr>
        <w:tabs>
          <w:tab w:val="left" w:pos="865"/>
          <w:tab w:val="left" w:pos="866"/>
        </w:tabs>
        <w:spacing w:before="80"/>
        <w:ind w:left="866"/>
      </w:pPr>
      <w:r>
        <w:t>AWS:</w:t>
      </w:r>
      <w:r>
        <w:rPr>
          <w:spacing w:val="-6"/>
        </w:rPr>
        <w:t xml:space="preserve"> </w:t>
      </w:r>
      <w:hyperlink r:id="rId16">
        <w:r>
          <w:rPr>
            <w:color w:val="007DB8"/>
          </w:rPr>
          <w:t>http://calculator.s3.amazonaws.com/index.html</w:t>
        </w:r>
      </w:hyperlink>
    </w:p>
    <w:p w14:paraId="11401B2B" w14:textId="77777777" w:rsidR="004F5723" w:rsidRPr="00DC2F75" w:rsidRDefault="00ED0A15">
      <w:pPr>
        <w:pStyle w:val="ListParagraph"/>
        <w:numPr>
          <w:ilvl w:val="0"/>
          <w:numId w:val="2"/>
        </w:numPr>
        <w:tabs>
          <w:tab w:val="left" w:pos="865"/>
          <w:tab w:val="left" w:pos="866"/>
        </w:tabs>
        <w:spacing w:before="22"/>
        <w:ind w:left="866"/>
        <w:rPr>
          <w:lang w:val="it-IT"/>
        </w:rPr>
      </w:pPr>
      <w:r w:rsidRPr="00DC2F75">
        <w:rPr>
          <w:lang w:val="it-IT"/>
        </w:rPr>
        <w:t>Azure:</w:t>
      </w:r>
      <w:r w:rsidRPr="00DC2F75">
        <w:rPr>
          <w:spacing w:val="-9"/>
          <w:lang w:val="it-IT"/>
        </w:rPr>
        <w:t xml:space="preserve"> </w:t>
      </w:r>
      <w:hyperlink r:id="rId17" w:anchor="explore-cost">
        <w:r w:rsidRPr="00DC2F75">
          <w:rPr>
            <w:color w:val="007DB8"/>
            <w:lang w:val="it-IT"/>
          </w:rPr>
          <w:t>https://azure.microsoft.com/en-us/pricing/#explore-cost</w:t>
        </w:r>
      </w:hyperlink>
    </w:p>
    <w:p w14:paraId="11401B2C" w14:textId="77777777" w:rsidR="004F5723" w:rsidRDefault="00ED0A15">
      <w:pPr>
        <w:pStyle w:val="ListParagraph"/>
        <w:numPr>
          <w:ilvl w:val="0"/>
          <w:numId w:val="2"/>
        </w:numPr>
        <w:tabs>
          <w:tab w:val="left" w:pos="865"/>
          <w:tab w:val="left" w:pos="866"/>
        </w:tabs>
        <w:spacing w:before="20"/>
        <w:ind w:left="866"/>
      </w:pPr>
      <w:r>
        <w:t>GCP:</w:t>
      </w:r>
      <w:r>
        <w:rPr>
          <w:spacing w:val="40"/>
        </w:rPr>
        <w:t xml:space="preserve"> </w:t>
      </w:r>
      <w:hyperlink r:id="rId18">
        <w:r>
          <w:rPr>
            <w:color w:val="007DB8"/>
          </w:rPr>
          <w:t>https://cloud.google.com/products/calculator/</w:t>
        </w:r>
      </w:hyperlink>
    </w:p>
    <w:p w14:paraId="11401B2D" w14:textId="77777777" w:rsidR="004F5723" w:rsidRDefault="00ED0A15">
      <w:pPr>
        <w:pStyle w:val="Heading1"/>
        <w:spacing w:before="182"/>
      </w:pPr>
      <w:r>
        <w:t>Discounting</w:t>
      </w:r>
    </w:p>
    <w:p w14:paraId="11401B2E" w14:textId="77777777" w:rsidR="004F5723" w:rsidRDefault="00ED0A15">
      <w:pPr>
        <w:pStyle w:val="BodyText"/>
        <w:spacing w:line="259" w:lineRule="auto"/>
      </w:pPr>
      <w:r>
        <w:t>We</w:t>
      </w:r>
      <w:r>
        <w:rPr>
          <w:spacing w:val="-1"/>
        </w:rPr>
        <w:t xml:space="preserve"> </w:t>
      </w:r>
      <w:r>
        <w:t>are</w:t>
      </w:r>
      <w:r>
        <w:rPr>
          <w:spacing w:val="-3"/>
        </w:rPr>
        <w:t xml:space="preserve"> </w:t>
      </w:r>
      <w:r>
        <w:t>offering</w:t>
      </w:r>
      <w:r>
        <w:rPr>
          <w:spacing w:val="-2"/>
        </w:rPr>
        <w:t xml:space="preserve"> </w:t>
      </w:r>
      <w:r>
        <w:t>the</w:t>
      </w:r>
      <w:r>
        <w:rPr>
          <w:spacing w:val="-2"/>
        </w:rPr>
        <w:t xml:space="preserve"> </w:t>
      </w:r>
      <w:r>
        <w:t>following</w:t>
      </w:r>
      <w:r>
        <w:rPr>
          <w:spacing w:val="-2"/>
        </w:rPr>
        <w:t xml:space="preserve"> </w:t>
      </w:r>
      <w:r>
        <w:t>discounts</w:t>
      </w:r>
      <w:r>
        <w:rPr>
          <w:spacing w:val="-3"/>
        </w:rPr>
        <w:t xml:space="preserve"> </w:t>
      </w:r>
      <w:proofErr w:type="gramStart"/>
      <w:r>
        <w:t>off</w:t>
      </w:r>
      <w:r>
        <w:rPr>
          <w:spacing w:val="-3"/>
        </w:rPr>
        <w:t xml:space="preserve"> </w:t>
      </w:r>
      <w:r>
        <w:t>of</w:t>
      </w:r>
      <w:proofErr w:type="gramEnd"/>
      <w:r>
        <w:rPr>
          <w:spacing w:val="-1"/>
        </w:rPr>
        <w:t xml:space="preserve"> </w:t>
      </w:r>
      <w:r>
        <w:t>the list</w:t>
      </w:r>
      <w:r>
        <w:rPr>
          <w:spacing w:val="-5"/>
        </w:rPr>
        <w:t xml:space="preserve"> </w:t>
      </w:r>
      <w:r>
        <w:t>price at</w:t>
      </w:r>
      <w:r>
        <w:rPr>
          <w:spacing w:val="-3"/>
        </w:rPr>
        <w:t xml:space="preserve"> </w:t>
      </w:r>
      <w:r>
        <w:t>the</w:t>
      </w:r>
      <w:r>
        <w:rPr>
          <w:spacing w:val="-1"/>
        </w:rPr>
        <w:t xml:space="preserve"> </w:t>
      </w:r>
      <w:r>
        <w:t>time</w:t>
      </w:r>
      <w:r>
        <w:rPr>
          <w:spacing w:val="-2"/>
        </w:rPr>
        <w:t xml:space="preserve"> </w:t>
      </w:r>
      <w:r>
        <w:t>of</w:t>
      </w:r>
      <w:r>
        <w:rPr>
          <w:spacing w:val="-1"/>
        </w:rPr>
        <w:t xml:space="preserve"> </w:t>
      </w:r>
      <w:r>
        <w:t>consumption</w:t>
      </w:r>
      <w:r>
        <w:rPr>
          <w:spacing w:val="-2"/>
        </w:rPr>
        <w:t xml:space="preserve"> </w:t>
      </w:r>
      <w:r>
        <w:t>for</w:t>
      </w:r>
      <w:r>
        <w:rPr>
          <w:spacing w:val="-4"/>
        </w:rPr>
        <w:t xml:space="preserve"> </w:t>
      </w:r>
      <w:r>
        <w:t>each</w:t>
      </w:r>
      <w:r>
        <w:rPr>
          <w:spacing w:val="-3"/>
        </w:rPr>
        <w:t xml:space="preserve"> </w:t>
      </w:r>
      <w:r>
        <w:t>cloud</w:t>
      </w:r>
      <w:r>
        <w:rPr>
          <w:spacing w:val="-47"/>
        </w:rPr>
        <w:t xml:space="preserve"> </w:t>
      </w:r>
      <w:r>
        <w:t>provider:</w:t>
      </w:r>
    </w:p>
    <w:p w14:paraId="11401B2F" w14:textId="77777777" w:rsidR="004F5723" w:rsidRDefault="00ED0A15">
      <w:pPr>
        <w:pStyle w:val="ListParagraph"/>
        <w:numPr>
          <w:ilvl w:val="0"/>
          <w:numId w:val="2"/>
        </w:numPr>
        <w:tabs>
          <w:tab w:val="left" w:pos="820"/>
          <w:tab w:val="left" w:pos="821"/>
        </w:tabs>
        <w:spacing w:before="160"/>
        <w:ind w:hanging="361"/>
      </w:pPr>
      <w:r>
        <w:t>3%</w:t>
      </w:r>
      <w:r>
        <w:rPr>
          <w:spacing w:val="-2"/>
        </w:rPr>
        <w:t xml:space="preserve"> </w:t>
      </w:r>
      <w:r>
        <w:t>on</w:t>
      </w:r>
      <w:r>
        <w:rPr>
          <w:spacing w:val="-1"/>
        </w:rPr>
        <w:t xml:space="preserve"> </w:t>
      </w:r>
      <w:r>
        <w:t>AWS</w:t>
      </w:r>
      <w:r>
        <w:rPr>
          <w:spacing w:val="-2"/>
        </w:rPr>
        <w:t xml:space="preserve"> </w:t>
      </w:r>
      <w:r>
        <w:t>cost</w:t>
      </w:r>
    </w:p>
    <w:p w14:paraId="11401B31" w14:textId="77777777" w:rsidR="004F5723" w:rsidRDefault="00ED0A15">
      <w:pPr>
        <w:pStyle w:val="ListParagraph"/>
        <w:numPr>
          <w:ilvl w:val="0"/>
          <w:numId w:val="2"/>
        </w:numPr>
        <w:tabs>
          <w:tab w:val="left" w:pos="820"/>
          <w:tab w:val="left" w:pos="821"/>
        </w:tabs>
        <w:spacing w:before="20"/>
        <w:ind w:hanging="361"/>
      </w:pPr>
      <w:r>
        <w:t>3%</w:t>
      </w:r>
      <w:r>
        <w:rPr>
          <w:spacing w:val="-3"/>
        </w:rPr>
        <w:t xml:space="preserve"> </w:t>
      </w:r>
      <w:r>
        <w:t>on</w:t>
      </w:r>
      <w:r>
        <w:rPr>
          <w:spacing w:val="-1"/>
        </w:rPr>
        <w:t xml:space="preserve"> </w:t>
      </w:r>
      <w:r>
        <w:t>GCP</w:t>
      </w:r>
      <w:r>
        <w:rPr>
          <w:spacing w:val="1"/>
        </w:rPr>
        <w:t xml:space="preserve"> </w:t>
      </w:r>
      <w:r>
        <w:t>cost</w:t>
      </w:r>
    </w:p>
    <w:p w14:paraId="11401B32" w14:textId="77777777" w:rsidR="004F5723" w:rsidRDefault="00ED0A15">
      <w:pPr>
        <w:spacing w:before="183" w:line="259" w:lineRule="auto"/>
        <w:ind w:left="100" w:right="109"/>
        <w:rPr>
          <w:i/>
        </w:rPr>
      </w:pPr>
      <w:r>
        <w:rPr>
          <w:i/>
        </w:rPr>
        <w:t>Note:</w:t>
      </w:r>
      <w:r>
        <w:rPr>
          <w:i/>
          <w:spacing w:val="1"/>
        </w:rPr>
        <w:t xml:space="preserve"> </w:t>
      </w:r>
      <w:r>
        <w:rPr>
          <w:i/>
        </w:rPr>
        <w:t>There are no discounts provided on products and services sold thru Amazon AWS for which</w:t>
      </w:r>
      <w:r>
        <w:rPr>
          <w:i/>
          <w:spacing w:val="1"/>
        </w:rPr>
        <w:t xml:space="preserve"> </w:t>
      </w:r>
      <w:r>
        <w:rPr>
          <w:i/>
        </w:rPr>
        <w:t>Smartronix does not receive a discount. This currently includes fees associated with:</w:t>
      </w:r>
      <w:r>
        <w:rPr>
          <w:i/>
          <w:spacing w:val="1"/>
        </w:rPr>
        <w:t xml:space="preserve"> </w:t>
      </w:r>
      <w:r>
        <w:rPr>
          <w:i/>
        </w:rPr>
        <w:t xml:space="preserve">Amazon </w:t>
      </w:r>
      <w:proofErr w:type="spellStart"/>
      <w:r>
        <w:rPr>
          <w:i/>
        </w:rPr>
        <w:t>DevPay</w:t>
      </w:r>
      <w:proofErr w:type="spellEnd"/>
      <w:r>
        <w:rPr>
          <w:i/>
        </w:rPr>
        <w:t>,</w:t>
      </w:r>
      <w:r>
        <w:rPr>
          <w:i/>
          <w:spacing w:val="1"/>
        </w:rPr>
        <w:t xml:space="preserve"> </w:t>
      </w:r>
      <w:r>
        <w:rPr>
          <w:i/>
        </w:rPr>
        <w:t>Amazon Mechanical Turk, Amazon Flexible Payment Services and any 3</w:t>
      </w:r>
      <w:r>
        <w:rPr>
          <w:i/>
          <w:vertAlign w:val="superscript"/>
        </w:rPr>
        <w:t>rd</w:t>
      </w:r>
      <w:r>
        <w:rPr>
          <w:i/>
        </w:rPr>
        <w:t xml:space="preserve"> party products purchased in the</w:t>
      </w:r>
      <w:r>
        <w:rPr>
          <w:i/>
          <w:spacing w:val="-47"/>
        </w:rPr>
        <w:t xml:space="preserve"> </w:t>
      </w:r>
      <w:r>
        <w:rPr>
          <w:i/>
        </w:rPr>
        <w:t>AWS</w:t>
      </w:r>
      <w:r>
        <w:rPr>
          <w:i/>
          <w:spacing w:val="-1"/>
        </w:rPr>
        <w:t xml:space="preserve"> </w:t>
      </w:r>
      <w:r>
        <w:rPr>
          <w:i/>
        </w:rPr>
        <w:t>Marketplace.</w:t>
      </w:r>
    </w:p>
    <w:p w14:paraId="11401B34" w14:textId="7A809778" w:rsidR="004F5723" w:rsidRDefault="00ED0A15">
      <w:pPr>
        <w:pStyle w:val="BodyText"/>
        <w:spacing w:before="162"/>
      </w:pPr>
      <w:r>
        <w:t>We</w:t>
      </w:r>
      <w:r>
        <w:rPr>
          <w:spacing w:val="-2"/>
        </w:rPr>
        <w:t xml:space="preserve"> </w:t>
      </w:r>
      <w:r>
        <w:t>are also</w:t>
      </w:r>
      <w:r>
        <w:rPr>
          <w:spacing w:val="-3"/>
        </w:rPr>
        <w:t xml:space="preserve"> </w:t>
      </w:r>
      <w:r>
        <w:t>offering</w:t>
      </w:r>
      <w:r>
        <w:rPr>
          <w:spacing w:val="-2"/>
        </w:rPr>
        <w:t xml:space="preserve"> </w:t>
      </w:r>
      <w:r>
        <w:t>a</w:t>
      </w:r>
      <w:r>
        <w:rPr>
          <w:spacing w:val="-4"/>
        </w:rPr>
        <w:t xml:space="preserve"> </w:t>
      </w:r>
      <w:proofErr w:type="gramStart"/>
      <w:r>
        <w:t>volume based</w:t>
      </w:r>
      <w:proofErr w:type="gramEnd"/>
      <w:r>
        <w:rPr>
          <w:spacing w:val="-2"/>
        </w:rPr>
        <w:t xml:space="preserve"> </w:t>
      </w:r>
      <w:r>
        <w:t>discount</w:t>
      </w:r>
      <w:r>
        <w:rPr>
          <w:spacing w:val="-3"/>
        </w:rPr>
        <w:t xml:space="preserve"> </w:t>
      </w:r>
      <w:proofErr w:type="gramStart"/>
      <w:r>
        <w:t>off</w:t>
      </w:r>
      <w:r>
        <w:rPr>
          <w:spacing w:val="-4"/>
        </w:rPr>
        <w:t xml:space="preserve"> </w:t>
      </w:r>
      <w:r>
        <w:t>of</w:t>
      </w:r>
      <w:proofErr w:type="gramEnd"/>
      <w:r>
        <w:rPr>
          <w:spacing w:val="1"/>
        </w:rPr>
        <w:t xml:space="preserve"> </w:t>
      </w:r>
      <w:r>
        <w:t xml:space="preserve">the </w:t>
      </w:r>
      <w:r w:rsidR="00E84C8E">
        <w:t>S</w:t>
      </w:r>
      <w:r>
        <w:t>tates’s</w:t>
      </w:r>
      <w:r>
        <w:rPr>
          <w:spacing w:val="-3"/>
        </w:rPr>
        <w:t xml:space="preserve"> </w:t>
      </w:r>
      <w:r>
        <w:t>month</w:t>
      </w:r>
      <w:r>
        <w:rPr>
          <w:spacing w:val="-4"/>
        </w:rPr>
        <w:t xml:space="preserve"> </w:t>
      </w:r>
      <w:r>
        <w:t>managed</w:t>
      </w:r>
      <w:r>
        <w:rPr>
          <w:spacing w:val="-4"/>
        </w:rPr>
        <w:t xml:space="preserve"> </w:t>
      </w:r>
      <w:r>
        <w:t>service spend:</w:t>
      </w:r>
    </w:p>
    <w:p w14:paraId="11401B35" w14:textId="77777777" w:rsidR="004F5723" w:rsidRDefault="004F5723">
      <w:pPr>
        <w:pStyle w:val="BodyText"/>
        <w:spacing w:before="10"/>
        <w:ind w:left="0"/>
        <w:rPr>
          <w:sz w:val="1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1"/>
        <w:gridCol w:w="1441"/>
      </w:tblGrid>
      <w:tr w:rsidR="004F5723" w14:paraId="11401B38" w14:textId="77777777">
        <w:trPr>
          <w:trHeight w:val="615"/>
        </w:trPr>
        <w:tc>
          <w:tcPr>
            <w:tcW w:w="2141" w:type="dxa"/>
            <w:shd w:val="clear" w:color="auto" w:fill="1F487C"/>
          </w:tcPr>
          <w:p w14:paraId="11401B36" w14:textId="77777777" w:rsidR="004F5723" w:rsidRDefault="00ED0A15">
            <w:pPr>
              <w:pStyle w:val="TableParagraph"/>
              <w:spacing w:before="182"/>
              <w:ind w:left="371"/>
              <w:rPr>
                <w:b/>
              </w:rPr>
            </w:pPr>
            <w:r>
              <w:rPr>
                <w:b/>
                <w:color w:val="FFFFFF"/>
              </w:rPr>
              <w:t>Monthly</w:t>
            </w:r>
            <w:r>
              <w:rPr>
                <w:b/>
                <w:color w:val="FFFFFF"/>
                <w:spacing w:val="-6"/>
              </w:rPr>
              <w:t xml:space="preserve"> </w:t>
            </w:r>
            <w:r>
              <w:rPr>
                <w:b/>
                <w:color w:val="FFFFFF"/>
              </w:rPr>
              <w:t>Cost</w:t>
            </w:r>
          </w:p>
        </w:tc>
        <w:tc>
          <w:tcPr>
            <w:tcW w:w="1441" w:type="dxa"/>
            <w:shd w:val="clear" w:color="auto" w:fill="1F487C"/>
          </w:tcPr>
          <w:p w14:paraId="11401B37" w14:textId="77777777" w:rsidR="004F5723" w:rsidRDefault="00ED0A15">
            <w:pPr>
              <w:pStyle w:val="TableParagraph"/>
              <w:spacing w:before="55"/>
              <w:ind w:left="119" w:right="95" w:firstLine="427"/>
              <w:rPr>
                <w:b/>
              </w:rPr>
            </w:pPr>
            <w:r>
              <w:rPr>
                <w:b/>
                <w:color w:val="FFFFFF"/>
              </w:rPr>
              <w:t>Vol</w:t>
            </w:r>
            <w:r>
              <w:rPr>
                <w:b/>
                <w:color w:val="FFFFFF"/>
                <w:spacing w:val="1"/>
              </w:rPr>
              <w:t xml:space="preserve"> </w:t>
            </w:r>
            <w:r>
              <w:rPr>
                <w:b/>
                <w:color w:val="FFFFFF"/>
              </w:rPr>
              <w:t>Discount</w:t>
            </w:r>
            <w:r>
              <w:rPr>
                <w:b/>
                <w:color w:val="FFFFFF"/>
                <w:spacing w:val="-11"/>
              </w:rPr>
              <w:t xml:space="preserve"> </w:t>
            </w:r>
            <w:r>
              <w:rPr>
                <w:b/>
                <w:color w:val="FFFFFF"/>
              </w:rPr>
              <w:t>%</w:t>
            </w:r>
          </w:p>
        </w:tc>
      </w:tr>
      <w:tr w:rsidR="004F5723" w14:paraId="11401B3B" w14:textId="77777777">
        <w:trPr>
          <w:trHeight w:val="313"/>
        </w:trPr>
        <w:tc>
          <w:tcPr>
            <w:tcW w:w="2141" w:type="dxa"/>
          </w:tcPr>
          <w:p w14:paraId="11401B39" w14:textId="77777777" w:rsidR="004F5723" w:rsidRDefault="00ED0A15">
            <w:pPr>
              <w:pStyle w:val="TableParagraph"/>
              <w:spacing w:before="40"/>
              <w:ind w:left="107"/>
              <w:rPr>
                <w:sz w:val="20"/>
              </w:rPr>
            </w:pPr>
            <w:r>
              <w:rPr>
                <w:sz w:val="20"/>
              </w:rPr>
              <w:t>$0</w:t>
            </w:r>
            <w:r>
              <w:rPr>
                <w:spacing w:val="-2"/>
                <w:sz w:val="20"/>
              </w:rPr>
              <w:t xml:space="preserve"> </w:t>
            </w:r>
            <w:r>
              <w:rPr>
                <w:sz w:val="20"/>
              </w:rPr>
              <w:t>-</w:t>
            </w:r>
            <w:r>
              <w:rPr>
                <w:spacing w:val="-2"/>
                <w:sz w:val="20"/>
              </w:rPr>
              <w:t xml:space="preserve"> </w:t>
            </w:r>
            <w:r>
              <w:rPr>
                <w:sz w:val="20"/>
              </w:rPr>
              <w:t>$15,000</w:t>
            </w:r>
          </w:p>
        </w:tc>
        <w:tc>
          <w:tcPr>
            <w:tcW w:w="1441" w:type="dxa"/>
          </w:tcPr>
          <w:p w14:paraId="11401B3A" w14:textId="77777777" w:rsidR="004F5723" w:rsidRDefault="00ED0A15">
            <w:pPr>
              <w:pStyle w:val="TableParagraph"/>
              <w:spacing w:before="40"/>
              <w:ind w:left="495" w:right="478"/>
              <w:jc w:val="center"/>
              <w:rPr>
                <w:sz w:val="20"/>
              </w:rPr>
            </w:pPr>
            <w:r>
              <w:rPr>
                <w:sz w:val="20"/>
              </w:rPr>
              <w:t>0%</w:t>
            </w:r>
          </w:p>
        </w:tc>
      </w:tr>
      <w:tr w:rsidR="004F5723" w14:paraId="11401B3E" w14:textId="77777777">
        <w:trPr>
          <w:trHeight w:val="316"/>
        </w:trPr>
        <w:tc>
          <w:tcPr>
            <w:tcW w:w="2141" w:type="dxa"/>
          </w:tcPr>
          <w:p w14:paraId="11401B3C" w14:textId="77777777" w:rsidR="004F5723" w:rsidRDefault="00ED0A15">
            <w:pPr>
              <w:pStyle w:val="TableParagraph"/>
              <w:spacing w:before="42"/>
              <w:ind w:left="107"/>
              <w:rPr>
                <w:sz w:val="20"/>
              </w:rPr>
            </w:pPr>
            <w:r>
              <w:rPr>
                <w:sz w:val="20"/>
              </w:rPr>
              <w:t>$15,000</w:t>
            </w:r>
            <w:r>
              <w:rPr>
                <w:spacing w:val="-3"/>
                <w:sz w:val="20"/>
              </w:rPr>
              <w:t xml:space="preserve"> </w:t>
            </w:r>
            <w:r>
              <w:rPr>
                <w:sz w:val="20"/>
              </w:rPr>
              <w:t>- $30,000</w:t>
            </w:r>
          </w:p>
        </w:tc>
        <w:tc>
          <w:tcPr>
            <w:tcW w:w="1441" w:type="dxa"/>
          </w:tcPr>
          <w:p w14:paraId="11401B3D" w14:textId="77777777" w:rsidR="004F5723" w:rsidRDefault="00ED0A15">
            <w:pPr>
              <w:pStyle w:val="TableParagraph"/>
              <w:spacing w:before="42"/>
              <w:ind w:left="0" w:right="475"/>
              <w:jc w:val="right"/>
              <w:rPr>
                <w:sz w:val="20"/>
              </w:rPr>
            </w:pPr>
            <w:r>
              <w:rPr>
                <w:sz w:val="20"/>
              </w:rPr>
              <w:t>2.5%</w:t>
            </w:r>
          </w:p>
        </w:tc>
      </w:tr>
      <w:tr w:rsidR="004F5723" w14:paraId="11401B41" w14:textId="77777777">
        <w:trPr>
          <w:trHeight w:val="313"/>
        </w:trPr>
        <w:tc>
          <w:tcPr>
            <w:tcW w:w="2141" w:type="dxa"/>
          </w:tcPr>
          <w:p w14:paraId="11401B3F" w14:textId="77777777" w:rsidR="004F5723" w:rsidRDefault="00ED0A15">
            <w:pPr>
              <w:pStyle w:val="TableParagraph"/>
              <w:spacing w:before="42"/>
              <w:ind w:left="107"/>
              <w:rPr>
                <w:sz w:val="20"/>
              </w:rPr>
            </w:pPr>
            <w:r>
              <w:rPr>
                <w:sz w:val="20"/>
              </w:rPr>
              <w:t>$30,000</w:t>
            </w:r>
            <w:r>
              <w:rPr>
                <w:spacing w:val="-3"/>
                <w:sz w:val="20"/>
              </w:rPr>
              <w:t xml:space="preserve"> </w:t>
            </w:r>
            <w:r>
              <w:rPr>
                <w:sz w:val="20"/>
              </w:rPr>
              <w:t>- $45,000</w:t>
            </w:r>
          </w:p>
        </w:tc>
        <w:tc>
          <w:tcPr>
            <w:tcW w:w="1441" w:type="dxa"/>
          </w:tcPr>
          <w:p w14:paraId="11401B40" w14:textId="77777777" w:rsidR="004F5723" w:rsidRDefault="00ED0A15">
            <w:pPr>
              <w:pStyle w:val="TableParagraph"/>
              <w:spacing w:before="42"/>
              <w:ind w:left="495" w:right="478"/>
              <w:jc w:val="center"/>
              <w:rPr>
                <w:sz w:val="20"/>
              </w:rPr>
            </w:pPr>
            <w:r>
              <w:rPr>
                <w:sz w:val="20"/>
              </w:rPr>
              <w:t>5%</w:t>
            </w:r>
          </w:p>
        </w:tc>
      </w:tr>
      <w:tr w:rsidR="004F5723" w14:paraId="11401B44" w14:textId="77777777">
        <w:trPr>
          <w:trHeight w:val="315"/>
        </w:trPr>
        <w:tc>
          <w:tcPr>
            <w:tcW w:w="2141" w:type="dxa"/>
          </w:tcPr>
          <w:p w14:paraId="11401B42" w14:textId="77777777" w:rsidR="004F5723" w:rsidRDefault="00ED0A15">
            <w:pPr>
              <w:pStyle w:val="TableParagraph"/>
              <w:spacing w:before="42"/>
              <w:ind w:left="107"/>
              <w:rPr>
                <w:sz w:val="20"/>
              </w:rPr>
            </w:pPr>
            <w:r>
              <w:rPr>
                <w:sz w:val="20"/>
              </w:rPr>
              <w:t>$45,000</w:t>
            </w:r>
            <w:r>
              <w:rPr>
                <w:spacing w:val="-3"/>
                <w:sz w:val="20"/>
              </w:rPr>
              <w:t xml:space="preserve"> </w:t>
            </w:r>
            <w:r>
              <w:rPr>
                <w:sz w:val="20"/>
              </w:rPr>
              <w:t>- $60,000</w:t>
            </w:r>
          </w:p>
        </w:tc>
        <w:tc>
          <w:tcPr>
            <w:tcW w:w="1441" w:type="dxa"/>
          </w:tcPr>
          <w:p w14:paraId="11401B43" w14:textId="77777777" w:rsidR="004F5723" w:rsidRDefault="00ED0A15">
            <w:pPr>
              <w:pStyle w:val="TableParagraph"/>
              <w:spacing w:before="42"/>
              <w:ind w:left="495" w:right="484"/>
              <w:jc w:val="center"/>
              <w:rPr>
                <w:sz w:val="20"/>
              </w:rPr>
            </w:pPr>
            <w:r>
              <w:rPr>
                <w:sz w:val="20"/>
              </w:rPr>
              <w:t>10%</w:t>
            </w:r>
          </w:p>
        </w:tc>
      </w:tr>
      <w:tr w:rsidR="004F5723" w14:paraId="11401B47" w14:textId="77777777">
        <w:trPr>
          <w:trHeight w:val="316"/>
        </w:trPr>
        <w:tc>
          <w:tcPr>
            <w:tcW w:w="2141" w:type="dxa"/>
          </w:tcPr>
          <w:p w14:paraId="11401B45" w14:textId="77777777" w:rsidR="004F5723" w:rsidRDefault="00ED0A15">
            <w:pPr>
              <w:pStyle w:val="TableParagraph"/>
              <w:spacing w:before="42"/>
              <w:ind w:left="107"/>
              <w:rPr>
                <w:sz w:val="20"/>
              </w:rPr>
            </w:pPr>
            <w:r>
              <w:rPr>
                <w:sz w:val="20"/>
              </w:rPr>
              <w:t>Over</w:t>
            </w:r>
            <w:r>
              <w:rPr>
                <w:spacing w:val="-4"/>
                <w:sz w:val="20"/>
              </w:rPr>
              <w:t xml:space="preserve"> </w:t>
            </w:r>
            <w:r>
              <w:rPr>
                <w:sz w:val="20"/>
              </w:rPr>
              <w:t>$60,000</w:t>
            </w:r>
          </w:p>
        </w:tc>
        <w:tc>
          <w:tcPr>
            <w:tcW w:w="1441" w:type="dxa"/>
          </w:tcPr>
          <w:p w14:paraId="11401B46" w14:textId="77777777" w:rsidR="004F5723" w:rsidRDefault="00ED0A15">
            <w:pPr>
              <w:pStyle w:val="TableParagraph"/>
              <w:spacing w:before="42"/>
              <w:ind w:left="0" w:right="419"/>
              <w:jc w:val="right"/>
              <w:rPr>
                <w:sz w:val="20"/>
              </w:rPr>
            </w:pPr>
            <w:r>
              <w:rPr>
                <w:sz w:val="20"/>
              </w:rPr>
              <w:t>12.5%</w:t>
            </w:r>
          </w:p>
        </w:tc>
      </w:tr>
    </w:tbl>
    <w:p w14:paraId="11401B48" w14:textId="77777777" w:rsidR="004F5723" w:rsidRDefault="004F5723">
      <w:pPr>
        <w:pStyle w:val="BodyText"/>
        <w:spacing w:before="0"/>
        <w:ind w:left="0"/>
      </w:pPr>
    </w:p>
    <w:p w14:paraId="11401B49" w14:textId="77777777" w:rsidR="004F5723" w:rsidRDefault="00ED0A15">
      <w:pPr>
        <w:pStyle w:val="BodyText"/>
        <w:spacing w:before="182"/>
      </w:pPr>
      <w:r>
        <w:t>Additional</w:t>
      </w:r>
      <w:r>
        <w:rPr>
          <w:spacing w:val="-1"/>
        </w:rPr>
        <w:t xml:space="preserve"> </w:t>
      </w:r>
      <w:r>
        <w:t>services</w:t>
      </w:r>
      <w:r>
        <w:rPr>
          <w:spacing w:val="-1"/>
        </w:rPr>
        <w:t xml:space="preserve"> </w:t>
      </w:r>
      <w:r>
        <w:t>can</w:t>
      </w:r>
      <w:r>
        <w:rPr>
          <w:spacing w:val="-2"/>
        </w:rPr>
        <w:t xml:space="preserve"> </w:t>
      </w:r>
      <w:r>
        <w:t>be</w:t>
      </w:r>
      <w:r>
        <w:rPr>
          <w:spacing w:val="-6"/>
        </w:rPr>
        <w:t xml:space="preserve"> </w:t>
      </w:r>
      <w:r>
        <w:t>purchased</w:t>
      </w:r>
      <w:r>
        <w:rPr>
          <w:spacing w:val="-1"/>
        </w:rPr>
        <w:t xml:space="preserve"> </w:t>
      </w:r>
      <w:r>
        <w:t>utilizing</w:t>
      </w:r>
      <w:r>
        <w:rPr>
          <w:spacing w:val="-2"/>
        </w:rPr>
        <w:t xml:space="preserve"> </w:t>
      </w:r>
      <w:r>
        <w:t>our</w:t>
      </w:r>
      <w:r>
        <w:rPr>
          <w:spacing w:val="-1"/>
        </w:rPr>
        <w:t xml:space="preserve"> </w:t>
      </w:r>
      <w:r>
        <w:t>rate</w:t>
      </w:r>
      <w:r>
        <w:rPr>
          <w:spacing w:val="-3"/>
        </w:rPr>
        <w:t xml:space="preserve"> </w:t>
      </w:r>
      <w:r>
        <w:t>card:</w:t>
      </w:r>
    </w:p>
    <w:p w14:paraId="11401B4A" w14:textId="77777777" w:rsidR="004F5723" w:rsidRDefault="004F5723">
      <w:pPr>
        <w:pStyle w:val="BodyText"/>
        <w:spacing w:before="0"/>
        <w:ind w:left="0"/>
        <w:rPr>
          <w:sz w:val="15"/>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9"/>
        <w:gridCol w:w="3111"/>
      </w:tblGrid>
      <w:tr w:rsidR="004F5723" w14:paraId="11401B4D" w14:textId="77777777" w:rsidTr="00AF359E">
        <w:trPr>
          <w:trHeight w:val="572"/>
        </w:trPr>
        <w:tc>
          <w:tcPr>
            <w:tcW w:w="3709" w:type="dxa"/>
            <w:tcBorders>
              <w:bottom w:val="single" w:sz="4" w:space="0" w:color="000000"/>
            </w:tcBorders>
            <w:shd w:val="clear" w:color="auto" w:fill="1F487C"/>
          </w:tcPr>
          <w:p w14:paraId="11401B4B" w14:textId="77777777" w:rsidR="004F5723" w:rsidRDefault="00ED0A15">
            <w:pPr>
              <w:pStyle w:val="TableParagraph"/>
              <w:spacing w:before="160"/>
              <w:ind w:left="1041"/>
              <w:rPr>
                <w:b/>
              </w:rPr>
            </w:pPr>
            <w:r>
              <w:rPr>
                <w:b/>
                <w:color w:val="FFFFFF"/>
              </w:rPr>
              <w:t>Labor</w:t>
            </w:r>
            <w:r>
              <w:rPr>
                <w:b/>
                <w:color w:val="FFFFFF"/>
                <w:spacing w:val="-1"/>
              </w:rPr>
              <w:t xml:space="preserve"> </w:t>
            </w:r>
            <w:r>
              <w:rPr>
                <w:b/>
                <w:color w:val="FFFFFF"/>
              </w:rPr>
              <w:t>Category</w:t>
            </w:r>
          </w:p>
        </w:tc>
        <w:tc>
          <w:tcPr>
            <w:tcW w:w="3111" w:type="dxa"/>
            <w:tcBorders>
              <w:bottom w:val="single" w:sz="4" w:space="0" w:color="000000"/>
            </w:tcBorders>
            <w:shd w:val="clear" w:color="auto" w:fill="1F487C"/>
          </w:tcPr>
          <w:p w14:paraId="11401B4C" w14:textId="77777777" w:rsidR="004F5723" w:rsidRDefault="00ED0A15">
            <w:pPr>
              <w:pStyle w:val="TableParagraph"/>
              <w:spacing w:before="160"/>
              <w:ind w:left="743" w:right="729"/>
              <w:jc w:val="center"/>
              <w:rPr>
                <w:b/>
              </w:rPr>
            </w:pPr>
            <w:proofErr w:type="spellStart"/>
            <w:r>
              <w:rPr>
                <w:b/>
                <w:color w:val="FFFFFF"/>
              </w:rPr>
              <w:t>Hrly</w:t>
            </w:r>
            <w:proofErr w:type="spellEnd"/>
            <w:r>
              <w:rPr>
                <w:b/>
                <w:color w:val="FFFFFF"/>
                <w:spacing w:val="-4"/>
              </w:rPr>
              <w:t xml:space="preserve"> </w:t>
            </w:r>
            <w:r>
              <w:rPr>
                <w:b/>
                <w:color w:val="FFFFFF"/>
              </w:rPr>
              <w:t>Rate</w:t>
            </w:r>
          </w:p>
        </w:tc>
      </w:tr>
      <w:tr w:rsidR="004F5723" w14:paraId="11401B50"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1401B4E" w14:textId="77777777" w:rsidR="004F5723" w:rsidRDefault="00ED0A15">
            <w:pPr>
              <w:pStyle w:val="TableParagraph"/>
              <w:rPr>
                <w:sz w:val="20"/>
              </w:rPr>
            </w:pPr>
            <w:r>
              <w:rPr>
                <w:sz w:val="20"/>
              </w:rPr>
              <w:t>Sr</w:t>
            </w:r>
            <w:r>
              <w:rPr>
                <w:spacing w:val="-3"/>
                <w:sz w:val="20"/>
              </w:rPr>
              <w:t xml:space="preserve"> </w:t>
            </w:r>
            <w:r>
              <w:rPr>
                <w:sz w:val="20"/>
              </w:rPr>
              <w:t>Cloud</w:t>
            </w:r>
            <w:r>
              <w:rPr>
                <w:spacing w:val="-1"/>
                <w:sz w:val="20"/>
              </w:rPr>
              <w:t xml:space="preserve"> </w:t>
            </w:r>
            <w:r>
              <w:rPr>
                <w:sz w:val="20"/>
              </w:rPr>
              <w:t>Architect</w:t>
            </w:r>
          </w:p>
        </w:tc>
        <w:tc>
          <w:tcPr>
            <w:tcW w:w="3111" w:type="dxa"/>
            <w:tcBorders>
              <w:top w:val="single" w:sz="4" w:space="0" w:color="000000"/>
              <w:left w:val="single" w:sz="4" w:space="0" w:color="000000"/>
              <w:bottom w:val="single" w:sz="4" w:space="0" w:color="000000"/>
              <w:right w:val="single" w:sz="4" w:space="0" w:color="000000"/>
            </w:tcBorders>
          </w:tcPr>
          <w:p w14:paraId="11401B4F" w14:textId="77777777" w:rsidR="004F5723" w:rsidRDefault="00ED0A15">
            <w:pPr>
              <w:pStyle w:val="TableParagraph"/>
              <w:ind w:left="1007" w:right="992"/>
              <w:jc w:val="center"/>
              <w:rPr>
                <w:sz w:val="20"/>
              </w:rPr>
            </w:pPr>
            <w:r>
              <w:rPr>
                <w:sz w:val="20"/>
              </w:rPr>
              <w:t>$250</w:t>
            </w:r>
          </w:p>
        </w:tc>
      </w:tr>
      <w:tr w:rsidR="004F5723" w14:paraId="11401B53"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1401B51" w14:textId="77777777" w:rsidR="004F5723" w:rsidRDefault="00ED0A15">
            <w:pPr>
              <w:pStyle w:val="TableParagraph"/>
              <w:rPr>
                <w:sz w:val="20"/>
              </w:rPr>
            </w:pPr>
            <w:r>
              <w:rPr>
                <w:sz w:val="20"/>
              </w:rPr>
              <w:t>Cloud</w:t>
            </w:r>
            <w:r>
              <w:rPr>
                <w:spacing w:val="-4"/>
                <w:sz w:val="20"/>
              </w:rPr>
              <w:t xml:space="preserve"> </w:t>
            </w:r>
            <w:r>
              <w:rPr>
                <w:sz w:val="20"/>
              </w:rPr>
              <w:t>Architect</w:t>
            </w:r>
          </w:p>
        </w:tc>
        <w:tc>
          <w:tcPr>
            <w:tcW w:w="3111" w:type="dxa"/>
            <w:tcBorders>
              <w:top w:val="single" w:sz="4" w:space="0" w:color="000000"/>
              <w:left w:val="single" w:sz="4" w:space="0" w:color="000000"/>
              <w:bottom w:val="single" w:sz="4" w:space="0" w:color="000000"/>
              <w:right w:val="single" w:sz="4" w:space="0" w:color="000000"/>
            </w:tcBorders>
          </w:tcPr>
          <w:p w14:paraId="11401B52" w14:textId="77777777" w:rsidR="004F5723" w:rsidRDefault="00ED0A15">
            <w:pPr>
              <w:pStyle w:val="TableParagraph"/>
              <w:ind w:left="1007" w:right="992"/>
              <w:jc w:val="center"/>
              <w:rPr>
                <w:sz w:val="20"/>
              </w:rPr>
            </w:pPr>
            <w:r>
              <w:rPr>
                <w:sz w:val="20"/>
              </w:rPr>
              <w:t>$225</w:t>
            </w:r>
          </w:p>
        </w:tc>
      </w:tr>
      <w:tr w:rsidR="004F5723" w14:paraId="11401B56" w14:textId="77777777" w:rsidTr="00AF359E">
        <w:trPr>
          <w:trHeight w:val="294"/>
        </w:trPr>
        <w:tc>
          <w:tcPr>
            <w:tcW w:w="3709" w:type="dxa"/>
            <w:tcBorders>
              <w:top w:val="single" w:sz="4" w:space="0" w:color="000000"/>
              <w:left w:val="single" w:sz="4" w:space="0" w:color="000000"/>
              <w:bottom w:val="single" w:sz="4" w:space="0" w:color="000000"/>
              <w:right w:val="single" w:sz="4" w:space="0" w:color="000000"/>
            </w:tcBorders>
          </w:tcPr>
          <w:p w14:paraId="11401B54" w14:textId="77777777" w:rsidR="004F5723" w:rsidRDefault="00ED0A15">
            <w:pPr>
              <w:pStyle w:val="TableParagraph"/>
              <w:rPr>
                <w:sz w:val="20"/>
              </w:rPr>
            </w:pPr>
            <w:r>
              <w:rPr>
                <w:sz w:val="20"/>
              </w:rPr>
              <w:t>Sr</w:t>
            </w:r>
            <w:r>
              <w:rPr>
                <w:spacing w:val="-3"/>
                <w:sz w:val="20"/>
              </w:rPr>
              <w:t xml:space="preserve"> </w:t>
            </w:r>
            <w:r>
              <w:rPr>
                <w:sz w:val="20"/>
              </w:rPr>
              <w:t>Cloud</w:t>
            </w:r>
            <w:r>
              <w:rPr>
                <w:spacing w:val="-2"/>
                <w:sz w:val="20"/>
              </w:rPr>
              <w:t xml:space="preserve"> </w:t>
            </w:r>
            <w:r>
              <w:rPr>
                <w:sz w:val="20"/>
              </w:rPr>
              <w:t>Engineer</w:t>
            </w:r>
          </w:p>
        </w:tc>
        <w:tc>
          <w:tcPr>
            <w:tcW w:w="3111" w:type="dxa"/>
            <w:tcBorders>
              <w:top w:val="single" w:sz="4" w:space="0" w:color="000000"/>
              <w:left w:val="single" w:sz="4" w:space="0" w:color="000000"/>
              <w:bottom w:val="single" w:sz="4" w:space="0" w:color="000000"/>
              <w:right w:val="single" w:sz="4" w:space="0" w:color="000000"/>
            </w:tcBorders>
          </w:tcPr>
          <w:p w14:paraId="11401B55" w14:textId="77777777" w:rsidR="004F5723" w:rsidRDefault="00ED0A15">
            <w:pPr>
              <w:pStyle w:val="TableParagraph"/>
              <w:ind w:left="1007" w:right="992"/>
              <w:jc w:val="center"/>
              <w:rPr>
                <w:sz w:val="20"/>
              </w:rPr>
            </w:pPr>
            <w:r>
              <w:rPr>
                <w:sz w:val="20"/>
              </w:rPr>
              <w:t>$200</w:t>
            </w:r>
          </w:p>
        </w:tc>
      </w:tr>
      <w:tr w:rsidR="004F5723" w14:paraId="11401B59"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1401B57" w14:textId="77777777" w:rsidR="004F5723" w:rsidRDefault="00ED0A15">
            <w:pPr>
              <w:pStyle w:val="TableParagraph"/>
              <w:rPr>
                <w:sz w:val="20"/>
              </w:rPr>
            </w:pPr>
            <w:r>
              <w:rPr>
                <w:sz w:val="20"/>
              </w:rPr>
              <w:t>Cloud</w:t>
            </w:r>
            <w:r>
              <w:rPr>
                <w:spacing w:val="-4"/>
                <w:sz w:val="20"/>
              </w:rPr>
              <w:t xml:space="preserve"> </w:t>
            </w:r>
            <w:r>
              <w:rPr>
                <w:sz w:val="20"/>
              </w:rPr>
              <w:t>Engineer</w:t>
            </w:r>
          </w:p>
        </w:tc>
        <w:tc>
          <w:tcPr>
            <w:tcW w:w="3111" w:type="dxa"/>
            <w:tcBorders>
              <w:top w:val="single" w:sz="4" w:space="0" w:color="000000"/>
              <w:left w:val="single" w:sz="4" w:space="0" w:color="000000"/>
              <w:bottom w:val="single" w:sz="4" w:space="0" w:color="000000"/>
              <w:right w:val="single" w:sz="4" w:space="0" w:color="000000"/>
            </w:tcBorders>
          </w:tcPr>
          <w:p w14:paraId="11401B58" w14:textId="77777777" w:rsidR="004F5723" w:rsidRDefault="00ED0A15">
            <w:pPr>
              <w:pStyle w:val="TableParagraph"/>
              <w:ind w:left="1007" w:right="992"/>
              <w:jc w:val="center"/>
              <w:rPr>
                <w:sz w:val="20"/>
              </w:rPr>
            </w:pPr>
            <w:r>
              <w:rPr>
                <w:sz w:val="20"/>
              </w:rPr>
              <w:t>$180</w:t>
            </w:r>
          </w:p>
        </w:tc>
      </w:tr>
      <w:tr w:rsidR="004F5723" w14:paraId="11401B5C"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1401B5A" w14:textId="77777777" w:rsidR="004F5723" w:rsidRDefault="00ED0A15">
            <w:pPr>
              <w:pStyle w:val="TableParagraph"/>
              <w:rPr>
                <w:sz w:val="20"/>
              </w:rPr>
            </w:pPr>
            <w:r>
              <w:rPr>
                <w:sz w:val="20"/>
              </w:rPr>
              <w:t>Security</w:t>
            </w:r>
            <w:r>
              <w:rPr>
                <w:spacing w:val="-4"/>
                <w:sz w:val="20"/>
              </w:rPr>
              <w:t xml:space="preserve"> </w:t>
            </w:r>
            <w:r>
              <w:rPr>
                <w:sz w:val="20"/>
              </w:rPr>
              <w:t>Architect</w:t>
            </w:r>
          </w:p>
        </w:tc>
        <w:tc>
          <w:tcPr>
            <w:tcW w:w="3111" w:type="dxa"/>
            <w:tcBorders>
              <w:top w:val="single" w:sz="4" w:space="0" w:color="000000"/>
              <w:left w:val="single" w:sz="4" w:space="0" w:color="000000"/>
              <w:bottom w:val="single" w:sz="4" w:space="0" w:color="000000"/>
              <w:right w:val="single" w:sz="4" w:space="0" w:color="000000"/>
            </w:tcBorders>
          </w:tcPr>
          <w:p w14:paraId="11401B5B" w14:textId="77777777" w:rsidR="004F5723" w:rsidRDefault="00ED0A15">
            <w:pPr>
              <w:pStyle w:val="TableParagraph"/>
              <w:ind w:left="1007" w:right="992"/>
              <w:jc w:val="center"/>
              <w:rPr>
                <w:sz w:val="20"/>
              </w:rPr>
            </w:pPr>
            <w:r>
              <w:rPr>
                <w:sz w:val="20"/>
              </w:rPr>
              <w:t>$200</w:t>
            </w:r>
          </w:p>
        </w:tc>
      </w:tr>
      <w:tr w:rsidR="004F5723" w14:paraId="11401B5F"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1401B5D" w14:textId="77777777" w:rsidR="004F5723" w:rsidRDefault="00ED0A15">
            <w:pPr>
              <w:pStyle w:val="TableParagraph"/>
              <w:rPr>
                <w:sz w:val="20"/>
              </w:rPr>
            </w:pPr>
            <w:r>
              <w:rPr>
                <w:sz w:val="20"/>
              </w:rPr>
              <w:t>Security</w:t>
            </w:r>
            <w:r>
              <w:rPr>
                <w:spacing w:val="-5"/>
                <w:sz w:val="20"/>
              </w:rPr>
              <w:t xml:space="preserve"> </w:t>
            </w:r>
            <w:r>
              <w:rPr>
                <w:sz w:val="20"/>
              </w:rPr>
              <w:t>Analyst</w:t>
            </w:r>
          </w:p>
        </w:tc>
        <w:tc>
          <w:tcPr>
            <w:tcW w:w="3111" w:type="dxa"/>
            <w:tcBorders>
              <w:top w:val="single" w:sz="4" w:space="0" w:color="000000"/>
              <w:left w:val="single" w:sz="4" w:space="0" w:color="000000"/>
              <w:bottom w:val="single" w:sz="4" w:space="0" w:color="000000"/>
              <w:right w:val="single" w:sz="4" w:space="0" w:color="000000"/>
            </w:tcBorders>
          </w:tcPr>
          <w:p w14:paraId="11401B5E" w14:textId="77777777" w:rsidR="004F5723" w:rsidRDefault="00ED0A15">
            <w:pPr>
              <w:pStyle w:val="TableParagraph"/>
              <w:ind w:left="1007" w:right="992"/>
              <w:jc w:val="center"/>
              <w:rPr>
                <w:sz w:val="20"/>
              </w:rPr>
            </w:pPr>
            <w:r>
              <w:rPr>
                <w:sz w:val="20"/>
              </w:rPr>
              <w:t>$175</w:t>
            </w:r>
          </w:p>
        </w:tc>
      </w:tr>
      <w:tr w:rsidR="004F5723" w14:paraId="11401B62" w14:textId="77777777" w:rsidTr="00AF359E">
        <w:trPr>
          <w:trHeight w:val="295"/>
        </w:trPr>
        <w:tc>
          <w:tcPr>
            <w:tcW w:w="3709" w:type="dxa"/>
            <w:tcBorders>
              <w:top w:val="single" w:sz="4" w:space="0" w:color="000000"/>
              <w:left w:val="single" w:sz="4" w:space="0" w:color="000000"/>
              <w:bottom w:val="single" w:sz="4" w:space="0" w:color="000000"/>
              <w:right w:val="single" w:sz="4" w:space="0" w:color="000000"/>
            </w:tcBorders>
          </w:tcPr>
          <w:p w14:paraId="11401B60" w14:textId="77777777" w:rsidR="004F5723" w:rsidRDefault="00ED0A15">
            <w:pPr>
              <w:pStyle w:val="TableParagraph"/>
              <w:spacing w:before="31"/>
              <w:rPr>
                <w:sz w:val="20"/>
              </w:rPr>
            </w:pPr>
            <w:r>
              <w:rPr>
                <w:sz w:val="20"/>
              </w:rPr>
              <w:t>Sr</w:t>
            </w:r>
            <w:r>
              <w:rPr>
                <w:spacing w:val="-4"/>
                <w:sz w:val="20"/>
              </w:rPr>
              <w:t xml:space="preserve"> </w:t>
            </w:r>
            <w:r>
              <w:rPr>
                <w:sz w:val="20"/>
              </w:rPr>
              <w:t>I&amp;O</w:t>
            </w:r>
            <w:r>
              <w:rPr>
                <w:spacing w:val="-1"/>
                <w:sz w:val="20"/>
              </w:rPr>
              <w:t xml:space="preserve"> </w:t>
            </w:r>
            <w:r>
              <w:rPr>
                <w:sz w:val="20"/>
              </w:rPr>
              <w:t>Engineer</w:t>
            </w:r>
          </w:p>
        </w:tc>
        <w:tc>
          <w:tcPr>
            <w:tcW w:w="3111" w:type="dxa"/>
            <w:tcBorders>
              <w:top w:val="single" w:sz="4" w:space="0" w:color="000000"/>
              <w:left w:val="single" w:sz="4" w:space="0" w:color="000000"/>
              <w:bottom w:val="single" w:sz="4" w:space="0" w:color="000000"/>
              <w:right w:val="single" w:sz="4" w:space="0" w:color="000000"/>
            </w:tcBorders>
          </w:tcPr>
          <w:p w14:paraId="11401B61" w14:textId="77777777" w:rsidR="004F5723" w:rsidRDefault="00ED0A15">
            <w:pPr>
              <w:pStyle w:val="TableParagraph"/>
              <w:spacing w:before="31"/>
              <w:ind w:left="1007" w:right="992"/>
              <w:jc w:val="center"/>
              <w:rPr>
                <w:sz w:val="20"/>
              </w:rPr>
            </w:pPr>
            <w:r>
              <w:rPr>
                <w:sz w:val="20"/>
              </w:rPr>
              <w:t>$140</w:t>
            </w:r>
          </w:p>
        </w:tc>
      </w:tr>
      <w:tr w:rsidR="004F5723" w14:paraId="11401B65"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1401B63" w14:textId="77777777" w:rsidR="004F5723" w:rsidRDefault="00ED0A15">
            <w:pPr>
              <w:pStyle w:val="TableParagraph"/>
              <w:rPr>
                <w:sz w:val="20"/>
              </w:rPr>
            </w:pPr>
            <w:r>
              <w:rPr>
                <w:sz w:val="20"/>
              </w:rPr>
              <w:t>I&amp;O</w:t>
            </w:r>
            <w:r>
              <w:rPr>
                <w:spacing w:val="-2"/>
                <w:sz w:val="20"/>
              </w:rPr>
              <w:t xml:space="preserve"> </w:t>
            </w:r>
            <w:r>
              <w:rPr>
                <w:sz w:val="20"/>
              </w:rPr>
              <w:t>Engineer</w:t>
            </w:r>
          </w:p>
        </w:tc>
        <w:tc>
          <w:tcPr>
            <w:tcW w:w="3111" w:type="dxa"/>
            <w:tcBorders>
              <w:top w:val="single" w:sz="4" w:space="0" w:color="000000"/>
              <w:left w:val="single" w:sz="4" w:space="0" w:color="000000"/>
              <w:bottom w:val="single" w:sz="4" w:space="0" w:color="000000"/>
              <w:right w:val="single" w:sz="4" w:space="0" w:color="000000"/>
            </w:tcBorders>
          </w:tcPr>
          <w:p w14:paraId="11401B64" w14:textId="77777777" w:rsidR="004F5723" w:rsidRDefault="00ED0A15">
            <w:pPr>
              <w:pStyle w:val="TableParagraph"/>
              <w:ind w:left="1007" w:right="992"/>
              <w:jc w:val="center"/>
              <w:rPr>
                <w:sz w:val="20"/>
              </w:rPr>
            </w:pPr>
            <w:r>
              <w:rPr>
                <w:sz w:val="20"/>
              </w:rPr>
              <w:t>$120</w:t>
            </w:r>
          </w:p>
        </w:tc>
      </w:tr>
      <w:tr w:rsidR="004F5723" w14:paraId="11401B68"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1401B66" w14:textId="77777777" w:rsidR="004F5723" w:rsidRDefault="00ED0A15">
            <w:pPr>
              <w:pStyle w:val="TableParagraph"/>
              <w:rPr>
                <w:sz w:val="20"/>
              </w:rPr>
            </w:pPr>
            <w:r>
              <w:rPr>
                <w:sz w:val="20"/>
              </w:rPr>
              <w:t>Cloud</w:t>
            </w:r>
            <w:r>
              <w:rPr>
                <w:spacing w:val="-5"/>
                <w:sz w:val="20"/>
              </w:rPr>
              <w:t xml:space="preserve"> </w:t>
            </w:r>
            <w:r>
              <w:rPr>
                <w:sz w:val="20"/>
              </w:rPr>
              <w:t>Program Manager</w:t>
            </w:r>
          </w:p>
        </w:tc>
        <w:tc>
          <w:tcPr>
            <w:tcW w:w="3111" w:type="dxa"/>
            <w:tcBorders>
              <w:top w:val="single" w:sz="4" w:space="0" w:color="000000"/>
              <w:left w:val="single" w:sz="4" w:space="0" w:color="000000"/>
              <w:bottom w:val="single" w:sz="4" w:space="0" w:color="000000"/>
              <w:right w:val="single" w:sz="4" w:space="0" w:color="000000"/>
            </w:tcBorders>
          </w:tcPr>
          <w:p w14:paraId="11401B67" w14:textId="77777777" w:rsidR="004F5723" w:rsidRDefault="00ED0A15">
            <w:pPr>
              <w:pStyle w:val="TableParagraph"/>
              <w:ind w:left="1007" w:right="992"/>
              <w:jc w:val="center"/>
              <w:rPr>
                <w:sz w:val="20"/>
              </w:rPr>
            </w:pPr>
            <w:r>
              <w:rPr>
                <w:sz w:val="20"/>
              </w:rPr>
              <w:t>$220</w:t>
            </w:r>
          </w:p>
        </w:tc>
      </w:tr>
      <w:tr w:rsidR="004F5723" w14:paraId="11401B6B"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1401B69" w14:textId="77777777" w:rsidR="004F5723" w:rsidRDefault="00ED0A15">
            <w:pPr>
              <w:pStyle w:val="TableParagraph"/>
              <w:rPr>
                <w:sz w:val="20"/>
              </w:rPr>
            </w:pPr>
            <w:r>
              <w:rPr>
                <w:sz w:val="20"/>
              </w:rPr>
              <w:t>Cloud</w:t>
            </w:r>
            <w:r>
              <w:rPr>
                <w:spacing w:val="-4"/>
                <w:sz w:val="20"/>
              </w:rPr>
              <w:t xml:space="preserve"> </w:t>
            </w:r>
            <w:r>
              <w:rPr>
                <w:sz w:val="20"/>
              </w:rPr>
              <w:t>Project</w:t>
            </w:r>
            <w:r>
              <w:rPr>
                <w:spacing w:val="-4"/>
                <w:sz w:val="20"/>
              </w:rPr>
              <w:t xml:space="preserve"> </w:t>
            </w:r>
            <w:r>
              <w:rPr>
                <w:sz w:val="20"/>
              </w:rPr>
              <w:t>Manager</w:t>
            </w:r>
          </w:p>
        </w:tc>
        <w:tc>
          <w:tcPr>
            <w:tcW w:w="3111" w:type="dxa"/>
            <w:tcBorders>
              <w:top w:val="single" w:sz="4" w:space="0" w:color="000000"/>
              <w:left w:val="single" w:sz="4" w:space="0" w:color="000000"/>
              <w:bottom w:val="single" w:sz="4" w:space="0" w:color="000000"/>
              <w:right w:val="single" w:sz="4" w:space="0" w:color="000000"/>
            </w:tcBorders>
          </w:tcPr>
          <w:p w14:paraId="11401B6A" w14:textId="77777777" w:rsidR="004F5723" w:rsidRDefault="00ED0A15">
            <w:pPr>
              <w:pStyle w:val="TableParagraph"/>
              <w:ind w:left="1007" w:right="992"/>
              <w:jc w:val="center"/>
              <w:rPr>
                <w:sz w:val="20"/>
              </w:rPr>
            </w:pPr>
            <w:r>
              <w:rPr>
                <w:sz w:val="20"/>
              </w:rPr>
              <w:t>$200</w:t>
            </w:r>
          </w:p>
        </w:tc>
      </w:tr>
      <w:tr w:rsidR="007E0402" w14:paraId="720AE759"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6A0BECB0" w14:textId="165DABED" w:rsidR="007E0402" w:rsidRDefault="00662B6B">
            <w:pPr>
              <w:pStyle w:val="TableParagraph"/>
              <w:rPr>
                <w:sz w:val="20"/>
              </w:rPr>
            </w:pPr>
            <w:r>
              <w:rPr>
                <w:sz w:val="20"/>
              </w:rPr>
              <w:lastRenderedPageBreak/>
              <w:t>Google Workspace Development Specialist</w:t>
            </w:r>
            <w:r w:rsidR="00DA4DFD">
              <w:rPr>
                <w:sz w:val="20"/>
              </w:rPr>
              <w:t>*</w:t>
            </w:r>
          </w:p>
        </w:tc>
        <w:tc>
          <w:tcPr>
            <w:tcW w:w="3111" w:type="dxa"/>
            <w:tcBorders>
              <w:top w:val="single" w:sz="4" w:space="0" w:color="000000"/>
              <w:left w:val="single" w:sz="4" w:space="0" w:color="000000"/>
              <w:bottom w:val="single" w:sz="4" w:space="0" w:color="000000"/>
              <w:right w:val="single" w:sz="4" w:space="0" w:color="000000"/>
            </w:tcBorders>
          </w:tcPr>
          <w:p w14:paraId="668406EF" w14:textId="5F76D0BB" w:rsidR="007E0402" w:rsidRDefault="00825264">
            <w:pPr>
              <w:pStyle w:val="TableParagraph"/>
              <w:ind w:left="1007" w:right="992"/>
              <w:jc w:val="center"/>
              <w:rPr>
                <w:sz w:val="20"/>
              </w:rPr>
            </w:pPr>
            <w:r>
              <w:rPr>
                <w:sz w:val="20"/>
              </w:rPr>
              <w:t>$2</w:t>
            </w:r>
            <w:r w:rsidR="00DA4DFD">
              <w:rPr>
                <w:sz w:val="20"/>
              </w:rPr>
              <w:t>37</w:t>
            </w:r>
          </w:p>
        </w:tc>
      </w:tr>
      <w:tr w:rsidR="007E0402" w14:paraId="639BD9E6"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EB39B79" w14:textId="2299633D" w:rsidR="007E0402" w:rsidRDefault="00C45EA9">
            <w:pPr>
              <w:pStyle w:val="TableParagraph"/>
              <w:rPr>
                <w:sz w:val="20"/>
              </w:rPr>
            </w:pPr>
            <w:r>
              <w:rPr>
                <w:sz w:val="20"/>
              </w:rPr>
              <w:t>Project Manager</w:t>
            </w:r>
            <w:r w:rsidR="00DA4DFD">
              <w:rPr>
                <w:sz w:val="20"/>
              </w:rPr>
              <w:t>*</w:t>
            </w:r>
          </w:p>
        </w:tc>
        <w:tc>
          <w:tcPr>
            <w:tcW w:w="3111" w:type="dxa"/>
            <w:tcBorders>
              <w:top w:val="single" w:sz="4" w:space="0" w:color="000000"/>
              <w:left w:val="single" w:sz="4" w:space="0" w:color="000000"/>
              <w:bottom w:val="single" w:sz="4" w:space="0" w:color="000000"/>
              <w:right w:val="single" w:sz="4" w:space="0" w:color="000000"/>
            </w:tcBorders>
          </w:tcPr>
          <w:p w14:paraId="6B602C99" w14:textId="62B57321" w:rsidR="007E0402" w:rsidRDefault="00825264">
            <w:pPr>
              <w:pStyle w:val="TableParagraph"/>
              <w:ind w:left="1007" w:right="992"/>
              <w:jc w:val="center"/>
              <w:rPr>
                <w:sz w:val="20"/>
              </w:rPr>
            </w:pPr>
            <w:r>
              <w:rPr>
                <w:sz w:val="20"/>
              </w:rPr>
              <w:t>$2</w:t>
            </w:r>
            <w:r w:rsidR="00DA4DFD">
              <w:rPr>
                <w:sz w:val="20"/>
              </w:rPr>
              <w:t>37</w:t>
            </w:r>
          </w:p>
        </w:tc>
      </w:tr>
      <w:tr w:rsidR="007E0402" w14:paraId="727F4312"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669CD394" w14:textId="7180E137" w:rsidR="007E0402" w:rsidRDefault="00C45EA9">
            <w:pPr>
              <w:pStyle w:val="TableParagraph"/>
              <w:rPr>
                <w:sz w:val="20"/>
              </w:rPr>
            </w:pPr>
            <w:r>
              <w:rPr>
                <w:sz w:val="20"/>
              </w:rPr>
              <w:t>Implementation Specialist</w:t>
            </w:r>
            <w:r w:rsidR="00DA4DFD">
              <w:rPr>
                <w:sz w:val="20"/>
              </w:rPr>
              <w:t>*</w:t>
            </w:r>
          </w:p>
        </w:tc>
        <w:tc>
          <w:tcPr>
            <w:tcW w:w="3111" w:type="dxa"/>
            <w:tcBorders>
              <w:top w:val="single" w:sz="4" w:space="0" w:color="000000"/>
              <w:left w:val="single" w:sz="4" w:space="0" w:color="000000"/>
              <w:bottom w:val="single" w:sz="4" w:space="0" w:color="000000"/>
              <w:right w:val="single" w:sz="4" w:space="0" w:color="000000"/>
            </w:tcBorders>
          </w:tcPr>
          <w:p w14:paraId="296DC084" w14:textId="4169E407" w:rsidR="007E0402" w:rsidRDefault="00803FD7">
            <w:pPr>
              <w:pStyle w:val="TableParagraph"/>
              <w:ind w:left="1007" w:right="992"/>
              <w:jc w:val="center"/>
              <w:rPr>
                <w:sz w:val="20"/>
              </w:rPr>
            </w:pPr>
            <w:r>
              <w:rPr>
                <w:sz w:val="20"/>
              </w:rPr>
              <w:t>$</w:t>
            </w:r>
            <w:r w:rsidR="00DA4DFD">
              <w:rPr>
                <w:sz w:val="20"/>
              </w:rPr>
              <w:t>213</w:t>
            </w:r>
          </w:p>
        </w:tc>
      </w:tr>
      <w:tr w:rsidR="007E0402" w14:paraId="6D29496E"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73CEF72" w14:textId="784CF4D0" w:rsidR="007E0402" w:rsidRDefault="0057335D">
            <w:pPr>
              <w:pStyle w:val="TableParagraph"/>
              <w:rPr>
                <w:sz w:val="20"/>
              </w:rPr>
            </w:pPr>
            <w:r>
              <w:rPr>
                <w:sz w:val="20"/>
              </w:rPr>
              <w:t>Google Certified Training Specialist</w:t>
            </w:r>
            <w:r w:rsidR="00DA4DFD">
              <w:rPr>
                <w:sz w:val="20"/>
              </w:rPr>
              <w:t>*</w:t>
            </w:r>
          </w:p>
        </w:tc>
        <w:tc>
          <w:tcPr>
            <w:tcW w:w="3111" w:type="dxa"/>
            <w:tcBorders>
              <w:top w:val="single" w:sz="4" w:space="0" w:color="000000"/>
              <w:left w:val="single" w:sz="4" w:space="0" w:color="000000"/>
              <w:bottom w:val="single" w:sz="4" w:space="0" w:color="000000"/>
              <w:right w:val="single" w:sz="4" w:space="0" w:color="000000"/>
            </w:tcBorders>
          </w:tcPr>
          <w:p w14:paraId="17BA9D17" w14:textId="24624FE4" w:rsidR="007E0402" w:rsidRDefault="00803FD7">
            <w:pPr>
              <w:pStyle w:val="TableParagraph"/>
              <w:ind w:left="1007" w:right="992"/>
              <w:jc w:val="center"/>
              <w:rPr>
                <w:sz w:val="20"/>
              </w:rPr>
            </w:pPr>
            <w:r>
              <w:rPr>
                <w:sz w:val="20"/>
              </w:rPr>
              <w:t>$</w:t>
            </w:r>
            <w:r w:rsidR="00DA4DFD">
              <w:rPr>
                <w:sz w:val="20"/>
              </w:rPr>
              <w:t>182</w:t>
            </w:r>
          </w:p>
        </w:tc>
      </w:tr>
      <w:tr w:rsidR="0057335D" w14:paraId="69D99FC3"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1886F7DA" w14:textId="1325BB77" w:rsidR="0057335D" w:rsidRDefault="002D437F">
            <w:pPr>
              <w:pStyle w:val="TableParagraph"/>
              <w:rPr>
                <w:sz w:val="20"/>
              </w:rPr>
            </w:pPr>
            <w:r>
              <w:rPr>
                <w:sz w:val="20"/>
              </w:rPr>
              <w:t>Change Management Specialist</w:t>
            </w:r>
            <w:r w:rsidR="00DA4DFD">
              <w:rPr>
                <w:sz w:val="20"/>
              </w:rPr>
              <w:t>*</w:t>
            </w:r>
          </w:p>
        </w:tc>
        <w:tc>
          <w:tcPr>
            <w:tcW w:w="3111" w:type="dxa"/>
            <w:tcBorders>
              <w:top w:val="single" w:sz="4" w:space="0" w:color="000000"/>
              <w:left w:val="single" w:sz="4" w:space="0" w:color="000000"/>
              <w:bottom w:val="single" w:sz="4" w:space="0" w:color="000000"/>
              <w:right w:val="single" w:sz="4" w:space="0" w:color="000000"/>
            </w:tcBorders>
          </w:tcPr>
          <w:p w14:paraId="0CDF33F9" w14:textId="2C494D43" w:rsidR="0057335D" w:rsidRDefault="00803FD7">
            <w:pPr>
              <w:pStyle w:val="TableParagraph"/>
              <w:ind w:left="1007" w:right="992"/>
              <w:jc w:val="center"/>
              <w:rPr>
                <w:sz w:val="20"/>
              </w:rPr>
            </w:pPr>
            <w:r>
              <w:rPr>
                <w:sz w:val="20"/>
              </w:rPr>
              <w:t>$</w:t>
            </w:r>
            <w:r w:rsidR="00DA4DFD">
              <w:rPr>
                <w:sz w:val="20"/>
              </w:rPr>
              <w:t>182</w:t>
            </w:r>
          </w:p>
        </w:tc>
      </w:tr>
      <w:tr w:rsidR="00AF359E" w14:paraId="385AFFE3" w14:textId="77777777" w:rsidTr="00AF359E">
        <w:trPr>
          <w:trHeight w:val="292"/>
        </w:trPr>
        <w:tc>
          <w:tcPr>
            <w:tcW w:w="3709" w:type="dxa"/>
            <w:tcBorders>
              <w:top w:val="single" w:sz="4" w:space="0" w:color="000000"/>
              <w:left w:val="single" w:sz="4" w:space="0" w:color="000000"/>
              <w:bottom w:val="single" w:sz="4" w:space="0" w:color="000000"/>
              <w:right w:val="single" w:sz="4" w:space="0" w:color="000000"/>
            </w:tcBorders>
          </w:tcPr>
          <w:p w14:paraId="68C48BA9" w14:textId="057F50FA" w:rsidR="00AF359E" w:rsidRDefault="00AF359E">
            <w:pPr>
              <w:pStyle w:val="TableParagraph"/>
              <w:rPr>
                <w:sz w:val="20"/>
              </w:rPr>
            </w:pPr>
            <w:r>
              <w:rPr>
                <w:sz w:val="20"/>
              </w:rPr>
              <w:t>CSP Consulting/ Professional Services</w:t>
            </w:r>
          </w:p>
        </w:tc>
        <w:tc>
          <w:tcPr>
            <w:tcW w:w="3111" w:type="dxa"/>
            <w:tcBorders>
              <w:top w:val="single" w:sz="4" w:space="0" w:color="000000"/>
              <w:left w:val="single" w:sz="4" w:space="0" w:color="000000"/>
              <w:bottom w:val="single" w:sz="4" w:space="0" w:color="000000"/>
              <w:right w:val="single" w:sz="4" w:space="0" w:color="000000"/>
            </w:tcBorders>
          </w:tcPr>
          <w:p w14:paraId="572EC57C" w14:textId="03ED6ADA" w:rsidR="00AF359E" w:rsidRDefault="00AF359E">
            <w:pPr>
              <w:pStyle w:val="TableParagraph"/>
              <w:ind w:left="1007" w:right="992"/>
              <w:jc w:val="center"/>
              <w:rPr>
                <w:sz w:val="20"/>
              </w:rPr>
            </w:pPr>
            <w:r>
              <w:rPr>
                <w:sz w:val="20"/>
              </w:rPr>
              <w:t>$3250/day</w:t>
            </w:r>
          </w:p>
        </w:tc>
      </w:tr>
    </w:tbl>
    <w:p w14:paraId="262B8155" w14:textId="77777777" w:rsidR="004F5723" w:rsidRDefault="004F5723">
      <w:pPr>
        <w:jc w:val="center"/>
        <w:rPr>
          <w:rFonts w:ascii="Arial" w:eastAsia="Arial" w:hAnsi="Arial" w:cs="Arial"/>
          <w:sz w:val="20"/>
        </w:rPr>
      </w:pPr>
    </w:p>
    <w:p w14:paraId="11401B70" w14:textId="3A71A979" w:rsidR="004F5723" w:rsidRDefault="00DA4DFD">
      <w:pPr>
        <w:pStyle w:val="BodyText"/>
        <w:spacing w:before="0"/>
        <w:ind w:left="0"/>
        <w:rPr>
          <w:sz w:val="20"/>
        </w:rPr>
      </w:pPr>
      <w:r>
        <w:rPr>
          <w:sz w:val="20"/>
        </w:rPr>
        <w:t xml:space="preserve"> Rates marked * indicate staffed through Resultant</w:t>
      </w:r>
    </w:p>
    <w:p w14:paraId="11401B71" w14:textId="22AC0D93" w:rsidR="004F5723" w:rsidRDefault="004F5723" w:rsidP="00DA4DFD">
      <w:pPr>
        <w:pStyle w:val="BodyText"/>
        <w:spacing w:before="8"/>
        <w:rPr>
          <w:sz w:val="16"/>
        </w:rPr>
      </w:pPr>
    </w:p>
    <w:p w14:paraId="11401B72" w14:textId="77777777" w:rsidR="004F5723" w:rsidRDefault="00ED0A15">
      <w:pPr>
        <w:pStyle w:val="Heading1"/>
      </w:pPr>
      <w:r>
        <w:t>Amazon</w:t>
      </w:r>
      <w:r>
        <w:rPr>
          <w:spacing w:val="-3"/>
        </w:rPr>
        <w:t xml:space="preserve"> </w:t>
      </w:r>
      <w:r>
        <w:t>Web</w:t>
      </w:r>
      <w:r>
        <w:rPr>
          <w:spacing w:val="-3"/>
        </w:rPr>
        <w:t xml:space="preserve"> </w:t>
      </w:r>
      <w:r>
        <w:t>Services</w:t>
      </w:r>
    </w:p>
    <w:p w14:paraId="11401B73" w14:textId="77777777" w:rsidR="004F5723" w:rsidRDefault="00ED0A15">
      <w:pPr>
        <w:pStyle w:val="BodyText"/>
      </w:pPr>
      <w:r>
        <w:rPr>
          <w:b/>
          <w:color w:val="333333"/>
        </w:rPr>
        <w:t>Note</w:t>
      </w:r>
      <w:r>
        <w:rPr>
          <w:b/>
          <w:color w:val="333333"/>
          <w:spacing w:val="-2"/>
        </w:rPr>
        <w:t xml:space="preserve"> </w:t>
      </w:r>
      <w:r>
        <w:rPr>
          <w:b/>
          <w:color w:val="333333"/>
        </w:rPr>
        <w:t>1:</w:t>
      </w:r>
      <w:r>
        <w:rPr>
          <w:b/>
          <w:color w:val="333333"/>
          <w:spacing w:val="-2"/>
        </w:rPr>
        <w:t xml:space="preserve"> </w:t>
      </w:r>
      <w:r>
        <w:rPr>
          <w:color w:val="333333"/>
        </w:rPr>
        <w:t>AWS</w:t>
      </w:r>
      <w:r>
        <w:rPr>
          <w:color w:val="333333"/>
          <w:spacing w:val="-1"/>
        </w:rPr>
        <w:t xml:space="preserve"> </w:t>
      </w:r>
      <w:r>
        <w:rPr>
          <w:color w:val="333333"/>
        </w:rPr>
        <w:t>pricing</w:t>
      </w:r>
      <w:r>
        <w:rPr>
          <w:color w:val="333333"/>
          <w:spacing w:val="-3"/>
        </w:rPr>
        <w:t xml:space="preserve"> </w:t>
      </w:r>
      <w:r>
        <w:rPr>
          <w:color w:val="333333"/>
        </w:rPr>
        <w:t>is</w:t>
      </w:r>
      <w:r>
        <w:rPr>
          <w:color w:val="333333"/>
          <w:spacing w:val="-1"/>
        </w:rPr>
        <w:t xml:space="preserve"> </w:t>
      </w:r>
      <w:r>
        <w:rPr>
          <w:color w:val="333333"/>
        </w:rPr>
        <w:t>based</w:t>
      </w:r>
      <w:r>
        <w:rPr>
          <w:color w:val="333333"/>
          <w:spacing w:val="-2"/>
        </w:rPr>
        <w:t xml:space="preserve"> </w:t>
      </w:r>
      <w:r>
        <w:rPr>
          <w:color w:val="333333"/>
        </w:rPr>
        <w:t>on</w:t>
      </w:r>
      <w:r>
        <w:rPr>
          <w:color w:val="333333"/>
          <w:spacing w:val="-3"/>
        </w:rPr>
        <w:t xml:space="preserve"> </w:t>
      </w:r>
      <w:r>
        <w:rPr>
          <w:color w:val="333333"/>
        </w:rPr>
        <w:t>per</w:t>
      </w:r>
      <w:r>
        <w:rPr>
          <w:color w:val="333333"/>
          <w:spacing w:val="-1"/>
        </w:rPr>
        <w:t xml:space="preserve"> </w:t>
      </w:r>
      <w:r>
        <w:rPr>
          <w:color w:val="333333"/>
        </w:rPr>
        <w:t>hour</w:t>
      </w:r>
      <w:r>
        <w:rPr>
          <w:color w:val="333333"/>
          <w:spacing w:val="-1"/>
        </w:rPr>
        <w:t xml:space="preserve"> </w:t>
      </w:r>
      <w:r>
        <w:rPr>
          <w:color w:val="333333"/>
        </w:rPr>
        <w:t>consumption.</w:t>
      </w:r>
    </w:p>
    <w:p w14:paraId="11401B74" w14:textId="77777777" w:rsidR="004F5723" w:rsidRDefault="00ED0A15">
      <w:pPr>
        <w:pStyle w:val="BodyText"/>
        <w:spacing w:before="183"/>
      </w:pPr>
      <w:r>
        <w:rPr>
          <w:b/>
          <w:color w:val="333333"/>
        </w:rPr>
        <w:t>Note</w:t>
      </w:r>
      <w:r>
        <w:rPr>
          <w:b/>
          <w:color w:val="333333"/>
          <w:spacing w:val="-1"/>
        </w:rPr>
        <w:t xml:space="preserve"> </w:t>
      </w:r>
      <w:r>
        <w:rPr>
          <w:b/>
          <w:color w:val="333333"/>
        </w:rPr>
        <w:t>2:</w:t>
      </w:r>
      <w:r>
        <w:rPr>
          <w:b/>
          <w:color w:val="333333"/>
          <w:spacing w:val="-2"/>
        </w:rPr>
        <w:t xml:space="preserve"> </w:t>
      </w:r>
      <w:r>
        <w:rPr>
          <w:color w:val="333333"/>
        </w:rPr>
        <w:t>AWS</w:t>
      </w:r>
      <w:r>
        <w:rPr>
          <w:color w:val="333333"/>
          <w:spacing w:val="-1"/>
        </w:rPr>
        <w:t xml:space="preserve"> </w:t>
      </w:r>
      <w:r>
        <w:rPr>
          <w:color w:val="333333"/>
        </w:rPr>
        <w:t>Compute</w:t>
      </w:r>
      <w:r>
        <w:rPr>
          <w:color w:val="333333"/>
          <w:spacing w:val="1"/>
        </w:rPr>
        <w:t xml:space="preserve"> </w:t>
      </w:r>
      <w:r>
        <w:rPr>
          <w:color w:val="333333"/>
        </w:rPr>
        <w:t>services</w:t>
      </w:r>
      <w:r>
        <w:rPr>
          <w:color w:val="333333"/>
          <w:spacing w:val="-3"/>
        </w:rPr>
        <w:t xml:space="preserve"> </w:t>
      </w:r>
      <w:r>
        <w:rPr>
          <w:color w:val="333333"/>
        </w:rPr>
        <w:t>vary</w:t>
      </w:r>
      <w:r>
        <w:rPr>
          <w:color w:val="333333"/>
          <w:spacing w:val="-3"/>
        </w:rPr>
        <w:t xml:space="preserve"> </w:t>
      </w:r>
      <w:r>
        <w:rPr>
          <w:color w:val="333333"/>
        </w:rPr>
        <w:t>between</w:t>
      </w:r>
      <w:r>
        <w:rPr>
          <w:color w:val="333333"/>
          <w:spacing w:val="-1"/>
        </w:rPr>
        <w:t xml:space="preserve"> </w:t>
      </w:r>
      <w:r>
        <w:rPr>
          <w:color w:val="333333"/>
        </w:rPr>
        <w:t>regional</w:t>
      </w:r>
      <w:r>
        <w:rPr>
          <w:color w:val="333333"/>
          <w:spacing w:val="-4"/>
        </w:rPr>
        <w:t xml:space="preserve"> </w:t>
      </w:r>
      <w:r>
        <w:rPr>
          <w:color w:val="333333"/>
        </w:rPr>
        <w:t>availability</w:t>
      </w:r>
      <w:r>
        <w:rPr>
          <w:color w:val="333333"/>
          <w:spacing w:val="-3"/>
        </w:rPr>
        <w:t xml:space="preserve"> </w:t>
      </w:r>
      <w:r>
        <w:rPr>
          <w:color w:val="333333"/>
        </w:rPr>
        <w:t>and</w:t>
      </w:r>
      <w:r>
        <w:rPr>
          <w:color w:val="333333"/>
          <w:spacing w:val="-2"/>
        </w:rPr>
        <w:t xml:space="preserve"> </w:t>
      </w:r>
      <w:r>
        <w:rPr>
          <w:color w:val="333333"/>
        </w:rPr>
        <w:t>OS</w:t>
      </w:r>
    </w:p>
    <w:p w14:paraId="11401B75" w14:textId="77777777" w:rsidR="004F5723" w:rsidRDefault="004F5723">
      <w:pPr>
        <w:pStyle w:val="BodyText"/>
        <w:spacing w:before="2"/>
        <w:ind w:left="0"/>
        <w:rPr>
          <w:sz w:val="24"/>
        </w:rPr>
      </w:pPr>
    </w:p>
    <w:p w14:paraId="11401B76" w14:textId="77777777" w:rsidR="004F5723" w:rsidRDefault="00ED0A15">
      <w:pPr>
        <w:pStyle w:val="BodyText"/>
        <w:spacing w:before="1" w:line="343" w:lineRule="auto"/>
        <w:ind w:right="143"/>
      </w:pPr>
      <w:r>
        <w:rPr>
          <w:b/>
          <w:color w:val="333333"/>
        </w:rPr>
        <w:t xml:space="preserve">Note 3: </w:t>
      </w:r>
      <w:r>
        <w:rPr>
          <w:color w:val="333333"/>
        </w:rPr>
        <w:t xml:space="preserve">When you have purchased </w:t>
      </w:r>
      <w:proofErr w:type="gramStart"/>
      <w:r>
        <w:rPr>
          <w:color w:val="333333"/>
        </w:rPr>
        <w:t>a sufficient number of</w:t>
      </w:r>
      <w:proofErr w:type="gramEnd"/>
      <w:r>
        <w:rPr>
          <w:color w:val="333333"/>
        </w:rPr>
        <w:t xml:space="preserve"> Reserved Instances in an AWS Region, you will</w:t>
      </w:r>
      <w:r>
        <w:rPr>
          <w:color w:val="333333"/>
          <w:spacing w:val="-47"/>
        </w:rPr>
        <w:t xml:space="preserve"> </w:t>
      </w:r>
      <w:r>
        <w:rPr>
          <w:color w:val="333333"/>
        </w:rPr>
        <w:t>automatically receive discounts on your upfront fees and hourly fees for future purchases of Reserved</w:t>
      </w:r>
      <w:r>
        <w:rPr>
          <w:color w:val="333333"/>
          <w:spacing w:val="1"/>
        </w:rPr>
        <w:t xml:space="preserve"> </w:t>
      </w:r>
      <w:r>
        <w:rPr>
          <w:color w:val="333333"/>
        </w:rPr>
        <w:t>Instances in that AWS Region. Reserved Instance discounts are determined based on the total list price</w:t>
      </w:r>
      <w:r>
        <w:rPr>
          <w:color w:val="333333"/>
          <w:spacing w:val="1"/>
        </w:rPr>
        <w:t xml:space="preserve"> </w:t>
      </w:r>
      <w:r>
        <w:rPr>
          <w:color w:val="333333"/>
        </w:rPr>
        <w:t>(non-discounted price) of upfront fees for the active Reserved Instances you have per AWS Region to</w:t>
      </w:r>
      <w:r>
        <w:rPr>
          <w:color w:val="333333"/>
          <w:spacing w:val="1"/>
        </w:rPr>
        <w:t xml:space="preserve"> </w:t>
      </w:r>
      <w:r>
        <w:rPr>
          <w:color w:val="333333"/>
        </w:rPr>
        <w:t>determine the applicable volume discount tier. As an example, imagine that we had the following</w:t>
      </w:r>
      <w:r>
        <w:rPr>
          <w:color w:val="333333"/>
          <w:spacing w:val="1"/>
        </w:rPr>
        <w:t xml:space="preserve"> </w:t>
      </w:r>
      <w:r>
        <w:rPr>
          <w:color w:val="333333"/>
        </w:rPr>
        <w:t>volume discount</w:t>
      </w:r>
      <w:r>
        <w:rPr>
          <w:color w:val="333333"/>
          <w:spacing w:val="-2"/>
        </w:rPr>
        <w:t xml:space="preserve"> </w:t>
      </w:r>
      <w:r>
        <w:rPr>
          <w:color w:val="333333"/>
        </w:rPr>
        <w:t>tiers:</w:t>
      </w:r>
    </w:p>
    <w:p w14:paraId="11401B77" w14:textId="77777777" w:rsidR="004F5723" w:rsidRDefault="00ED0A15">
      <w:pPr>
        <w:pStyle w:val="ListParagraph"/>
        <w:numPr>
          <w:ilvl w:val="0"/>
          <w:numId w:val="1"/>
        </w:numPr>
        <w:tabs>
          <w:tab w:val="left" w:pos="551"/>
          <w:tab w:val="left" w:pos="552"/>
        </w:tabs>
        <w:spacing w:before="120"/>
        <w:ind w:hanging="361"/>
      </w:pPr>
      <w:r>
        <w:rPr>
          <w:color w:val="333333"/>
        </w:rPr>
        <w:t>$0-$500K: Upfront -</w:t>
      </w:r>
      <w:r>
        <w:rPr>
          <w:color w:val="333333"/>
          <w:spacing w:val="-4"/>
        </w:rPr>
        <w:t xml:space="preserve"> </w:t>
      </w:r>
      <w:r>
        <w:rPr>
          <w:color w:val="333333"/>
        </w:rPr>
        <w:t>0%,</w:t>
      </w:r>
      <w:r>
        <w:rPr>
          <w:color w:val="333333"/>
          <w:spacing w:val="1"/>
        </w:rPr>
        <w:t xml:space="preserve"> </w:t>
      </w:r>
      <w:r>
        <w:rPr>
          <w:color w:val="333333"/>
        </w:rPr>
        <w:t>Hourly -</w:t>
      </w:r>
      <w:r>
        <w:rPr>
          <w:color w:val="333333"/>
          <w:spacing w:val="-4"/>
        </w:rPr>
        <w:t xml:space="preserve"> </w:t>
      </w:r>
      <w:r>
        <w:rPr>
          <w:color w:val="333333"/>
        </w:rPr>
        <w:t>0%</w:t>
      </w:r>
    </w:p>
    <w:p w14:paraId="11401B78" w14:textId="77777777" w:rsidR="004F5723" w:rsidRDefault="00ED0A15">
      <w:pPr>
        <w:pStyle w:val="ListParagraph"/>
        <w:numPr>
          <w:ilvl w:val="0"/>
          <w:numId w:val="1"/>
        </w:numPr>
        <w:tabs>
          <w:tab w:val="left" w:pos="551"/>
          <w:tab w:val="left" w:pos="552"/>
        </w:tabs>
        <w:spacing w:before="115"/>
        <w:ind w:hanging="361"/>
      </w:pPr>
      <w:r>
        <w:rPr>
          <w:color w:val="333333"/>
        </w:rPr>
        <w:t>$500K -</w:t>
      </w:r>
      <w:r>
        <w:rPr>
          <w:color w:val="333333"/>
          <w:spacing w:val="-4"/>
        </w:rPr>
        <w:t xml:space="preserve"> </w:t>
      </w:r>
      <w:r>
        <w:rPr>
          <w:color w:val="333333"/>
        </w:rPr>
        <w:t>$4M:</w:t>
      </w:r>
      <w:r>
        <w:rPr>
          <w:color w:val="333333"/>
          <w:spacing w:val="-3"/>
        </w:rPr>
        <w:t xml:space="preserve"> </w:t>
      </w:r>
      <w:r>
        <w:rPr>
          <w:color w:val="333333"/>
        </w:rPr>
        <w:t>Upfront</w:t>
      </w:r>
      <w:r>
        <w:rPr>
          <w:color w:val="333333"/>
          <w:spacing w:val="-1"/>
        </w:rPr>
        <w:t xml:space="preserve"> </w:t>
      </w:r>
      <w:r>
        <w:rPr>
          <w:color w:val="333333"/>
        </w:rPr>
        <w:t>-</w:t>
      </w:r>
      <w:r>
        <w:rPr>
          <w:color w:val="333333"/>
          <w:spacing w:val="-1"/>
        </w:rPr>
        <w:t xml:space="preserve"> </w:t>
      </w:r>
      <w:r>
        <w:rPr>
          <w:color w:val="333333"/>
        </w:rPr>
        <w:t>5%,</w:t>
      </w:r>
      <w:r>
        <w:rPr>
          <w:color w:val="333333"/>
          <w:spacing w:val="-3"/>
        </w:rPr>
        <w:t xml:space="preserve"> </w:t>
      </w:r>
      <w:r>
        <w:rPr>
          <w:color w:val="333333"/>
        </w:rPr>
        <w:t>Hourly</w:t>
      </w:r>
      <w:r>
        <w:rPr>
          <w:color w:val="333333"/>
          <w:spacing w:val="1"/>
        </w:rPr>
        <w:t xml:space="preserve"> </w:t>
      </w:r>
      <w:r>
        <w:rPr>
          <w:color w:val="333333"/>
        </w:rPr>
        <w:t>-</w:t>
      </w:r>
      <w:r>
        <w:rPr>
          <w:color w:val="333333"/>
          <w:spacing w:val="-4"/>
        </w:rPr>
        <w:t xml:space="preserve"> </w:t>
      </w:r>
      <w:r>
        <w:rPr>
          <w:color w:val="333333"/>
        </w:rPr>
        <w:t>5%</w:t>
      </w:r>
    </w:p>
    <w:p w14:paraId="11401B79" w14:textId="77777777" w:rsidR="004F5723" w:rsidRDefault="00ED0A15">
      <w:pPr>
        <w:pStyle w:val="ListParagraph"/>
        <w:numPr>
          <w:ilvl w:val="0"/>
          <w:numId w:val="1"/>
        </w:numPr>
        <w:tabs>
          <w:tab w:val="left" w:pos="551"/>
          <w:tab w:val="left" w:pos="552"/>
        </w:tabs>
        <w:spacing w:before="116"/>
        <w:ind w:hanging="361"/>
      </w:pPr>
      <w:r>
        <w:rPr>
          <w:color w:val="333333"/>
        </w:rPr>
        <w:t>$4M -</w:t>
      </w:r>
      <w:r>
        <w:rPr>
          <w:color w:val="333333"/>
          <w:spacing w:val="-4"/>
        </w:rPr>
        <w:t xml:space="preserve"> </w:t>
      </w:r>
      <w:r>
        <w:rPr>
          <w:color w:val="333333"/>
        </w:rPr>
        <w:t>$10M:</w:t>
      </w:r>
      <w:r>
        <w:rPr>
          <w:color w:val="333333"/>
          <w:spacing w:val="-1"/>
        </w:rPr>
        <w:t xml:space="preserve"> </w:t>
      </w:r>
      <w:r>
        <w:rPr>
          <w:color w:val="333333"/>
        </w:rPr>
        <w:t>Upfront</w:t>
      </w:r>
      <w:r>
        <w:rPr>
          <w:color w:val="333333"/>
          <w:spacing w:val="-1"/>
        </w:rPr>
        <w:t xml:space="preserve"> </w:t>
      </w:r>
      <w:r>
        <w:rPr>
          <w:color w:val="333333"/>
        </w:rPr>
        <w:t>-</w:t>
      </w:r>
      <w:r>
        <w:rPr>
          <w:color w:val="333333"/>
          <w:spacing w:val="-4"/>
        </w:rPr>
        <w:t xml:space="preserve"> </w:t>
      </w:r>
      <w:r>
        <w:rPr>
          <w:color w:val="333333"/>
        </w:rPr>
        <w:t>10%, Hourly</w:t>
      </w:r>
      <w:r>
        <w:rPr>
          <w:color w:val="333333"/>
          <w:spacing w:val="2"/>
        </w:rPr>
        <w:t xml:space="preserve"> </w:t>
      </w:r>
      <w:r>
        <w:rPr>
          <w:color w:val="333333"/>
        </w:rPr>
        <w:t>-</w:t>
      </w:r>
      <w:r>
        <w:rPr>
          <w:color w:val="333333"/>
          <w:spacing w:val="-4"/>
        </w:rPr>
        <w:t xml:space="preserve"> </w:t>
      </w:r>
      <w:r>
        <w:rPr>
          <w:color w:val="333333"/>
        </w:rPr>
        <w:t>10%</w:t>
      </w:r>
    </w:p>
    <w:p w14:paraId="11401B7A" w14:textId="77777777" w:rsidR="004F5723" w:rsidRDefault="00ED0A15">
      <w:pPr>
        <w:pStyle w:val="ListParagraph"/>
        <w:numPr>
          <w:ilvl w:val="0"/>
          <w:numId w:val="1"/>
        </w:numPr>
        <w:tabs>
          <w:tab w:val="left" w:pos="551"/>
          <w:tab w:val="left" w:pos="552"/>
        </w:tabs>
        <w:spacing w:before="116"/>
        <w:ind w:hanging="361"/>
      </w:pPr>
      <w:r>
        <w:rPr>
          <w:color w:val="333333"/>
        </w:rPr>
        <w:t>$10M+:</w:t>
      </w:r>
      <w:r>
        <w:rPr>
          <w:color w:val="333333"/>
          <w:spacing w:val="-1"/>
        </w:rPr>
        <w:t xml:space="preserve"> </w:t>
      </w:r>
      <w:r>
        <w:rPr>
          <w:color w:val="333333"/>
        </w:rPr>
        <w:t>Negotiated</w:t>
      </w:r>
    </w:p>
    <w:p w14:paraId="11401B7B" w14:textId="77777777" w:rsidR="004F5723" w:rsidRDefault="004F5723">
      <w:pPr>
        <w:pStyle w:val="BodyText"/>
        <w:spacing w:before="0"/>
        <w:ind w:left="0"/>
        <w:rPr>
          <w:sz w:val="26"/>
        </w:rPr>
      </w:pPr>
    </w:p>
    <w:p w14:paraId="11401B7C" w14:textId="77777777" w:rsidR="004F5723" w:rsidRDefault="004F5723">
      <w:pPr>
        <w:pStyle w:val="BodyText"/>
        <w:spacing w:before="9"/>
        <w:ind w:left="0"/>
        <w:rPr>
          <w:sz w:val="33"/>
        </w:rPr>
      </w:pPr>
    </w:p>
    <w:p w14:paraId="11401B7D" w14:textId="77777777" w:rsidR="004F5723" w:rsidRDefault="00ED0A15">
      <w:pPr>
        <w:pStyle w:val="Heading1"/>
      </w:pPr>
      <w:r>
        <w:t>Microsoft</w:t>
      </w:r>
      <w:r>
        <w:rPr>
          <w:spacing w:val="-3"/>
        </w:rPr>
        <w:t xml:space="preserve"> </w:t>
      </w:r>
      <w:r>
        <w:t>Azure</w:t>
      </w:r>
    </w:p>
    <w:p w14:paraId="11401B7E" w14:textId="77777777" w:rsidR="004F5723" w:rsidRDefault="00ED0A15">
      <w:pPr>
        <w:pStyle w:val="BodyText"/>
        <w:spacing w:before="183"/>
      </w:pPr>
      <w:r>
        <w:rPr>
          <w:b/>
          <w:color w:val="333333"/>
        </w:rPr>
        <w:t>Note</w:t>
      </w:r>
      <w:r>
        <w:rPr>
          <w:b/>
          <w:color w:val="333333"/>
          <w:spacing w:val="-2"/>
        </w:rPr>
        <w:t xml:space="preserve"> </w:t>
      </w:r>
      <w:r>
        <w:rPr>
          <w:b/>
          <w:color w:val="333333"/>
        </w:rPr>
        <w:t>1:</w:t>
      </w:r>
      <w:r>
        <w:rPr>
          <w:b/>
          <w:color w:val="333333"/>
          <w:spacing w:val="-2"/>
        </w:rPr>
        <w:t xml:space="preserve"> </w:t>
      </w:r>
      <w:r>
        <w:rPr>
          <w:color w:val="333333"/>
        </w:rPr>
        <w:t>Azure</w:t>
      </w:r>
      <w:r>
        <w:rPr>
          <w:color w:val="333333"/>
          <w:spacing w:val="-2"/>
        </w:rPr>
        <w:t xml:space="preserve"> </w:t>
      </w:r>
      <w:r>
        <w:rPr>
          <w:color w:val="333333"/>
        </w:rPr>
        <w:t>pricing</w:t>
      </w:r>
      <w:r>
        <w:rPr>
          <w:color w:val="333333"/>
          <w:spacing w:val="-2"/>
        </w:rPr>
        <w:t xml:space="preserve"> </w:t>
      </w:r>
      <w:r>
        <w:rPr>
          <w:color w:val="333333"/>
        </w:rPr>
        <w:t>is</w:t>
      </w:r>
      <w:r>
        <w:rPr>
          <w:color w:val="333333"/>
          <w:spacing w:val="-2"/>
        </w:rPr>
        <w:t xml:space="preserve"> </w:t>
      </w:r>
      <w:r>
        <w:rPr>
          <w:color w:val="333333"/>
        </w:rPr>
        <w:t>based</w:t>
      </w:r>
      <w:r>
        <w:rPr>
          <w:color w:val="333333"/>
          <w:spacing w:val="-1"/>
        </w:rPr>
        <w:t xml:space="preserve"> </w:t>
      </w:r>
      <w:r>
        <w:rPr>
          <w:color w:val="333333"/>
        </w:rPr>
        <w:t>on</w:t>
      </w:r>
      <w:r>
        <w:rPr>
          <w:color w:val="333333"/>
          <w:spacing w:val="-3"/>
        </w:rPr>
        <w:t xml:space="preserve"> </w:t>
      </w:r>
      <w:r>
        <w:rPr>
          <w:color w:val="333333"/>
        </w:rPr>
        <w:t>per</w:t>
      </w:r>
      <w:r>
        <w:rPr>
          <w:color w:val="333333"/>
          <w:spacing w:val="-1"/>
        </w:rPr>
        <w:t xml:space="preserve"> </w:t>
      </w:r>
      <w:r>
        <w:rPr>
          <w:color w:val="333333"/>
        </w:rPr>
        <w:t>hour</w:t>
      </w:r>
      <w:r>
        <w:rPr>
          <w:color w:val="333333"/>
          <w:spacing w:val="-4"/>
        </w:rPr>
        <w:t xml:space="preserve"> </w:t>
      </w:r>
      <w:r>
        <w:rPr>
          <w:color w:val="333333"/>
        </w:rPr>
        <w:t>consumption.</w:t>
      </w:r>
    </w:p>
    <w:p w14:paraId="11401B7F" w14:textId="77777777" w:rsidR="004F5723" w:rsidRDefault="00ED0A15">
      <w:pPr>
        <w:pStyle w:val="BodyText"/>
      </w:pPr>
      <w:r>
        <w:rPr>
          <w:b/>
          <w:color w:val="333333"/>
        </w:rPr>
        <w:t>Note</w:t>
      </w:r>
      <w:r>
        <w:rPr>
          <w:b/>
          <w:color w:val="333333"/>
          <w:spacing w:val="-2"/>
        </w:rPr>
        <w:t xml:space="preserve"> </w:t>
      </w:r>
      <w:r>
        <w:rPr>
          <w:b/>
          <w:color w:val="333333"/>
        </w:rPr>
        <w:t>2:</w:t>
      </w:r>
      <w:r>
        <w:rPr>
          <w:b/>
          <w:color w:val="333333"/>
          <w:spacing w:val="-2"/>
        </w:rPr>
        <w:t xml:space="preserve"> </w:t>
      </w:r>
      <w:r>
        <w:rPr>
          <w:color w:val="333333"/>
        </w:rPr>
        <w:t>Azure</w:t>
      </w:r>
      <w:r>
        <w:rPr>
          <w:color w:val="333333"/>
          <w:spacing w:val="-3"/>
        </w:rPr>
        <w:t xml:space="preserve"> </w:t>
      </w:r>
      <w:r>
        <w:rPr>
          <w:color w:val="333333"/>
        </w:rPr>
        <w:t>Compute</w:t>
      </w:r>
      <w:r>
        <w:rPr>
          <w:color w:val="333333"/>
          <w:spacing w:val="-3"/>
        </w:rPr>
        <w:t xml:space="preserve"> </w:t>
      </w:r>
      <w:r>
        <w:rPr>
          <w:color w:val="333333"/>
        </w:rPr>
        <w:t>services</w:t>
      </w:r>
      <w:r>
        <w:rPr>
          <w:color w:val="333333"/>
          <w:spacing w:val="-3"/>
        </w:rPr>
        <w:t xml:space="preserve"> </w:t>
      </w:r>
      <w:r>
        <w:rPr>
          <w:color w:val="333333"/>
        </w:rPr>
        <w:t>vary</w:t>
      </w:r>
      <w:r>
        <w:rPr>
          <w:color w:val="333333"/>
          <w:spacing w:val="-1"/>
        </w:rPr>
        <w:t xml:space="preserve"> </w:t>
      </w:r>
      <w:r>
        <w:rPr>
          <w:color w:val="333333"/>
        </w:rPr>
        <w:t>between</w:t>
      </w:r>
      <w:r>
        <w:rPr>
          <w:color w:val="333333"/>
          <w:spacing w:val="-1"/>
        </w:rPr>
        <w:t xml:space="preserve"> </w:t>
      </w:r>
      <w:r>
        <w:rPr>
          <w:color w:val="333333"/>
        </w:rPr>
        <w:t>regional</w:t>
      </w:r>
      <w:r>
        <w:rPr>
          <w:color w:val="333333"/>
          <w:spacing w:val="-1"/>
        </w:rPr>
        <w:t xml:space="preserve"> </w:t>
      </w:r>
      <w:r>
        <w:rPr>
          <w:color w:val="333333"/>
        </w:rPr>
        <w:t>availability</w:t>
      </w:r>
      <w:r>
        <w:rPr>
          <w:color w:val="333333"/>
          <w:spacing w:val="-1"/>
        </w:rPr>
        <w:t xml:space="preserve"> </w:t>
      </w:r>
      <w:r>
        <w:rPr>
          <w:color w:val="333333"/>
        </w:rPr>
        <w:t>and</w:t>
      </w:r>
      <w:r>
        <w:rPr>
          <w:color w:val="333333"/>
          <w:spacing w:val="-3"/>
        </w:rPr>
        <w:t xml:space="preserve"> </w:t>
      </w:r>
      <w:r>
        <w:rPr>
          <w:color w:val="333333"/>
        </w:rPr>
        <w:t>OS</w:t>
      </w:r>
    </w:p>
    <w:p w14:paraId="11401B80" w14:textId="77777777" w:rsidR="004F5723" w:rsidRDefault="004F5723">
      <w:pPr>
        <w:pStyle w:val="BodyText"/>
        <w:spacing w:before="0"/>
        <w:ind w:left="0"/>
      </w:pPr>
    </w:p>
    <w:p w14:paraId="11401B81" w14:textId="77777777" w:rsidR="004F5723" w:rsidRDefault="004F5723">
      <w:pPr>
        <w:pStyle w:val="BodyText"/>
        <w:spacing w:before="9"/>
        <w:ind w:left="0"/>
        <w:rPr>
          <w:sz w:val="29"/>
        </w:rPr>
      </w:pPr>
    </w:p>
    <w:p w14:paraId="11401B82" w14:textId="77777777" w:rsidR="004F5723" w:rsidRDefault="00ED0A15">
      <w:pPr>
        <w:pStyle w:val="Heading1"/>
        <w:spacing w:before="1"/>
      </w:pPr>
      <w:r>
        <w:t>GCP</w:t>
      </w:r>
    </w:p>
    <w:p w14:paraId="11401B83" w14:textId="77777777" w:rsidR="004F5723" w:rsidRDefault="00ED0A15">
      <w:pPr>
        <w:pStyle w:val="BodyText"/>
      </w:pPr>
      <w:r>
        <w:rPr>
          <w:b/>
          <w:color w:val="333333"/>
        </w:rPr>
        <w:t>Note</w:t>
      </w:r>
      <w:r>
        <w:rPr>
          <w:b/>
          <w:color w:val="333333"/>
          <w:spacing w:val="-2"/>
        </w:rPr>
        <w:t xml:space="preserve"> </w:t>
      </w:r>
      <w:r>
        <w:rPr>
          <w:b/>
          <w:color w:val="333333"/>
        </w:rPr>
        <w:t>1:</w:t>
      </w:r>
      <w:r>
        <w:rPr>
          <w:b/>
          <w:color w:val="333333"/>
          <w:spacing w:val="-2"/>
        </w:rPr>
        <w:t xml:space="preserve"> </w:t>
      </w:r>
      <w:r>
        <w:rPr>
          <w:color w:val="333333"/>
        </w:rPr>
        <w:t>GCP pricing</w:t>
      </w:r>
      <w:r>
        <w:rPr>
          <w:color w:val="333333"/>
          <w:spacing w:val="-2"/>
        </w:rPr>
        <w:t xml:space="preserve"> </w:t>
      </w:r>
      <w:r>
        <w:rPr>
          <w:color w:val="333333"/>
        </w:rPr>
        <w:t>is</w:t>
      </w:r>
      <w:r>
        <w:rPr>
          <w:color w:val="333333"/>
          <w:spacing w:val="-4"/>
        </w:rPr>
        <w:t xml:space="preserve"> </w:t>
      </w:r>
      <w:r>
        <w:rPr>
          <w:color w:val="333333"/>
        </w:rPr>
        <w:t>based</w:t>
      </w:r>
      <w:r>
        <w:rPr>
          <w:color w:val="333333"/>
          <w:spacing w:val="-2"/>
        </w:rPr>
        <w:t xml:space="preserve"> </w:t>
      </w:r>
      <w:r>
        <w:rPr>
          <w:color w:val="333333"/>
        </w:rPr>
        <w:t>on</w:t>
      </w:r>
      <w:r>
        <w:rPr>
          <w:color w:val="333333"/>
          <w:spacing w:val="-2"/>
        </w:rPr>
        <w:t xml:space="preserve"> </w:t>
      </w:r>
      <w:r>
        <w:rPr>
          <w:color w:val="333333"/>
        </w:rPr>
        <w:t>per</w:t>
      </w:r>
      <w:r>
        <w:rPr>
          <w:color w:val="333333"/>
          <w:spacing w:val="-1"/>
        </w:rPr>
        <w:t xml:space="preserve"> </w:t>
      </w:r>
      <w:r>
        <w:rPr>
          <w:color w:val="333333"/>
        </w:rPr>
        <w:t>hour</w:t>
      </w:r>
      <w:r>
        <w:rPr>
          <w:color w:val="333333"/>
          <w:spacing w:val="-1"/>
        </w:rPr>
        <w:t xml:space="preserve"> </w:t>
      </w:r>
      <w:r>
        <w:rPr>
          <w:color w:val="333333"/>
        </w:rPr>
        <w:t>consumption.</w:t>
      </w:r>
    </w:p>
    <w:p w14:paraId="11401B84" w14:textId="357F53E9" w:rsidR="004F5723" w:rsidRDefault="00ED0A15">
      <w:pPr>
        <w:pStyle w:val="BodyText"/>
        <w:spacing w:before="183"/>
        <w:rPr>
          <w:color w:val="333333"/>
        </w:rPr>
      </w:pPr>
      <w:r>
        <w:rPr>
          <w:b/>
          <w:color w:val="333333"/>
        </w:rPr>
        <w:t>Note</w:t>
      </w:r>
      <w:r>
        <w:rPr>
          <w:b/>
          <w:color w:val="333333"/>
          <w:spacing w:val="-1"/>
        </w:rPr>
        <w:t xml:space="preserve"> </w:t>
      </w:r>
      <w:r>
        <w:rPr>
          <w:b/>
          <w:color w:val="333333"/>
        </w:rPr>
        <w:t>2:</w:t>
      </w:r>
      <w:r>
        <w:rPr>
          <w:b/>
          <w:color w:val="333333"/>
          <w:spacing w:val="-2"/>
        </w:rPr>
        <w:t xml:space="preserve"> </w:t>
      </w:r>
      <w:r>
        <w:rPr>
          <w:color w:val="333333"/>
        </w:rPr>
        <w:t>Google</w:t>
      </w:r>
      <w:r>
        <w:rPr>
          <w:color w:val="333333"/>
          <w:spacing w:val="-1"/>
        </w:rPr>
        <w:t xml:space="preserve"> </w:t>
      </w:r>
      <w:r>
        <w:rPr>
          <w:color w:val="333333"/>
        </w:rPr>
        <w:t>Compute</w:t>
      </w:r>
      <w:r>
        <w:rPr>
          <w:color w:val="333333"/>
          <w:spacing w:val="-1"/>
        </w:rPr>
        <w:t xml:space="preserve"> </w:t>
      </w:r>
      <w:r>
        <w:rPr>
          <w:color w:val="333333"/>
        </w:rPr>
        <w:t>services</w:t>
      </w:r>
      <w:r>
        <w:rPr>
          <w:color w:val="333333"/>
          <w:spacing w:val="-2"/>
        </w:rPr>
        <w:t xml:space="preserve"> </w:t>
      </w:r>
      <w:r>
        <w:rPr>
          <w:color w:val="333333"/>
        </w:rPr>
        <w:t>vary</w:t>
      </w:r>
      <w:r>
        <w:rPr>
          <w:color w:val="333333"/>
          <w:spacing w:val="-3"/>
        </w:rPr>
        <w:t xml:space="preserve"> </w:t>
      </w:r>
      <w:r>
        <w:rPr>
          <w:color w:val="333333"/>
        </w:rPr>
        <w:t>between</w:t>
      </w:r>
      <w:r>
        <w:rPr>
          <w:color w:val="333333"/>
          <w:spacing w:val="-1"/>
        </w:rPr>
        <w:t xml:space="preserve"> </w:t>
      </w:r>
      <w:r>
        <w:rPr>
          <w:color w:val="333333"/>
        </w:rPr>
        <w:t>regional</w:t>
      </w:r>
      <w:r>
        <w:rPr>
          <w:color w:val="333333"/>
          <w:spacing w:val="-1"/>
        </w:rPr>
        <w:t xml:space="preserve"> </w:t>
      </w:r>
      <w:r>
        <w:rPr>
          <w:color w:val="333333"/>
        </w:rPr>
        <w:t>availability</w:t>
      </w:r>
      <w:r>
        <w:rPr>
          <w:color w:val="333333"/>
          <w:spacing w:val="-3"/>
        </w:rPr>
        <w:t xml:space="preserve"> </w:t>
      </w:r>
      <w:r>
        <w:rPr>
          <w:color w:val="333333"/>
        </w:rPr>
        <w:t>and</w:t>
      </w:r>
      <w:r>
        <w:rPr>
          <w:color w:val="333333"/>
          <w:spacing w:val="-1"/>
        </w:rPr>
        <w:t xml:space="preserve"> </w:t>
      </w:r>
      <w:r>
        <w:rPr>
          <w:color w:val="333333"/>
        </w:rPr>
        <w:t>OS</w:t>
      </w:r>
    </w:p>
    <w:p w14:paraId="52130E38" w14:textId="77777777" w:rsidR="003A0052" w:rsidRDefault="003A0052">
      <w:pPr>
        <w:pStyle w:val="BodyText"/>
        <w:spacing w:before="183"/>
        <w:rPr>
          <w:b/>
          <w:bCs/>
        </w:rPr>
      </w:pPr>
    </w:p>
    <w:p w14:paraId="70C2DA06" w14:textId="502261E9" w:rsidR="00DA4DFD" w:rsidRDefault="003A0052">
      <w:pPr>
        <w:pStyle w:val="BodyText"/>
        <w:spacing w:before="183"/>
        <w:rPr>
          <w:b/>
          <w:bCs/>
        </w:rPr>
      </w:pPr>
      <w:r>
        <w:rPr>
          <w:b/>
          <w:bCs/>
        </w:rPr>
        <w:t xml:space="preserve">Smartronix </w:t>
      </w:r>
      <w:r w:rsidR="00987FB3">
        <w:rPr>
          <w:b/>
          <w:bCs/>
        </w:rPr>
        <w:t>AWS Market Place</w:t>
      </w:r>
    </w:p>
    <w:p w14:paraId="733EC44D" w14:textId="77777777" w:rsidR="003A0052" w:rsidRDefault="003A0052" w:rsidP="003A0052">
      <w:r>
        <w:t xml:space="preserve">  </w:t>
      </w:r>
    </w:p>
    <w:p w14:paraId="7F0BD044" w14:textId="5078BD26" w:rsidR="003A0052" w:rsidRDefault="003A0052" w:rsidP="003A0052">
      <w:pPr>
        <w:rPr>
          <w:rFonts w:eastAsiaTheme="minorHAnsi"/>
        </w:rPr>
      </w:pPr>
      <w:r>
        <w:lastRenderedPageBreak/>
        <w:t xml:space="preserve">   </w:t>
      </w:r>
      <w:hyperlink r:id="rId19" w:history="1">
        <w:r w:rsidRPr="004F6499">
          <w:rPr>
            <w:rStyle w:val="Hyperlink"/>
          </w:rPr>
          <w:t>https://aws.amazon.com/marketplace/seller-profile?id=cb17135a-f9d6-4e4a-8818-9377c415134e</w:t>
        </w:r>
      </w:hyperlink>
    </w:p>
    <w:p w14:paraId="6E09286D" w14:textId="77777777" w:rsidR="00987FB3" w:rsidRPr="00987FB3" w:rsidRDefault="00987FB3">
      <w:pPr>
        <w:pStyle w:val="BodyText"/>
        <w:spacing w:before="183"/>
        <w:rPr>
          <w:b/>
          <w:bCs/>
        </w:rPr>
      </w:pPr>
    </w:p>
    <w:p w14:paraId="06279CCA" w14:textId="2A6C9B4F" w:rsidR="00DA4DFD" w:rsidRDefault="00DA4DFD">
      <w:pPr>
        <w:pStyle w:val="BodyText"/>
        <w:spacing w:before="183"/>
        <w:rPr>
          <w:b/>
          <w:bCs/>
        </w:rPr>
      </w:pPr>
      <w:r>
        <w:rPr>
          <w:b/>
          <w:bCs/>
        </w:rPr>
        <w:t>Resultant</w:t>
      </w:r>
    </w:p>
    <w:p w14:paraId="3E2D7A0C" w14:textId="3CEDACAC" w:rsidR="006D3850" w:rsidRPr="00AB480A" w:rsidRDefault="00485081" w:rsidP="00AB480A">
      <w:pPr>
        <w:pStyle w:val="BodyText"/>
        <w:spacing w:before="183"/>
        <w:rPr>
          <w:color w:val="000000" w:themeColor="text1"/>
        </w:rPr>
      </w:pPr>
      <w:r>
        <w:t>SMX is pleased to partner with Resultant, a consulting firm who partners with clients in the public and private sectors to help them overcome their most complex challenges, empowering our clients to drive meaningful change in their organizations and communities</w:t>
      </w:r>
      <w:r w:rsidRPr="00485081">
        <w:rPr>
          <w:color w:val="000000" w:themeColor="text1"/>
        </w:rPr>
        <w:t xml:space="preserve">. Through Resultant, SMX can offer Google Workspace, Chrome Enterprise Licenses, and Professional services related to the implementation of the two </w:t>
      </w:r>
      <w:proofErr w:type="gramStart"/>
      <w:r w:rsidRPr="00485081">
        <w:rPr>
          <w:color w:val="000000" w:themeColor="text1"/>
        </w:rPr>
        <w:t>aforementioned products</w:t>
      </w:r>
      <w:proofErr w:type="gramEnd"/>
      <w:r w:rsidRPr="00485081">
        <w:rPr>
          <w:color w:val="000000" w:themeColor="text1"/>
        </w:rPr>
        <w:t>.</w:t>
      </w:r>
    </w:p>
    <w:p w14:paraId="17944F0A" w14:textId="77777777" w:rsidR="003A0052" w:rsidRDefault="003A0052">
      <w:pPr>
        <w:rPr>
          <w:b/>
          <w:bCs/>
        </w:rPr>
      </w:pPr>
      <w:r>
        <w:rPr>
          <w:b/>
          <w:bCs/>
        </w:rPr>
        <w:br w:type="page"/>
      </w:r>
    </w:p>
    <w:p w14:paraId="108492CC" w14:textId="517F3154" w:rsidR="006D3850" w:rsidRDefault="006D3850" w:rsidP="006D3850">
      <w:pPr>
        <w:pStyle w:val="BodyText"/>
        <w:spacing w:before="183"/>
        <w:rPr>
          <w:b/>
          <w:bCs/>
        </w:rPr>
      </w:pPr>
      <w:r>
        <w:rPr>
          <w:b/>
          <w:bCs/>
        </w:rPr>
        <w:lastRenderedPageBreak/>
        <w:t>Alation</w:t>
      </w:r>
    </w:p>
    <w:p w14:paraId="490058A7" w14:textId="696F3BBD" w:rsidR="006D3850" w:rsidRDefault="006D3850" w:rsidP="006D3850">
      <w:pPr>
        <w:pStyle w:val="BodyText"/>
        <w:spacing w:before="183"/>
      </w:pPr>
      <w:r>
        <w:t xml:space="preserve">SMX is pleased to be an Alation resale and implementation partner. </w:t>
      </w:r>
      <w:hyperlink r:id="rId20" w:history="1">
        <w:r w:rsidRPr="006D3850">
          <w:rPr>
            <w:rStyle w:val="Hyperlink"/>
          </w:rPr>
          <w:t>Alation</w:t>
        </w:r>
      </w:hyperlink>
      <w:r>
        <w:t xml:space="preserve"> is a modern data platform that supports data governance, data cataloging data quality, data lineage, connectors and protected sheets. </w:t>
      </w:r>
    </w:p>
    <w:p w14:paraId="057241C8" w14:textId="77777777" w:rsidR="006D3850" w:rsidRDefault="006D3850" w:rsidP="006D3850">
      <w:pPr>
        <w:pStyle w:val="BodyText"/>
        <w:spacing w:before="183"/>
      </w:pPr>
    </w:p>
    <w:p w14:paraId="26EC6534" w14:textId="4B1A9823" w:rsidR="006D3850" w:rsidRDefault="006D3850" w:rsidP="006D3850">
      <w:pPr>
        <w:pStyle w:val="BodyText"/>
        <w:spacing w:before="183"/>
        <w:rPr>
          <w:b/>
          <w:bCs/>
        </w:rPr>
      </w:pPr>
      <w:r>
        <w:rPr>
          <w:b/>
          <w:bCs/>
        </w:rPr>
        <w:t xml:space="preserve">Snowflake </w:t>
      </w:r>
    </w:p>
    <w:p w14:paraId="70701C24" w14:textId="2894B73D" w:rsidR="006D3850" w:rsidRPr="00485081" w:rsidRDefault="006D3850" w:rsidP="006D3850">
      <w:pPr>
        <w:pStyle w:val="BodyText"/>
        <w:spacing w:before="183"/>
      </w:pPr>
      <w:r w:rsidRPr="006D3850">
        <w:t xml:space="preserve">SMX has deep experience working with government agencies on </w:t>
      </w:r>
      <w:hyperlink r:id="rId21" w:history="1">
        <w:r w:rsidRPr="006D3850">
          <w:rPr>
            <w:rStyle w:val="Hyperlink"/>
          </w:rPr>
          <w:t>Snowflake</w:t>
        </w:r>
      </w:hyperlink>
      <w:r w:rsidRPr="006D3850">
        <w:t xml:space="preserve"> implementations. SMX is a direct distributor for Snowflake.  SMX’s Select Tier partnership with Snowflake ensures that SMX team members are up to date on the latest Snowflake Capabilities. SMX’s unique position as a systems integrator and </w:t>
      </w:r>
      <w:r>
        <w:t>direct distributor</w:t>
      </w:r>
      <w:r w:rsidRPr="006D3850">
        <w:t xml:space="preserve"> allows </w:t>
      </w:r>
      <w:r>
        <w:t xml:space="preserve">SMX to </w:t>
      </w:r>
      <w:r w:rsidRPr="006D3850">
        <w:t>negotiate deep discounts for Snowflake capacity purchases</w:t>
      </w:r>
      <w:r>
        <w:t xml:space="preserve"> </w:t>
      </w:r>
      <w:r w:rsidR="00200564">
        <w:t>based on volume o</w:t>
      </w:r>
      <w:r>
        <w:t xml:space="preserve">n behalf of the state. </w:t>
      </w:r>
    </w:p>
    <w:p w14:paraId="08611C3A" w14:textId="77777777" w:rsidR="006D3850" w:rsidRDefault="006D3850">
      <w:pPr>
        <w:pStyle w:val="BodyText"/>
        <w:spacing w:before="183"/>
      </w:pPr>
    </w:p>
    <w:p w14:paraId="2489A521" w14:textId="2EFCC242" w:rsidR="006D3850" w:rsidRPr="006D3850" w:rsidRDefault="006D3850">
      <w:pPr>
        <w:pStyle w:val="BodyText"/>
        <w:spacing w:before="183"/>
        <w:rPr>
          <w:b/>
          <w:bCs/>
        </w:rPr>
      </w:pPr>
      <w:r w:rsidRPr="006D3850">
        <w:rPr>
          <w:b/>
          <w:bCs/>
        </w:rPr>
        <w:t>Informatica</w:t>
      </w:r>
    </w:p>
    <w:p w14:paraId="0E67D2E8" w14:textId="2C6E5F7E" w:rsidR="006D3850" w:rsidRDefault="006D3850">
      <w:pPr>
        <w:pStyle w:val="BodyText"/>
        <w:spacing w:before="183"/>
      </w:pPr>
      <w:r>
        <w:t xml:space="preserve">SMX </w:t>
      </w:r>
      <w:r w:rsidR="00DB53CC">
        <w:t xml:space="preserve">is pleased to be an </w:t>
      </w:r>
      <w:hyperlink r:id="rId22" w:history="1">
        <w:r w:rsidR="00DB53CC" w:rsidRPr="00600F55">
          <w:rPr>
            <w:rStyle w:val="Hyperlink"/>
          </w:rPr>
          <w:t>Informatica</w:t>
        </w:r>
      </w:hyperlink>
      <w:r w:rsidR="00DB53CC">
        <w:t xml:space="preserve"> resale and implementation partner.  </w:t>
      </w:r>
      <w:r w:rsidR="00600F55">
        <w:t xml:space="preserve">Informatica is an Intelligent Data solution that can support ETL, data transformation, data de-identification, data governance, data quality, data integration, master data management, AI, and data cataloging. </w:t>
      </w:r>
    </w:p>
    <w:p w14:paraId="668D1481" w14:textId="77777777" w:rsidR="00600F55" w:rsidRDefault="00600F55">
      <w:pPr>
        <w:pStyle w:val="BodyText"/>
        <w:spacing w:before="183"/>
      </w:pPr>
    </w:p>
    <w:p w14:paraId="61937553" w14:textId="3CF85852" w:rsidR="00600F55" w:rsidRPr="006D3850" w:rsidRDefault="00600F55" w:rsidP="00600F55">
      <w:pPr>
        <w:pStyle w:val="BodyText"/>
        <w:spacing w:before="183"/>
        <w:rPr>
          <w:b/>
          <w:bCs/>
        </w:rPr>
      </w:pPr>
      <w:r>
        <w:rPr>
          <w:b/>
          <w:bCs/>
        </w:rPr>
        <w:t>Tableau</w:t>
      </w:r>
    </w:p>
    <w:p w14:paraId="4AA7D2A8" w14:textId="77777777" w:rsidR="0014655F" w:rsidRDefault="00600F55">
      <w:pPr>
        <w:pStyle w:val="BodyText"/>
        <w:spacing w:before="183"/>
      </w:pPr>
      <w:r>
        <w:t xml:space="preserve">SMX works closely with Tableau as both a reseller and implementation </w:t>
      </w:r>
      <w:r w:rsidR="00A3350E">
        <w:t>provider</w:t>
      </w:r>
      <w:r>
        <w:t xml:space="preserve">.  Tableau is a best-in-class data visualization and analytics tools. </w:t>
      </w:r>
    </w:p>
    <w:p w14:paraId="061B4C0D" w14:textId="1C2821DD" w:rsidR="00A3350E" w:rsidRPr="0014655F" w:rsidRDefault="00A3350E" w:rsidP="0014655F">
      <w:pPr>
        <w:pStyle w:val="BodyText"/>
        <w:spacing w:before="183"/>
        <w:ind w:left="0"/>
      </w:pPr>
      <w:r w:rsidRPr="00A3350E">
        <w:rPr>
          <w:b/>
          <w:bCs/>
        </w:rPr>
        <w:t>Cardinality</w:t>
      </w:r>
    </w:p>
    <w:p w14:paraId="335CA41A" w14:textId="4B768947" w:rsidR="00A3350E" w:rsidRDefault="00A3350E">
      <w:hyperlink r:id="rId23" w:history="1">
        <w:r w:rsidRPr="00A3350E">
          <w:rPr>
            <w:rStyle w:val="Hyperlink"/>
          </w:rPr>
          <w:t>Cardinality</w:t>
        </w:r>
      </w:hyperlink>
      <w:r w:rsidRPr="00A3350E">
        <w:t>.ai is a data technology company helping government agencies deliver better citizen services through AI enabled SaaS solutions</w:t>
      </w:r>
      <w:r>
        <w:t>. Cardinality’s</w:t>
      </w:r>
      <w:r w:rsidRPr="00A3350E">
        <w:t xml:space="preserve"> built-for-government suite of case management solutions employ configurable modules, cloud-based tech, a powerful AI assistant, an intuitive interface, and data-driven workflows on a low-code platform that enables agencies to modernize faster, and with greater confidence, than custom development projects. </w:t>
      </w:r>
      <w:r>
        <w:t xml:space="preserve"> SMX is both a reseller and implementation partner for Cardinality. </w:t>
      </w:r>
    </w:p>
    <w:p w14:paraId="01048CF2" w14:textId="77777777" w:rsidR="00A3350E" w:rsidRDefault="00A3350E"/>
    <w:p w14:paraId="5D15CE25" w14:textId="77777777" w:rsidR="00A3350E" w:rsidRDefault="00A3350E"/>
    <w:tbl>
      <w:tblPr>
        <w:tblStyle w:val="TableGrid"/>
        <w:tblW w:w="0" w:type="auto"/>
        <w:tblLook w:val="04A0" w:firstRow="1" w:lastRow="0" w:firstColumn="1" w:lastColumn="0" w:noHBand="0" w:noVBand="1"/>
      </w:tblPr>
      <w:tblGrid>
        <w:gridCol w:w="2966"/>
        <w:gridCol w:w="2958"/>
        <w:gridCol w:w="3426"/>
      </w:tblGrid>
      <w:tr w:rsidR="00A3350E" w14:paraId="7D20B7B3" w14:textId="77777777" w:rsidTr="00A3350E">
        <w:trPr>
          <w:trHeight w:val="442"/>
        </w:trPr>
        <w:tc>
          <w:tcPr>
            <w:tcW w:w="2966" w:type="dxa"/>
            <w:shd w:val="clear" w:color="auto" w:fill="4F81BD" w:themeFill="accent1"/>
          </w:tcPr>
          <w:p w14:paraId="43428127" w14:textId="1AEBB34A" w:rsidR="00A3350E" w:rsidRPr="00A3350E" w:rsidRDefault="00A3350E">
            <w:pPr>
              <w:rPr>
                <w:b/>
                <w:bCs/>
                <w:color w:val="FFFFFF" w:themeColor="background1"/>
              </w:rPr>
            </w:pPr>
            <w:r w:rsidRPr="00A3350E">
              <w:rPr>
                <w:b/>
                <w:bCs/>
                <w:color w:val="FFFFFF" w:themeColor="background1"/>
              </w:rPr>
              <w:t>Function</w:t>
            </w:r>
          </w:p>
        </w:tc>
        <w:tc>
          <w:tcPr>
            <w:tcW w:w="2958" w:type="dxa"/>
            <w:shd w:val="clear" w:color="auto" w:fill="4F81BD" w:themeFill="accent1"/>
          </w:tcPr>
          <w:p w14:paraId="69617AC6" w14:textId="7AB1D6B1" w:rsidR="00A3350E" w:rsidRPr="00A3350E" w:rsidRDefault="00A3350E">
            <w:pPr>
              <w:rPr>
                <w:b/>
                <w:bCs/>
                <w:color w:val="FFFFFF" w:themeColor="background1"/>
              </w:rPr>
            </w:pPr>
            <w:r w:rsidRPr="00A3350E">
              <w:rPr>
                <w:b/>
                <w:bCs/>
                <w:color w:val="FFFFFF" w:themeColor="background1"/>
              </w:rPr>
              <w:t>Product Description</w:t>
            </w:r>
          </w:p>
        </w:tc>
        <w:tc>
          <w:tcPr>
            <w:tcW w:w="3426" w:type="dxa"/>
            <w:shd w:val="clear" w:color="auto" w:fill="4F81BD" w:themeFill="accent1"/>
          </w:tcPr>
          <w:p w14:paraId="5BAFF451" w14:textId="73FE6070" w:rsidR="00A3350E" w:rsidRPr="00A3350E" w:rsidRDefault="00A3350E">
            <w:pPr>
              <w:rPr>
                <w:b/>
                <w:bCs/>
                <w:color w:val="FFFFFF" w:themeColor="background1"/>
              </w:rPr>
            </w:pPr>
            <w:r w:rsidRPr="00A3350E">
              <w:rPr>
                <w:b/>
                <w:bCs/>
                <w:color w:val="FFFFFF" w:themeColor="background1"/>
              </w:rPr>
              <w:t xml:space="preserve">Product Part Number </w:t>
            </w:r>
          </w:p>
        </w:tc>
      </w:tr>
      <w:tr w:rsidR="00A3350E" w14:paraId="32BA4934" w14:textId="77777777" w:rsidTr="00A3350E">
        <w:trPr>
          <w:trHeight w:val="216"/>
        </w:trPr>
        <w:tc>
          <w:tcPr>
            <w:tcW w:w="2966" w:type="dxa"/>
          </w:tcPr>
          <w:p w14:paraId="6B34411D" w14:textId="65E4130F" w:rsidR="00A3350E" w:rsidRDefault="00A3350E">
            <w:r>
              <w:t>Child Welfare</w:t>
            </w:r>
          </w:p>
        </w:tc>
        <w:tc>
          <w:tcPr>
            <w:tcW w:w="2958" w:type="dxa"/>
          </w:tcPr>
          <w:p w14:paraId="4EB2F5BD" w14:textId="0880F00C" w:rsidR="00A3350E" w:rsidRDefault="00A3350E">
            <w:r w:rsidRPr="00A3350E">
              <w:t>Cardinality Annual SaaS license</w:t>
            </w:r>
            <w:r>
              <w:t>s</w:t>
            </w:r>
          </w:p>
        </w:tc>
        <w:tc>
          <w:tcPr>
            <w:tcW w:w="3426" w:type="dxa"/>
          </w:tcPr>
          <w:p w14:paraId="428A2568" w14:textId="469205BA" w:rsidR="00A3350E" w:rsidRDefault="00A3350E">
            <w:r w:rsidRPr="00A3350E">
              <w:t>CDY.RBS.CCWIS.xx.H00500D10.NPO</w:t>
            </w:r>
          </w:p>
        </w:tc>
      </w:tr>
      <w:tr w:rsidR="00A3350E" w14:paraId="2A6048D5" w14:textId="77777777" w:rsidTr="00A3350E">
        <w:trPr>
          <w:trHeight w:val="216"/>
        </w:trPr>
        <w:tc>
          <w:tcPr>
            <w:tcW w:w="2966" w:type="dxa"/>
          </w:tcPr>
          <w:p w14:paraId="2F971859" w14:textId="3E8B5D5A" w:rsidR="00A3350E" w:rsidRDefault="00A3350E" w:rsidP="00A3350E">
            <w:r w:rsidRPr="00A3350E">
              <w:t>Child Care</w:t>
            </w:r>
          </w:p>
        </w:tc>
        <w:tc>
          <w:tcPr>
            <w:tcW w:w="2958" w:type="dxa"/>
          </w:tcPr>
          <w:p w14:paraId="528DDA9C" w14:textId="0ED6E06C" w:rsidR="00A3350E" w:rsidRDefault="00A3350E" w:rsidP="00A3350E">
            <w:r w:rsidRPr="00A3350E">
              <w:t>Cardinality Annual SaaS license</w:t>
            </w:r>
            <w:r>
              <w:t>s</w:t>
            </w:r>
          </w:p>
        </w:tc>
        <w:tc>
          <w:tcPr>
            <w:tcW w:w="3426" w:type="dxa"/>
          </w:tcPr>
          <w:p w14:paraId="27086911" w14:textId="3C7C453B" w:rsidR="00A3350E" w:rsidRDefault="00A3350E" w:rsidP="00A3350E">
            <w:r w:rsidRPr="00A3350E">
              <w:t>CDY.RBS.CC.xx.H00500D10.NPO</w:t>
            </w:r>
          </w:p>
        </w:tc>
      </w:tr>
      <w:tr w:rsidR="00A3350E" w14:paraId="03111A84" w14:textId="77777777" w:rsidTr="00A3350E">
        <w:trPr>
          <w:trHeight w:val="216"/>
        </w:trPr>
        <w:tc>
          <w:tcPr>
            <w:tcW w:w="2966" w:type="dxa"/>
          </w:tcPr>
          <w:p w14:paraId="4AD6E7AC" w14:textId="6AAB169A" w:rsidR="00A3350E" w:rsidRDefault="00A3350E" w:rsidP="00A3350E">
            <w:r>
              <w:t>Child Support</w:t>
            </w:r>
          </w:p>
        </w:tc>
        <w:tc>
          <w:tcPr>
            <w:tcW w:w="2958" w:type="dxa"/>
          </w:tcPr>
          <w:p w14:paraId="31829896" w14:textId="7291318A" w:rsidR="00A3350E" w:rsidRDefault="00A3350E" w:rsidP="00A3350E">
            <w:r w:rsidRPr="00A3350E">
              <w:t>Cardinality Annual SaaS license</w:t>
            </w:r>
            <w:r>
              <w:t>s</w:t>
            </w:r>
          </w:p>
        </w:tc>
        <w:tc>
          <w:tcPr>
            <w:tcW w:w="3426" w:type="dxa"/>
          </w:tcPr>
          <w:p w14:paraId="7A2489EE" w14:textId="3C823C11" w:rsidR="00A3350E" w:rsidRDefault="00A3350E" w:rsidP="00A3350E">
            <w:r w:rsidRPr="00A3350E">
              <w:t>CDY.RBS.CS.xx.H00500D10.NPO</w:t>
            </w:r>
          </w:p>
        </w:tc>
      </w:tr>
      <w:tr w:rsidR="00A3350E" w14:paraId="48DA4B10" w14:textId="77777777" w:rsidTr="00A3350E">
        <w:trPr>
          <w:trHeight w:val="216"/>
        </w:trPr>
        <w:tc>
          <w:tcPr>
            <w:tcW w:w="2966" w:type="dxa"/>
          </w:tcPr>
          <w:p w14:paraId="4232FB11" w14:textId="09841905" w:rsidR="00A3350E" w:rsidRDefault="00A3350E" w:rsidP="00A3350E">
            <w:r>
              <w:t>Integrated Eligibility</w:t>
            </w:r>
          </w:p>
        </w:tc>
        <w:tc>
          <w:tcPr>
            <w:tcW w:w="2958" w:type="dxa"/>
          </w:tcPr>
          <w:p w14:paraId="38D68F19" w14:textId="549C4BAC" w:rsidR="00A3350E" w:rsidRDefault="00A3350E" w:rsidP="00A3350E">
            <w:r w:rsidRPr="00A3350E">
              <w:t>Cardinality Annual SaaS license</w:t>
            </w:r>
            <w:r>
              <w:t>s</w:t>
            </w:r>
          </w:p>
        </w:tc>
        <w:tc>
          <w:tcPr>
            <w:tcW w:w="3426" w:type="dxa"/>
          </w:tcPr>
          <w:p w14:paraId="1A3C8D59" w14:textId="347C36C2" w:rsidR="00A3350E" w:rsidRDefault="00A3350E" w:rsidP="00A3350E">
            <w:r w:rsidRPr="00A3350E">
              <w:t>CDY.RBS.IES.xx.H00500D10.NPO</w:t>
            </w:r>
          </w:p>
        </w:tc>
      </w:tr>
      <w:tr w:rsidR="00A3350E" w14:paraId="1D834426" w14:textId="77777777" w:rsidTr="00A3350E">
        <w:trPr>
          <w:trHeight w:val="216"/>
        </w:trPr>
        <w:tc>
          <w:tcPr>
            <w:tcW w:w="2966" w:type="dxa"/>
          </w:tcPr>
          <w:p w14:paraId="797E7A61" w14:textId="75403AB4" w:rsidR="00A3350E" w:rsidRDefault="00A3350E" w:rsidP="00A3350E">
            <w:r>
              <w:lastRenderedPageBreak/>
              <w:t>Case Management</w:t>
            </w:r>
          </w:p>
        </w:tc>
        <w:tc>
          <w:tcPr>
            <w:tcW w:w="2958" w:type="dxa"/>
          </w:tcPr>
          <w:p w14:paraId="0429C5B7" w14:textId="51BBE241" w:rsidR="00A3350E" w:rsidRDefault="00A3350E" w:rsidP="00A3350E">
            <w:r w:rsidRPr="00A3350E">
              <w:t>Cardinality Annual SaaS license</w:t>
            </w:r>
            <w:r>
              <w:t>s</w:t>
            </w:r>
          </w:p>
        </w:tc>
        <w:tc>
          <w:tcPr>
            <w:tcW w:w="3426" w:type="dxa"/>
          </w:tcPr>
          <w:p w14:paraId="5192B54D" w14:textId="007559B2" w:rsidR="00A3350E" w:rsidRDefault="00A3350E" w:rsidP="00A3350E">
            <w:r w:rsidRPr="00A3350E">
              <w:t>CDY.IT.CM.xx.H00100D10.NPO</w:t>
            </w:r>
          </w:p>
        </w:tc>
      </w:tr>
      <w:tr w:rsidR="00A3350E" w14:paraId="3FBBE714" w14:textId="77777777" w:rsidTr="00710677">
        <w:trPr>
          <w:trHeight w:val="216"/>
        </w:trPr>
        <w:tc>
          <w:tcPr>
            <w:tcW w:w="9350" w:type="dxa"/>
            <w:gridSpan w:val="3"/>
          </w:tcPr>
          <w:p w14:paraId="587902B0" w14:textId="77777777" w:rsidR="00A3350E" w:rsidRDefault="00A3350E" w:rsidP="00A3350E">
            <w:pPr>
              <w:adjustRightInd w:val="0"/>
              <w:rPr>
                <w:rFonts w:eastAsiaTheme="minorHAnsi"/>
                <w:sz w:val="16"/>
                <w:szCs w:val="16"/>
              </w:rPr>
            </w:pPr>
            <w:r>
              <w:rPr>
                <w:rFonts w:eastAsiaTheme="minorHAnsi"/>
                <w:sz w:val="16"/>
                <w:szCs w:val="16"/>
              </w:rPr>
              <w:t>Assumption:</w:t>
            </w:r>
          </w:p>
          <w:p w14:paraId="3568EF6F" w14:textId="77777777" w:rsidR="00A3350E" w:rsidRDefault="00A3350E" w:rsidP="00A3350E">
            <w:pPr>
              <w:adjustRightInd w:val="0"/>
              <w:rPr>
                <w:rFonts w:eastAsiaTheme="minorHAnsi"/>
                <w:sz w:val="16"/>
                <w:szCs w:val="16"/>
              </w:rPr>
            </w:pPr>
            <w:r>
              <w:rPr>
                <w:rFonts w:eastAsiaTheme="minorHAnsi"/>
                <w:sz w:val="16"/>
                <w:szCs w:val="16"/>
              </w:rPr>
              <w:t>1. Onetime Implementation Cost is additional</w:t>
            </w:r>
          </w:p>
          <w:p w14:paraId="15B63278" w14:textId="77777777" w:rsidR="00A3350E" w:rsidRDefault="00A3350E" w:rsidP="00A3350E">
            <w:pPr>
              <w:adjustRightInd w:val="0"/>
              <w:rPr>
                <w:rFonts w:eastAsiaTheme="minorHAnsi"/>
                <w:sz w:val="16"/>
                <w:szCs w:val="16"/>
              </w:rPr>
            </w:pPr>
            <w:r>
              <w:rPr>
                <w:rFonts w:eastAsiaTheme="minorHAnsi"/>
                <w:sz w:val="16"/>
                <w:szCs w:val="16"/>
              </w:rPr>
              <w:t xml:space="preserve">2. Annual SaaS license includes Hosting and 3rd Party software for ESB, Rule Engine, Reporting and </w:t>
            </w:r>
            <w:proofErr w:type="gramStart"/>
            <w:r>
              <w:rPr>
                <w:rFonts w:eastAsiaTheme="minorHAnsi"/>
                <w:sz w:val="16"/>
                <w:szCs w:val="16"/>
              </w:rPr>
              <w:t>Work Flow</w:t>
            </w:r>
            <w:proofErr w:type="gramEnd"/>
            <w:r>
              <w:rPr>
                <w:rFonts w:eastAsiaTheme="minorHAnsi"/>
                <w:sz w:val="16"/>
                <w:szCs w:val="16"/>
              </w:rPr>
              <w:t xml:space="preserve"> designer</w:t>
            </w:r>
          </w:p>
          <w:p w14:paraId="09BAE177" w14:textId="77777777" w:rsidR="00A3350E" w:rsidRDefault="00A3350E" w:rsidP="00A3350E">
            <w:pPr>
              <w:adjustRightInd w:val="0"/>
              <w:rPr>
                <w:rFonts w:eastAsiaTheme="minorHAnsi"/>
                <w:sz w:val="16"/>
                <w:szCs w:val="16"/>
              </w:rPr>
            </w:pPr>
            <w:r>
              <w:rPr>
                <w:rFonts w:eastAsiaTheme="minorHAnsi"/>
                <w:sz w:val="16"/>
                <w:szCs w:val="16"/>
              </w:rPr>
              <w:t>3. Annual SaaS license includes the following</w:t>
            </w:r>
          </w:p>
          <w:p w14:paraId="61684ABA" w14:textId="77777777" w:rsidR="00A3350E" w:rsidRDefault="00A3350E" w:rsidP="00A3350E">
            <w:pPr>
              <w:adjustRightInd w:val="0"/>
              <w:rPr>
                <w:rFonts w:eastAsiaTheme="minorHAnsi"/>
                <w:sz w:val="16"/>
                <w:szCs w:val="16"/>
              </w:rPr>
            </w:pPr>
            <w:r>
              <w:rPr>
                <w:rFonts w:eastAsiaTheme="minorHAnsi"/>
                <w:sz w:val="16"/>
                <w:szCs w:val="16"/>
              </w:rPr>
              <w:t>a. Yearly 2 upgrades</w:t>
            </w:r>
          </w:p>
          <w:p w14:paraId="790799C2" w14:textId="77777777" w:rsidR="00A3350E" w:rsidRDefault="00A3350E" w:rsidP="00A3350E">
            <w:pPr>
              <w:adjustRightInd w:val="0"/>
              <w:rPr>
                <w:rFonts w:eastAsiaTheme="minorHAnsi"/>
                <w:sz w:val="16"/>
                <w:szCs w:val="16"/>
              </w:rPr>
            </w:pPr>
            <w:r>
              <w:rPr>
                <w:rFonts w:eastAsiaTheme="minorHAnsi"/>
                <w:sz w:val="16"/>
                <w:szCs w:val="16"/>
              </w:rPr>
              <w:t>b. Monthly critical patch release</w:t>
            </w:r>
          </w:p>
          <w:p w14:paraId="73D7FAC2" w14:textId="33A29FAA" w:rsidR="00A3350E" w:rsidRPr="00A3350E" w:rsidRDefault="00A3350E" w:rsidP="00A3350E">
            <w:r>
              <w:rPr>
                <w:rFonts w:eastAsiaTheme="minorHAnsi"/>
                <w:sz w:val="16"/>
                <w:szCs w:val="16"/>
              </w:rPr>
              <w:t>c. Level 3 Technical Support</w:t>
            </w:r>
          </w:p>
        </w:tc>
      </w:tr>
    </w:tbl>
    <w:p w14:paraId="57510420" w14:textId="3CD67620" w:rsidR="0014655F" w:rsidRDefault="00491F7E">
      <w:r>
        <w:br w:type="page"/>
      </w:r>
    </w:p>
    <w:p w14:paraId="0E267EAF" w14:textId="77777777" w:rsidR="0014655F" w:rsidRPr="0014655F" w:rsidRDefault="0014655F" w:rsidP="0014655F">
      <w:pPr>
        <w:rPr>
          <w:b/>
          <w:bCs/>
          <w:sz w:val="28"/>
          <w:szCs w:val="28"/>
        </w:rPr>
      </w:pPr>
      <w:r w:rsidRPr="0014655F">
        <w:rPr>
          <w:b/>
          <w:bCs/>
          <w:sz w:val="28"/>
          <w:szCs w:val="28"/>
        </w:rPr>
        <w:lastRenderedPageBreak/>
        <w:t>Smartronix DBA Creoal Consulting, LLC a wholly owned subsidiary of SMX</w:t>
      </w:r>
    </w:p>
    <w:p w14:paraId="32134314" w14:textId="77777777" w:rsidR="0014655F" w:rsidRPr="0014655F" w:rsidRDefault="0014655F" w:rsidP="0014655F">
      <w:pPr>
        <w:rPr>
          <w:b/>
          <w:bCs/>
        </w:rPr>
      </w:pPr>
    </w:p>
    <w:p w14:paraId="75D6C16F" w14:textId="27026512" w:rsidR="0014655F" w:rsidRDefault="0014655F" w:rsidP="0014655F">
      <w:pPr>
        <w:rPr>
          <w:sz w:val="24"/>
          <w:szCs w:val="24"/>
        </w:rPr>
      </w:pPr>
      <w:r w:rsidRPr="0014655F">
        <w:rPr>
          <w:sz w:val="24"/>
          <w:szCs w:val="24"/>
        </w:rPr>
        <w:t>Creoal Consulting, LLC (</w:t>
      </w:r>
      <w:r w:rsidR="00782CA6">
        <w:rPr>
          <w:sz w:val="24"/>
          <w:szCs w:val="24"/>
        </w:rPr>
        <w:t>“</w:t>
      </w:r>
      <w:r w:rsidRPr="0014655F">
        <w:rPr>
          <w:sz w:val="24"/>
          <w:szCs w:val="24"/>
        </w:rPr>
        <w:t>Creoal</w:t>
      </w:r>
      <w:r w:rsidR="00782CA6">
        <w:rPr>
          <w:sz w:val="24"/>
          <w:szCs w:val="24"/>
        </w:rPr>
        <w:t>”</w:t>
      </w:r>
      <w:r w:rsidRPr="0014655F">
        <w:rPr>
          <w:sz w:val="24"/>
          <w:szCs w:val="24"/>
        </w:rPr>
        <w:t>), a wholly owned subsidiary of SMX Group, LLC (SMX) is a member of the Oracle Partner Network and has a 19-year record of success providing Oracle Cloud applications, program management, systems integration, custom development, business intelligence, and sustainment services to public sector, higher education, Federal Government, and commercial clients. Our 280+ expert-level resources—including former executives from Oracle as well as members of the Big Four Accounting firms—bring a collective wealth of experience with ERP, HCM, and Enterprise Planning and Budgeting solutions. Our experience with public sector customers is unsurpassed by any other Oracle Partner (with well over 250 Oracle implementations completed), providing our customers with the advantage of our exceptional level of expertise in this area. Our focus is to help customers improve processes and get the highest level of value possible from their investments in technology.</w:t>
      </w:r>
    </w:p>
    <w:p w14:paraId="68212AE9" w14:textId="77777777" w:rsidR="00E77FCF" w:rsidRPr="0014655F" w:rsidRDefault="00E77FCF" w:rsidP="0014655F">
      <w:pPr>
        <w:rPr>
          <w:sz w:val="24"/>
          <w:szCs w:val="24"/>
        </w:rPr>
      </w:pPr>
    </w:p>
    <w:p w14:paraId="4AC7B290" w14:textId="75D1CF8B" w:rsidR="0014655F" w:rsidRDefault="0014655F" w:rsidP="0014655F">
      <w:pPr>
        <w:rPr>
          <w:sz w:val="24"/>
          <w:szCs w:val="24"/>
        </w:rPr>
      </w:pPr>
      <w:r w:rsidRPr="0014655F">
        <w:rPr>
          <w:sz w:val="24"/>
          <w:szCs w:val="24"/>
        </w:rPr>
        <w:t>An industry thought leader in Oracle implementations, Creoal has been working with Oracle Cloud Applications since their inception in 2012. We have extended our knowledge and experience as the applications have grown in functionality and have performed more than 40 Cloud implementations encompassing project management, knowledge transfer, system design and build, conversion, testing, and end-user training.</w:t>
      </w:r>
    </w:p>
    <w:p w14:paraId="2B68FD80" w14:textId="77777777" w:rsidR="00E77FCF" w:rsidRPr="0014655F" w:rsidRDefault="00E77FCF" w:rsidP="0014655F">
      <w:pPr>
        <w:rPr>
          <w:sz w:val="24"/>
          <w:szCs w:val="24"/>
        </w:rPr>
      </w:pPr>
    </w:p>
    <w:p w14:paraId="6A1A263C" w14:textId="77777777" w:rsidR="0014655F" w:rsidRPr="0014655F" w:rsidRDefault="0014655F" w:rsidP="0014655F">
      <w:pPr>
        <w:rPr>
          <w:sz w:val="24"/>
          <w:szCs w:val="24"/>
        </w:rPr>
      </w:pPr>
      <w:r w:rsidRPr="0014655F">
        <w:rPr>
          <w:sz w:val="24"/>
          <w:szCs w:val="24"/>
        </w:rPr>
        <w:t>Building on our success in the Federal Government marketplace, Creoal began focusing on delivering technology solutions and services to the public sector in 2016. We help State and Local Government agencies improve efficiency and customer service while meeting issues such as shrinking budgets, intricate compliance and reporting requirements, and risk management.</w:t>
      </w:r>
    </w:p>
    <w:p w14:paraId="0839C988" w14:textId="77777777" w:rsidR="0014655F" w:rsidRPr="0014655F" w:rsidRDefault="0014655F" w:rsidP="0014655F">
      <w:pPr>
        <w:rPr>
          <w:sz w:val="24"/>
          <w:szCs w:val="24"/>
        </w:rPr>
      </w:pPr>
      <w:r w:rsidRPr="0014655F">
        <w:rPr>
          <w:sz w:val="24"/>
          <w:szCs w:val="24"/>
        </w:rPr>
        <w:t>Many public sector organizations rely on Creoal’s technical expertise as they move to the cloud. We help them modernize systems to take advantage of the latest innovations in technology and overcome the constraints of their legacy systems. Creoal provides services and support that enable state and local government agencies to streamline operations and achieve the mission of improving service to citizens.</w:t>
      </w:r>
    </w:p>
    <w:p w14:paraId="791183AF" w14:textId="77777777" w:rsidR="00E77FCF" w:rsidRDefault="00E77FCF" w:rsidP="0014655F">
      <w:pPr>
        <w:rPr>
          <w:sz w:val="24"/>
          <w:szCs w:val="24"/>
        </w:rPr>
      </w:pPr>
    </w:p>
    <w:p w14:paraId="2BF511F1" w14:textId="7B229741" w:rsidR="0014655F" w:rsidRPr="00E77FCF" w:rsidRDefault="0014655F" w:rsidP="0014655F">
      <w:pPr>
        <w:rPr>
          <w:b/>
          <w:bCs/>
          <w:sz w:val="24"/>
          <w:szCs w:val="24"/>
        </w:rPr>
      </w:pPr>
      <w:r w:rsidRPr="0014655F">
        <w:rPr>
          <w:b/>
          <w:bCs/>
          <w:sz w:val="24"/>
          <w:szCs w:val="24"/>
        </w:rPr>
        <w:t>Creoal Areas of Expertise</w:t>
      </w:r>
    </w:p>
    <w:p w14:paraId="7EDCE3F8" w14:textId="77777777" w:rsidR="00E77FCF" w:rsidRPr="0014655F" w:rsidRDefault="00E77FCF" w:rsidP="0014655F">
      <w:pPr>
        <w:rPr>
          <w:sz w:val="24"/>
          <w:szCs w:val="24"/>
        </w:rPr>
      </w:pPr>
    </w:p>
    <w:p w14:paraId="73BE127B" w14:textId="77777777" w:rsidR="0014655F" w:rsidRDefault="0014655F" w:rsidP="0014655F">
      <w:pPr>
        <w:rPr>
          <w:sz w:val="24"/>
          <w:szCs w:val="24"/>
        </w:rPr>
      </w:pPr>
      <w:r w:rsidRPr="0014655F">
        <w:rPr>
          <w:sz w:val="24"/>
          <w:szCs w:val="24"/>
        </w:rPr>
        <w:t xml:space="preserve">Creoal provides Oracle Cloud Services, systems implementations, integrations, upgrades, and consulting services that maximize Oracle ERP, EPM, HCM, and SCM system performance for federal, public sector and commercial customers. </w:t>
      </w:r>
    </w:p>
    <w:p w14:paraId="448D440E" w14:textId="77777777" w:rsidR="00E77FCF" w:rsidRPr="0014655F" w:rsidRDefault="00E77FCF" w:rsidP="0014655F">
      <w:pPr>
        <w:rPr>
          <w:sz w:val="24"/>
          <w:szCs w:val="24"/>
        </w:rPr>
      </w:pPr>
    </w:p>
    <w:tbl>
      <w:tblPr>
        <w:tblStyle w:val="TableGrid"/>
        <w:tblW w:w="0" w:type="auto"/>
        <w:tblLook w:val="04A0" w:firstRow="1" w:lastRow="0" w:firstColumn="1" w:lastColumn="0" w:noHBand="0" w:noVBand="1"/>
      </w:tblPr>
      <w:tblGrid>
        <w:gridCol w:w="4675"/>
        <w:gridCol w:w="4675"/>
      </w:tblGrid>
      <w:tr w:rsidR="0014655F" w:rsidRPr="0014655F" w14:paraId="3F8210F7" w14:textId="77777777" w:rsidTr="00DC1DBA">
        <w:tc>
          <w:tcPr>
            <w:tcW w:w="4675" w:type="dxa"/>
          </w:tcPr>
          <w:p w14:paraId="5DD7E0E8" w14:textId="77777777" w:rsidR="0014655F" w:rsidRPr="0014655F" w:rsidRDefault="0014655F" w:rsidP="0014655F">
            <w:pPr>
              <w:widowControl w:val="0"/>
              <w:autoSpaceDE w:val="0"/>
              <w:autoSpaceDN w:val="0"/>
              <w:rPr>
                <w:b/>
                <w:bCs/>
                <w:sz w:val="24"/>
                <w:szCs w:val="24"/>
              </w:rPr>
            </w:pPr>
            <w:r w:rsidRPr="0014655F">
              <w:rPr>
                <w:b/>
                <w:bCs/>
                <w:sz w:val="24"/>
                <w:szCs w:val="24"/>
              </w:rPr>
              <w:t>Enterprise Resource Planning</w:t>
            </w:r>
          </w:p>
        </w:tc>
        <w:tc>
          <w:tcPr>
            <w:tcW w:w="4675" w:type="dxa"/>
          </w:tcPr>
          <w:p w14:paraId="3DDC1799" w14:textId="77777777" w:rsidR="0014655F" w:rsidRPr="0014655F" w:rsidRDefault="0014655F" w:rsidP="0014655F">
            <w:pPr>
              <w:widowControl w:val="0"/>
              <w:autoSpaceDE w:val="0"/>
              <w:autoSpaceDN w:val="0"/>
              <w:rPr>
                <w:sz w:val="24"/>
                <w:szCs w:val="24"/>
              </w:rPr>
            </w:pPr>
            <w:r w:rsidRPr="0014655F">
              <w:rPr>
                <w:sz w:val="24"/>
                <w:szCs w:val="24"/>
              </w:rPr>
              <w:t>Creoal’s Oracle ERP services automate and simplify business-critical activities. Creoal’s support goes beyond implementation to include business process analysis, upgrades, and operations and maintenance—making us a one-stop shop for the entire range of ERP needs.</w:t>
            </w:r>
          </w:p>
        </w:tc>
      </w:tr>
      <w:tr w:rsidR="0014655F" w:rsidRPr="0014655F" w14:paraId="2D2B4877" w14:textId="77777777" w:rsidTr="00DC1DBA">
        <w:trPr>
          <w:trHeight w:val="1286"/>
        </w:trPr>
        <w:tc>
          <w:tcPr>
            <w:tcW w:w="4675" w:type="dxa"/>
          </w:tcPr>
          <w:p w14:paraId="7BD19909" w14:textId="77777777" w:rsidR="0014655F" w:rsidRPr="0014655F" w:rsidRDefault="0014655F" w:rsidP="0014655F">
            <w:pPr>
              <w:widowControl w:val="0"/>
              <w:autoSpaceDE w:val="0"/>
              <w:autoSpaceDN w:val="0"/>
              <w:rPr>
                <w:b/>
                <w:bCs/>
                <w:sz w:val="24"/>
                <w:szCs w:val="24"/>
              </w:rPr>
            </w:pPr>
            <w:r w:rsidRPr="0014655F">
              <w:rPr>
                <w:b/>
                <w:bCs/>
                <w:sz w:val="24"/>
                <w:szCs w:val="24"/>
              </w:rPr>
              <w:lastRenderedPageBreak/>
              <w:t>Enterprise Performance Management</w:t>
            </w:r>
          </w:p>
        </w:tc>
        <w:tc>
          <w:tcPr>
            <w:tcW w:w="4675" w:type="dxa"/>
          </w:tcPr>
          <w:p w14:paraId="32E8EF26" w14:textId="77777777" w:rsidR="0014655F" w:rsidRPr="0014655F" w:rsidRDefault="0014655F" w:rsidP="0014655F">
            <w:pPr>
              <w:widowControl w:val="0"/>
              <w:autoSpaceDE w:val="0"/>
              <w:autoSpaceDN w:val="0"/>
              <w:rPr>
                <w:sz w:val="24"/>
                <w:szCs w:val="24"/>
              </w:rPr>
            </w:pPr>
            <w:r w:rsidRPr="0014655F">
              <w:rPr>
                <w:sz w:val="24"/>
                <w:szCs w:val="24"/>
              </w:rPr>
              <w:t>Our EPM services deliver actionable business information that enables our clients to enhance efficiency and streamline business processes.</w:t>
            </w:r>
          </w:p>
        </w:tc>
      </w:tr>
      <w:tr w:rsidR="0014655F" w:rsidRPr="0014655F" w14:paraId="07B940E2" w14:textId="77777777" w:rsidTr="00DC1DBA">
        <w:tc>
          <w:tcPr>
            <w:tcW w:w="4675" w:type="dxa"/>
          </w:tcPr>
          <w:p w14:paraId="7087D7E4" w14:textId="77777777" w:rsidR="0014655F" w:rsidRPr="0014655F" w:rsidRDefault="0014655F" w:rsidP="0014655F">
            <w:pPr>
              <w:widowControl w:val="0"/>
              <w:autoSpaceDE w:val="0"/>
              <w:autoSpaceDN w:val="0"/>
              <w:rPr>
                <w:b/>
                <w:bCs/>
                <w:sz w:val="24"/>
                <w:szCs w:val="24"/>
              </w:rPr>
            </w:pPr>
            <w:r w:rsidRPr="0014655F">
              <w:rPr>
                <w:b/>
                <w:bCs/>
                <w:sz w:val="24"/>
                <w:szCs w:val="24"/>
              </w:rPr>
              <w:t>Human Resources and Payroll Management</w:t>
            </w:r>
          </w:p>
        </w:tc>
        <w:tc>
          <w:tcPr>
            <w:tcW w:w="4675" w:type="dxa"/>
          </w:tcPr>
          <w:p w14:paraId="26723DCA" w14:textId="77777777" w:rsidR="0014655F" w:rsidRPr="0014655F" w:rsidRDefault="0014655F" w:rsidP="0014655F">
            <w:pPr>
              <w:widowControl w:val="0"/>
              <w:autoSpaceDE w:val="0"/>
              <w:autoSpaceDN w:val="0"/>
              <w:rPr>
                <w:sz w:val="24"/>
                <w:szCs w:val="24"/>
              </w:rPr>
            </w:pPr>
            <w:r w:rsidRPr="0014655F">
              <w:rPr>
                <w:sz w:val="24"/>
                <w:szCs w:val="24"/>
              </w:rPr>
              <w:t>Our HCM services maximize the value of the workforce by automating HR processes from hire to retire. Creoal also supports payroll processing, including ensuring compliance with tax reporting and regulatory rules. Learn More</w:t>
            </w:r>
          </w:p>
        </w:tc>
      </w:tr>
      <w:tr w:rsidR="0014655F" w:rsidRPr="0014655F" w14:paraId="2CFC78D8" w14:textId="77777777" w:rsidTr="00DC1DBA">
        <w:tc>
          <w:tcPr>
            <w:tcW w:w="4675" w:type="dxa"/>
          </w:tcPr>
          <w:p w14:paraId="68FAD10D" w14:textId="77777777" w:rsidR="0014655F" w:rsidRPr="0014655F" w:rsidRDefault="0014655F" w:rsidP="0014655F">
            <w:pPr>
              <w:widowControl w:val="0"/>
              <w:autoSpaceDE w:val="0"/>
              <w:autoSpaceDN w:val="0"/>
              <w:rPr>
                <w:b/>
                <w:bCs/>
                <w:sz w:val="24"/>
                <w:szCs w:val="24"/>
              </w:rPr>
            </w:pPr>
            <w:r w:rsidRPr="0014655F">
              <w:rPr>
                <w:b/>
                <w:bCs/>
                <w:sz w:val="24"/>
                <w:szCs w:val="24"/>
              </w:rPr>
              <w:t>Manufacturing and Supply Chain Management</w:t>
            </w:r>
          </w:p>
        </w:tc>
        <w:tc>
          <w:tcPr>
            <w:tcW w:w="4675" w:type="dxa"/>
          </w:tcPr>
          <w:p w14:paraId="7932CD57" w14:textId="77777777" w:rsidR="0014655F" w:rsidRPr="0014655F" w:rsidRDefault="0014655F" w:rsidP="0014655F">
            <w:pPr>
              <w:widowControl w:val="0"/>
              <w:autoSpaceDE w:val="0"/>
              <w:autoSpaceDN w:val="0"/>
              <w:rPr>
                <w:sz w:val="24"/>
                <w:szCs w:val="24"/>
              </w:rPr>
            </w:pPr>
            <w:r w:rsidRPr="0014655F">
              <w:rPr>
                <w:sz w:val="24"/>
                <w:szCs w:val="24"/>
              </w:rPr>
              <w:t>Creoal’s SCM services automate and integrate business processes, providing end-to-end visibility for effective procurement, manufacturing, inventory, and logistics management. Learn More</w:t>
            </w:r>
          </w:p>
        </w:tc>
      </w:tr>
    </w:tbl>
    <w:p w14:paraId="6CB4C238" w14:textId="77777777" w:rsidR="0014655F" w:rsidRPr="0014655F" w:rsidRDefault="0014655F" w:rsidP="0014655F">
      <w:pPr>
        <w:rPr>
          <w:sz w:val="24"/>
          <w:szCs w:val="24"/>
        </w:rPr>
      </w:pPr>
    </w:p>
    <w:p w14:paraId="6D8BD0AF" w14:textId="77777777" w:rsidR="0014655F" w:rsidRPr="0014655F" w:rsidRDefault="0014655F" w:rsidP="0014655F">
      <w:pPr>
        <w:rPr>
          <w:b/>
          <w:bCs/>
          <w:sz w:val="24"/>
          <w:szCs w:val="24"/>
        </w:rPr>
      </w:pPr>
      <w:r w:rsidRPr="0014655F">
        <w:rPr>
          <w:b/>
          <w:bCs/>
          <w:sz w:val="24"/>
          <w:szCs w:val="24"/>
        </w:rPr>
        <w:t>Creoal Service Offerings</w:t>
      </w:r>
    </w:p>
    <w:p w14:paraId="53B4B891" w14:textId="77777777" w:rsidR="00E77FCF" w:rsidRDefault="00E77FCF" w:rsidP="0014655F">
      <w:pPr>
        <w:rPr>
          <w:b/>
          <w:bCs/>
          <w:sz w:val="24"/>
          <w:szCs w:val="24"/>
        </w:rPr>
      </w:pPr>
    </w:p>
    <w:p w14:paraId="27D1AA9C" w14:textId="0D14029B" w:rsidR="0014655F" w:rsidRDefault="0014655F" w:rsidP="0014655F">
      <w:pPr>
        <w:rPr>
          <w:sz w:val="24"/>
          <w:szCs w:val="24"/>
        </w:rPr>
      </w:pPr>
      <w:r w:rsidRPr="0014655F">
        <w:rPr>
          <w:b/>
          <w:bCs/>
          <w:sz w:val="24"/>
          <w:szCs w:val="24"/>
        </w:rPr>
        <w:t xml:space="preserve">Oracle Cloud Application Implementations – </w:t>
      </w:r>
      <w:r w:rsidRPr="0014655F">
        <w:rPr>
          <w:sz w:val="24"/>
          <w:szCs w:val="24"/>
        </w:rPr>
        <w:t>Creoal provides a dedicated certified team to provide best practice implementations and guidance for net new adoption, co-existence, or migration from existing systems.</w:t>
      </w:r>
    </w:p>
    <w:p w14:paraId="081F5634" w14:textId="77777777" w:rsidR="00E77FCF" w:rsidRPr="0014655F" w:rsidRDefault="00E77FCF" w:rsidP="0014655F">
      <w:pPr>
        <w:rPr>
          <w:sz w:val="24"/>
          <w:szCs w:val="24"/>
        </w:rPr>
      </w:pPr>
    </w:p>
    <w:p w14:paraId="318ADED7" w14:textId="77777777" w:rsidR="0014655F" w:rsidRDefault="0014655F" w:rsidP="0014655F">
      <w:pPr>
        <w:rPr>
          <w:sz w:val="24"/>
          <w:szCs w:val="24"/>
        </w:rPr>
      </w:pPr>
      <w:r w:rsidRPr="0014655F">
        <w:rPr>
          <w:b/>
          <w:bCs/>
          <w:sz w:val="24"/>
          <w:szCs w:val="24"/>
        </w:rPr>
        <w:t xml:space="preserve">Oracle Cloud Application Support – </w:t>
      </w:r>
      <w:r w:rsidRPr="0014655F">
        <w:rPr>
          <w:sz w:val="24"/>
          <w:szCs w:val="24"/>
        </w:rPr>
        <w:t>Creoal delivers an expansive array of managed services and support options for customers to help lower costs, optimize performance, and enable staff to focus on key business objectives and innovation. Our service models span the entire Oracle stack, including hardware, operating systems, database, middleware, and applications. We deliver end-to-end managed services and 24x7x365 support from our United States and India-based offices, along with onsite, onshore, and offshore resources to meet every level of demand.</w:t>
      </w:r>
    </w:p>
    <w:p w14:paraId="28AF9B74" w14:textId="77777777" w:rsidR="00E77FCF" w:rsidRPr="0014655F" w:rsidRDefault="00E77FCF" w:rsidP="0014655F">
      <w:pPr>
        <w:rPr>
          <w:sz w:val="24"/>
          <w:szCs w:val="24"/>
        </w:rPr>
      </w:pPr>
    </w:p>
    <w:p w14:paraId="3793B27A" w14:textId="73EB7120" w:rsidR="0014655F" w:rsidRDefault="0014655F" w:rsidP="0014655F">
      <w:pPr>
        <w:rPr>
          <w:sz w:val="24"/>
          <w:szCs w:val="24"/>
        </w:rPr>
      </w:pPr>
      <w:r w:rsidRPr="0014655F">
        <w:rPr>
          <w:b/>
          <w:bCs/>
          <w:sz w:val="24"/>
          <w:szCs w:val="24"/>
        </w:rPr>
        <w:t xml:space="preserve">Program Management – </w:t>
      </w:r>
      <w:r w:rsidRPr="0014655F">
        <w:rPr>
          <w:sz w:val="24"/>
          <w:szCs w:val="24"/>
        </w:rPr>
        <w:t>Creoal provides</w:t>
      </w:r>
      <w:r w:rsidRPr="0014655F">
        <w:rPr>
          <w:b/>
          <w:bCs/>
          <w:sz w:val="24"/>
          <w:szCs w:val="24"/>
        </w:rPr>
        <w:t xml:space="preserve"> </w:t>
      </w:r>
      <w:r w:rsidRPr="0014655F">
        <w:rPr>
          <w:sz w:val="24"/>
          <w:szCs w:val="24"/>
        </w:rPr>
        <w:t>strategic oversight function responsible for the consistent delivery of large-scale initiatives</w:t>
      </w:r>
      <w:r w:rsidR="00E77FCF">
        <w:rPr>
          <w:sz w:val="24"/>
          <w:szCs w:val="24"/>
        </w:rPr>
        <w:t>.</w:t>
      </w:r>
    </w:p>
    <w:p w14:paraId="3AC046BF" w14:textId="77777777" w:rsidR="00E77FCF" w:rsidRPr="0014655F" w:rsidRDefault="00E77FCF" w:rsidP="0014655F">
      <w:pPr>
        <w:rPr>
          <w:sz w:val="24"/>
          <w:szCs w:val="24"/>
        </w:rPr>
      </w:pPr>
    </w:p>
    <w:p w14:paraId="3832BA07" w14:textId="77777777" w:rsidR="0014655F" w:rsidRDefault="0014655F" w:rsidP="0014655F">
      <w:pPr>
        <w:rPr>
          <w:sz w:val="24"/>
          <w:szCs w:val="24"/>
        </w:rPr>
      </w:pPr>
      <w:r w:rsidRPr="0014655F">
        <w:rPr>
          <w:b/>
          <w:bCs/>
          <w:sz w:val="24"/>
          <w:szCs w:val="24"/>
        </w:rPr>
        <w:t xml:space="preserve">Systems Integrations – </w:t>
      </w:r>
      <w:r w:rsidRPr="0014655F">
        <w:rPr>
          <w:sz w:val="24"/>
          <w:szCs w:val="24"/>
        </w:rPr>
        <w:t>Offering cloud-based services that enable businesses to connect their applications and data sources, automate end-to-end processes, and centralize management CEMLI</w:t>
      </w:r>
      <w:r w:rsidRPr="0014655F">
        <w:rPr>
          <w:b/>
          <w:bCs/>
          <w:sz w:val="24"/>
          <w:szCs w:val="24"/>
        </w:rPr>
        <w:t xml:space="preserve"> </w:t>
      </w:r>
      <w:r w:rsidRPr="0014655F">
        <w:rPr>
          <w:sz w:val="24"/>
          <w:szCs w:val="24"/>
        </w:rPr>
        <w:t>stands for Configuration, Extension, Modification, Localization, and Integration. Using CEMLIs, Creoal can provide software extension framework.</w:t>
      </w:r>
    </w:p>
    <w:p w14:paraId="6CEFEE33" w14:textId="77777777" w:rsidR="00E77FCF" w:rsidRPr="0014655F" w:rsidRDefault="00E77FCF" w:rsidP="0014655F">
      <w:pPr>
        <w:rPr>
          <w:b/>
          <w:bCs/>
          <w:sz w:val="24"/>
          <w:szCs w:val="24"/>
        </w:rPr>
      </w:pPr>
    </w:p>
    <w:p w14:paraId="0D1771DE" w14:textId="77777777" w:rsidR="0014655F" w:rsidRDefault="0014655F" w:rsidP="0014655F">
      <w:pPr>
        <w:rPr>
          <w:sz w:val="24"/>
          <w:szCs w:val="24"/>
        </w:rPr>
      </w:pPr>
      <w:r w:rsidRPr="0014655F">
        <w:rPr>
          <w:b/>
          <w:bCs/>
          <w:sz w:val="24"/>
          <w:szCs w:val="24"/>
        </w:rPr>
        <w:t xml:space="preserve">Business Intelligence – </w:t>
      </w:r>
      <w:r w:rsidRPr="0014655F">
        <w:rPr>
          <w:sz w:val="24"/>
          <w:szCs w:val="24"/>
        </w:rPr>
        <w:t xml:space="preserve">With more than 15 years of experience working with Oracle </w:t>
      </w:r>
      <w:proofErr w:type="gramStart"/>
      <w:r w:rsidRPr="0014655F">
        <w:rPr>
          <w:sz w:val="24"/>
          <w:szCs w:val="24"/>
        </w:rPr>
        <w:t>Cloud,  Hyperion</w:t>
      </w:r>
      <w:proofErr w:type="gramEnd"/>
      <w:r w:rsidRPr="0014655F">
        <w:rPr>
          <w:sz w:val="24"/>
          <w:szCs w:val="24"/>
        </w:rPr>
        <w:t xml:space="preserve">, OBIEE, </w:t>
      </w:r>
      <w:proofErr w:type="spellStart"/>
      <w:r w:rsidRPr="0014655F">
        <w:rPr>
          <w:sz w:val="24"/>
          <w:szCs w:val="24"/>
        </w:rPr>
        <w:t>Exalytics</w:t>
      </w:r>
      <w:proofErr w:type="spellEnd"/>
      <w:r w:rsidRPr="0014655F">
        <w:rPr>
          <w:sz w:val="24"/>
          <w:szCs w:val="24"/>
        </w:rPr>
        <w:t>, Endeca, BI Foundation Suite, Informatica, ODI, E-Business Suite Applications, and custom data warehousing solutions, Creoal has the expertise to support and expand our clients’ BI capabilities.</w:t>
      </w:r>
    </w:p>
    <w:p w14:paraId="3ED34CC9" w14:textId="77777777" w:rsidR="00E77FCF" w:rsidRPr="0014655F" w:rsidRDefault="00E77FCF" w:rsidP="0014655F">
      <w:pPr>
        <w:rPr>
          <w:sz w:val="24"/>
          <w:szCs w:val="24"/>
        </w:rPr>
      </w:pPr>
    </w:p>
    <w:p w14:paraId="57780486" w14:textId="77777777" w:rsidR="0014655F" w:rsidRDefault="0014655F" w:rsidP="0014655F">
      <w:pPr>
        <w:rPr>
          <w:sz w:val="24"/>
          <w:szCs w:val="24"/>
        </w:rPr>
      </w:pPr>
      <w:r w:rsidRPr="0014655F">
        <w:rPr>
          <w:b/>
          <w:bCs/>
          <w:sz w:val="24"/>
          <w:szCs w:val="24"/>
        </w:rPr>
        <w:lastRenderedPageBreak/>
        <w:t xml:space="preserve">Enterprise Architecture – </w:t>
      </w:r>
      <w:r w:rsidRPr="0014655F">
        <w:rPr>
          <w:sz w:val="24"/>
          <w:szCs w:val="24"/>
        </w:rPr>
        <w:t>Current and future state architecture definitions, future state roadmap development, and overall information technology (IT) and IT strategy assessment services.</w:t>
      </w:r>
    </w:p>
    <w:p w14:paraId="6029BE46" w14:textId="77777777" w:rsidR="00E77FCF" w:rsidRPr="0014655F" w:rsidRDefault="00E77FCF" w:rsidP="0014655F">
      <w:pPr>
        <w:rPr>
          <w:sz w:val="24"/>
          <w:szCs w:val="24"/>
        </w:rPr>
      </w:pPr>
    </w:p>
    <w:p w14:paraId="32526F55" w14:textId="3C757DB7" w:rsidR="0014655F" w:rsidRDefault="0014655F" w:rsidP="0014655F">
      <w:pPr>
        <w:rPr>
          <w:sz w:val="24"/>
          <w:szCs w:val="24"/>
        </w:rPr>
      </w:pPr>
      <w:r w:rsidRPr="0014655F">
        <w:rPr>
          <w:b/>
          <w:bCs/>
          <w:sz w:val="24"/>
          <w:szCs w:val="24"/>
        </w:rPr>
        <w:t xml:space="preserve">Digital Roadmap and Approach – </w:t>
      </w:r>
      <w:r w:rsidRPr="0014655F">
        <w:rPr>
          <w:sz w:val="24"/>
          <w:szCs w:val="24"/>
        </w:rPr>
        <w:t>Prepare the organization for the modernization journey; define business process and capabilities as well as desired results; define target digital transformation roadmap and approach</w:t>
      </w:r>
      <w:r w:rsidR="00E77FCF">
        <w:rPr>
          <w:sz w:val="24"/>
          <w:szCs w:val="24"/>
        </w:rPr>
        <w:t>.</w:t>
      </w:r>
    </w:p>
    <w:p w14:paraId="686AD3B4" w14:textId="77777777" w:rsidR="00E77FCF" w:rsidRPr="0014655F" w:rsidRDefault="00E77FCF" w:rsidP="0014655F">
      <w:pPr>
        <w:rPr>
          <w:sz w:val="24"/>
          <w:szCs w:val="24"/>
        </w:rPr>
      </w:pPr>
    </w:p>
    <w:p w14:paraId="1F85E3E0" w14:textId="77777777" w:rsidR="0014655F" w:rsidRDefault="0014655F" w:rsidP="0014655F">
      <w:pPr>
        <w:rPr>
          <w:sz w:val="24"/>
          <w:szCs w:val="24"/>
        </w:rPr>
      </w:pPr>
      <w:r w:rsidRPr="0014655F">
        <w:rPr>
          <w:b/>
          <w:bCs/>
          <w:sz w:val="24"/>
          <w:szCs w:val="24"/>
        </w:rPr>
        <w:t xml:space="preserve">Define Digital Solutions – </w:t>
      </w:r>
      <w:r w:rsidRPr="0014655F">
        <w:rPr>
          <w:sz w:val="24"/>
          <w:szCs w:val="24"/>
        </w:rPr>
        <w:t>Creoal conducts due diligence for solution selection based on capabilities, fit/gap analysis, and desired target end state; and finalized plan.</w:t>
      </w:r>
    </w:p>
    <w:p w14:paraId="2DD894CF" w14:textId="77777777" w:rsidR="00E77FCF" w:rsidRPr="0014655F" w:rsidRDefault="00E77FCF" w:rsidP="0014655F">
      <w:pPr>
        <w:rPr>
          <w:sz w:val="24"/>
          <w:szCs w:val="24"/>
        </w:rPr>
      </w:pPr>
    </w:p>
    <w:p w14:paraId="6E83D39A" w14:textId="77777777" w:rsidR="0014655F" w:rsidRDefault="0014655F" w:rsidP="0014655F">
      <w:pPr>
        <w:rPr>
          <w:sz w:val="24"/>
          <w:szCs w:val="24"/>
        </w:rPr>
      </w:pPr>
      <w:r w:rsidRPr="0014655F">
        <w:rPr>
          <w:b/>
          <w:bCs/>
          <w:sz w:val="24"/>
          <w:szCs w:val="24"/>
        </w:rPr>
        <w:t>Agile Development –</w:t>
      </w:r>
      <w:r w:rsidRPr="0014655F">
        <w:rPr>
          <w:sz w:val="24"/>
          <w:szCs w:val="24"/>
        </w:rPr>
        <w:t xml:space="preserve"> Complex software engineering can be wide in scope, often yielding incomplete results while exceeding budgets and timelines. Embracing Agile methodologies for software engineering helps clients realize value and achieve success regardless of a program’s size and complexity. Creoal’s focus on User Experience Design ensures that agencies can effectively deliver information, resources, and services both internally and externally. Creoal helps customers deliver and share information for more rapid decision-making, improving how users receive services.</w:t>
      </w:r>
    </w:p>
    <w:p w14:paraId="4C74334C" w14:textId="77777777" w:rsidR="00E77FCF" w:rsidRPr="0014655F" w:rsidRDefault="00E77FCF" w:rsidP="0014655F">
      <w:pPr>
        <w:rPr>
          <w:sz w:val="24"/>
          <w:szCs w:val="24"/>
        </w:rPr>
      </w:pPr>
    </w:p>
    <w:p w14:paraId="5259A2DF" w14:textId="77777777" w:rsidR="0014655F" w:rsidRDefault="0014655F" w:rsidP="0014655F">
      <w:pPr>
        <w:rPr>
          <w:sz w:val="24"/>
          <w:szCs w:val="24"/>
        </w:rPr>
      </w:pPr>
      <w:r w:rsidRPr="0014655F">
        <w:rPr>
          <w:b/>
          <w:bCs/>
          <w:sz w:val="24"/>
          <w:szCs w:val="24"/>
        </w:rPr>
        <w:t>Sustainment –</w:t>
      </w:r>
      <w:r w:rsidRPr="0014655F">
        <w:rPr>
          <w:sz w:val="24"/>
          <w:szCs w:val="24"/>
        </w:rPr>
        <w:t xml:space="preserve"> Creoal makes continuous improvements while managing, monitoring, and supporting steady-state operations.</w:t>
      </w:r>
    </w:p>
    <w:p w14:paraId="6A8C998F" w14:textId="77777777" w:rsidR="00E77FCF" w:rsidRPr="0014655F" w:rsidRDefault="00E77FCF" w:rsidP="0014655F">
      <w:pPr>
        <w:rPr>
          <w:sz w:val="24"/>
          <w:szCs w:val="24"/>
        </w:rPr>
      </w:pPr>
    </w:p>
    <w:p w14:paraId="53CA1C74" w14:textId="77777777" w:rsidR="0014655F" w:rsidRDefault="0014655F" w:rsidP="0014655F">
      <w:pPr>
        <w:rPr>
          <w:sz w:val="24"/>
          <w:szCs w:val="24"/>
        </w:rPr>
      </w:pPr>
      <w:r w:rsidRPr="0014655F">
        <w:rPr>
          <w:b/>
          <w:bCs/>
          <w:sz w:val="24"/>
          <w:szCs w:val="24"/>
        </w:rPr>
        <w:t xml:space="preserve">Assessments and Implementation Assurance – </w:t>
      </w:r>
      <w:r w:rsidRPr="0014655F">
        <w:rPr>
          <w:sz w:val="24"/>
          <w:szCs w:val="24"/>
        </w:rPr>
        <w:t>Creoal Implementation Experts review in-process implementation to identify issues before they become major problems. Review planned and completed system configurations; Validate key decisions: Chart of Accounts, Inventory orgs, Intercompany; Determine whether internal controls are properly defined &amp; configured; Evaluate project team fitness to execute tasks at hand; Validate operational, regulatory and financial reporting requirements.</w:t>
      </w:r>
    </w:p>
    <w:p w14:paraId="2C030637" w14:textId="77777777" w:rsidR="00E77FCF" w:rsidRPr="0014655F" w:rsidRDefault="00E77FCF" w:rsidP="0014655F">
      <w:pPr>
        <w:rPr>
          <w:sz w:val="24"/>
          <w:szCs w:val="24"/>
        </w:rPr>
      </w:pPr>
    </w:p>
    <w:p w14:paraId="0BB26702" w14:textId="76B53221" w:rsidR="0014655F" w:rsidRDefault="0014655F" w:rsidP="0014655F">
      <w:pPr>
        <w:rPr>
          <w:sz w:val="24"/>
          <w:szCs w:val="24"/>
        </w:rPr>
      </w:pPr>
      <w:r w:rsidRPr="00782CA6">
        <w:rPr>
          <w:b/>
          <w:bCs/>
          <w:sz w:val="28"/>
          <w:szCs w:val="28"/>
        </w:rPr>
        <w:t>Creoal Pricing Structure</w:t>
      </w:r>
      <w:r w:rsidR="00E77FCF">
        <w:rPr>
          <w:sz w:val="24"/>
          <w:szCs w:val="24"/>
        </w:rPr>
        <w:t>:</w:t>
      </w:r>
      <w:r w:rsidR="00782CA6">
        <w:rPr>
          <w:sz w:val="24"/>
          <w:szCs w:val="24"/>
        </w:rPr>
        <w:t xml:space="preserve"> Products and Services</w:t>
      </w:r>
    </w:p>
    <w:p w14:paraId="2E454F9D" w14:textId="77777777" w:rsidR="00132A83" w:rsidRDefault="00132A83">
      <w:pPr>
        <w:rPr>
          <w:sz w:val="24"/>
          <w:szCs w:val="24"/>
        </w:rPr>
      </w:pPr>
    </w:p>
    <w:p w14:paraId="423C59C8" w14:textId="77777777" w:rsidR="00132A83" w:rsidRPr="00782CA6" w:rsidRDefault="00132A83" w:rsidP="00132A83">
      <w:pPr>
        <w:jc w:val="both"/>
        <w:rPr>
          <w:rFonts w:eastAsiaTheme="minorHAnsi"/>
          <w:sz w:val="24"/>
          <w:szCs w:val="24"/>
        </w:rPr>
      </w:pPr>
      <w:r w:rsidRPr="00782CA6">
        <w:rPr>
          <w:sz w:val="24"/>
          <w:szCs w:val="24"/>
        </w:rPr>
        <w:t xml:space="preserve">Creoal’s offerings for Oracle SaaS, PaaS, and IaaS Products include a 30% discount on Oracle then current Manufacturer’s Suggested Retail Price, subject to the terms and conditions of our partner agreement including but not limited to any flow up and/or end user requirements. More product specific information can be found at </w:t>
      </w:r>
      <w:hyperlink r:id="rId24" w:history="1">
        <w:r w:rsidRPr="00782CA6">
          <w:rPr>
            <w:rStyle w:val="Hyperlink"/>
            <w:sz w:val="24"/>
            <w:szCs w:val="24"/>
          </w:rPr>
          <w:t>http://www.oracle.com/corporate/pricing/naspo-cloud-solutions.html</w:t>
        </w:r>
      </w:hyperlink>
      <w:r w:rsidRPr="00782CA6">
        <w:rPr>
          <w:sz w:val="24"/>
          <w:szCs w:val="24"/>
        </w:rPr>
        <w:t xml:space="preserve"> </w:t>
      </w:r>
    </w:p>
    <w:p w14:paraId="204D142B" w14:textId="77777777" w:rsidR="00132A83" w:rsidRDefault="00132A83" w:rsidP="00132A83">
      <w:pPr>
        <w:rPr>
          <w14:ligatures w14:val="standardContextual"/>
        </w:rPr>
      </w:pPr>
    </w:p>
    <w:p w14:paraId="091470E7" w14:textId="6FA4EECA" w:rsidR="00E77FCF" w:rsidRPr="00517684" w:rsidRDefault="00264A2F">
      <w:pPr>
        <w:rPr>
          <w:sz w:val="24"/>
          <w:szCs w:val="24"/>
        </w:rPr>
      </w:pPr>
      <w:r w:rsidRPr="00517684">
        <w:rPr>
          <w:sz w:val="24"/>
          <w:szCs w:val="24"/>
        </w:rPr>
        <w:t xml:space="preserve">Oracle Cloud Application Support </w:t>
      </w:r>
      <w:r w:rsidR="00517684" w:rsidRPr="00517684">
        <w:rPr>
          <w:sz w:val="24"/>
          <w:szCs w:val="24"/>
        </w:rPr>
        <w:t>(Customer Service Desk) pricing is provided at time of the quote request.</w:t>
      </w:r>
      <w:r w:rsidR="00E77FCF" w:rsidRPr="00517684">
        <w:rPr>
          <w:sz w:val="24"/>
          <w:szCs w:val="24"/>
        </w:rPr>
        <w:br w:type="page"/>
      </w:r>
    </w:p>
    <w:p w14:paraId="48451A6A" w14:textId="77777777" w:rsidR="00E77FCF" w:rsidRPr="0014655F" w:rsidRDefault="00E77FCF" w:rsidP="00E77FCF">
      <w:pPr>
        <w:jc w:val="center"/>
        <w:rPr>
          <w:b/>
          <w:bCs/>
          <w:sz w:val="28"/>
          <w:szCs w:val="28"/>
        </w:rPr>
      </w:pPr>
    </w:p>
    <w:p w14:paraId="56267B89" w14:textId="5826CB5D" w:rsidR="0014655F" w:rsidRPr="0014655F" w:rsidRDefault="0014655F" w:rsidP="00E77FCF">
      <w:pPr>
        <w:jc w:val="center"/>
        <w:rPr>
          <w:sz w:val="24"/>
          <w:szCs w:val="24"/>
        </w:rPr>
      </w:pPr>
      <w:r w:rsidRPr="0014655F">
        <w:rPr>
          <w:b/>
          <w:bCs/>
          <w:sz w:val="28"/>
          <w:szCs w:val="28"/>
        </w:rPr>
        <w:t>Creoal Consulting Services Pricing Structure for Oracle Applications – Commercial/ SLED</w:t>
      </w:r>
    </w:p>
    <w:p w14:paraId="74D98741" w14:textId="77777777" w:rsidR="0014655F" w:rsidRPr="0014655F" w:rsidRDefault="0014655F" w:rsidP="0014655F">
      <w:pPr>
        <w:rPr>
          <w:sz w:val="24"/>
          <w:szCs w:val="24"/>
        </w:rPr>
      </w:pPr>
    </w:p>
    <w:tbl>
      <w:tblPr>
        <w:tblStyle w:val="GridTable4-Accent1"/>
        <w:tblpPr w:leftFromText="180" w:rightFromText="180" w:vertAnchor="text" w:tblpY="1"/>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85"/>
        <w:gridCol w:w="1890"/>
      </w:tblGrid>
      <w:tr w:rsidR="00234647" w:rsidRPr="0014655F" w14:paraId="704B2697" w14:textId="77777777" w:rsidTr="00234647">
        <w:trPr>
          <w:cnfStyle w:val="100000000000" w:firstRow="1" w:lastRow="0" w:firstColumn="0" w:lastColumn="0" w:oddVBand="0" w:evenVBand="0" w:oddHBand="0" w:evenHBand="0" w:firstRowFirstColumn="0" w:firstRowLastColumn="0" w:lastRowFirstColumn="0" w:lastRowLastColumn="0"/>
          <w:trHeight w:val="264"/>
          <w:tblHeader/>
        </w:trPr>
        <w:tc>
          <w:tcPr>
            <w:tcW w:w="4585" w:type="dxa"/>
            <w:noWrap/>
            <w:hideMark/>
          </w:tcPr>
          <w:p w14:paraId="1D5E1F5F" w14:textId="77777777" w:rsidR="00234647" w:rsidRPr="00A05CF0" w:rsidRDefault="00234647" w:rsidP="0014655F">
            <w:pPr>
              <w:rPr>
                <w:sz w:val="24"/>
                <w:szCs w:val="24"/>
              </w:rPr>
            </w:pPr>
            <w:r w:rsidRPr="00A05CF0">
              <w:rPr>
                <w:sz w:val="24"/>
                <w:szCs w:val="24"/>
              </w:rPr>
              <w:t>Resource</w:t>
            </w:r>
          </w:p>
        </w:tc>
        <w:tc>
          <w:tcPr>
            <w:tcW w:w="1890" w:type="dxa"/>
          </w:tcPr>
          <w:p w14:paraId="23863FD2" w14:textId="372B3B68" w:rsidR="00234647" w:rsidRPr="00A05CF0" w:rsidRDefault="00234647" w:rsidP="0014655F">
            <w:pPr>
              <w:rPr>
                <w:sz w:val="24"/>
                <w:szCs w:val="24"/>
              </w:rPr>
            </w:pPr>
            <w:r w:rsidRPr="00A05CF0">
              <w:rPr>
                <w:sz w:val="24"/>
                <w:szCs w:val="24"/>
              </w:rPr>
              <w:t>Rate</w:t>
            </w:r>
          </w:p>
        </w:tc>
      </w:tr>
      <w:tr w:rsidR="00B87922" w:rsidRPr="0014655F" w14:paraId="56D7C00E" w14:textId="77777777" w:rsidTr="00B87922">
        <w:trPr>
          <w:cnfStyle w:val="000000100000" w:firstRow="0" w:lastRow="0" w:firstColumn="0" w:lastColumn="0" w:oddVBand="0" w:evenVBand="0" w:oddHBand="1" w:evenHBand="0" w:firstRowFirstColumn="0" w:firstRowLastColumn="0" w:lastRowFirstColumn="0" w:lastRowLastColumn="0"/>
          <w:trHeight w:val="288"/>
        </w:trPr>
        <w:tc>
          <w:tcPr>
            <w:tcW w:w="4585" w:type="dxa"/>
            <w:shd w:val="clear" w:color="auto" w:fill="FFFFFF" w:themeFill="background1"/>
            <w:noWrap/>
            <w:vAlign w:val="bottom"/>
          </w:tcPr>
          <w:p w14:paraId="0E145DC1" w14:textId="1092CA9E" w:rsidR="00B87922" w:rsidRPr="00A05CF0" w:rsidRDefault="00B87922" w:rsidP="00B87922">
            <w:pPr>
              <w:rPr>
                <w:sz w:val="24"/>
                <w:szCs w:val="24"/>
              </w:rPr>
            </w:pPr>
            <w:r w:rsidRPr="00A05CF0">
              <w:rPr>
                <w:color w:val="000000"/>
                <w:sz w:val="24"/>
                <w:szCs w:val="24"/>
              </w:rPr>
              <w:t>Fusion Architect</w:t>
            </w:r>
          </w:p>
        </w:tc>
        <w:tc>
          <w:tcPr>
            <w:tcW w:w="1890" w:type="dxa"/>
            <w:shd w:val="clear" w:color="auto" w:fill="FFFFFF" w:themeFill="background1"/>
            <w:vAlign w:val="bottom"/>
          </w:tcPr>
          <w:p w14:paraId="1F8545E9" w14:textId="6A73CDF6" w:rsidR="00B87922" w:rsidRPr="00A05CF0" w:rsidRDefault="00B87922" w:rsidP="00B87922">
            <w:pPr>
              <w:rPr>
                <w:sz w:val="24"/>
                <w:szCs w:val="24"/>
              </w:rPr>
            </w:pPr>
            <w:r w:rsidRPr="00A05CF0">
              <w:rPr>
                <w:color w:val="000000"/>
                <w:sz w:val="24"/>
                <w:szCs w:val="24"/>
              </w:rPr>
              <w:t>$310.00</w:t>
            </w:r>
          </w:p>
        </w:tc>
      </w:tr>
      <w:tr w:rsidR="00B87922" w:rsidRPr="0014655F" w14:paraId="033DE167" w14:textId="77777777" w:rsidTr="00B87922">
        <w:trPr>
          <w:trHeight w:val="288"/>
        </w:trPr>
        <w:tc>
          <w:tcPr>
            <w:tcW w:w="4585" w:type="dxa"/>
            <w:shd w:val="clear" w:color="auto" w:fill="FFFFFF" w:themeFill="background1"/>
            <w:noWrap/>
            <w:vAlign w:val="bottom"/>
            <w:hideMark/>
          </w:tcPr>
          <w:p w14:paraId="2DEFACB5" w14:textId="77B149E7" w:rsidR="00B87922" w:rsidRPr="00A05CF0" w:rsidRDefault="00B87922" w:rsidP="00B87922">
            <w:pPr>
              <w:rPr>
                <w:sz w:val="24"/>
                <w:szCs w:val="24"/>
              </w:rPr>
            </w:pPr>
            <w:r w:rsidRPr="00A05CF0">
              <w:rPr>
                <w:color w:val="000000"/>
                <w:sz w:val="24"/>
                <w:szCs w:val="24"/>
              </w:rPr>
              <w:t>Fusion Project Manager</w:t>
            </w:r>
          </w:p>
        </w:tc>
        <w:tc>
          <w:tcPr>
            <w:tcW w:w="1890" w:type="dxa"/>
            <w:shd w:val="clear" w:color="auto" w:fill="FFFFFF" w:themeFill="background1"/>
            <w:vAlign w:val="bottom"/>
          </w:tcPr>
          <w:p w14:paraId="3D1FAD08" w14:textId="676D2691" w:rsidR="00B87922" w:rsidRPr="00A05CF0" w:rsidRDefault="00B87922" w:rsidP="00B87922">
            <w:pPr>
              <w:rPr>
                <w:sz w:val="24"/>
                <w:szCs w:val="24"/>
              </w:rPr>
            </w:pPr>
            <w:r w:rsidRPr="00A05CF0">
              <w:rPr>
                <w:color w:val="000000"/>
                <w:sz w:val="24"/>
                <w:szCs w:val="24"/>
              </w:rPr>
              <w:t>$250.00</w:t>
            </w:r>
          </w:p>
        </w:tc>
      </w:tr>
      <w:tr w:rsidR="00B87922" w:rsidRPr="0014655F" w14:paraId="2FAE6587" w14:textId="77777777" w:rsidTr="00B87922">
        <w:trPr>
          <w:cnfStyle w:val="000000100000" w:firstRow="0" w:lastRow="0" w:firstColumn="0" w:lastColumn="0" w:oddVBand="0" w:evenVBand="0" w:oddHBand="1" w:evenHBand="0" w:firstRowFirstColumn="0" w:firstRowLastColumn="0" w:lastRowFirstColumn="0" w:lastRowLastColumn="0"/>
          <w:trHeight w:val="288"/>
        </w:trPr>
        <w:tc>
          <w:tcPr>
            <w:tcW w:w="4585" w:type="dxa"/>
            <w:shd w:val="clear" w:color="auto" w:fill="FFFFFF" w:themeFill="background1"/>
            <w:noWrap/>
            <w:vAlign w:val="bottom"/>
            <w:hideMark/>
          </w:tcPr>
          <w:p w14:paraId="77FCE98E" w14:textId="616D680F" w:rsidR="00B87922" w:rsidRPr="00A05CF0" w:rsidRDefault="00B87922" w:rsidP="00B87922">
            <w:pPr>
              <w:rPr>
                <w:sz w:val="24"/>
                <w:szCs w:val="24"/>
              </w:rPr>
            </w:pPr>
            <w:r w:rsidRPr="00A05CF0">
              <w:rPr>
                <w:color w:val="000000"/>
                <w:sz w:val="24"/>
                <w:szCs w:val="24"/>
              </w:rPr>
              <w:t>Fusion Program Manager</w:t>
            </w:r>
          </w:p>
        </w:tc>
        <w:tc>
          <w:tcPr>
            <w:tcW w:w="1890" w:type="dxa"/>
            <w:shd w:val="clear" w:color="auto" w:fill="FFFFFF" w:themeFill="background1"/>
            <w:vAlign w:val="bottom"/>
          </w:tcPr>
          <w:p w14:paraId="5302DB93" w14:textId="3D3DEA0E" w:rsidR="00B87922" w:rsidRPr="00A05CF0" w:rsidRDefault="00B87922" w:rsidP="00B87922">
            <w:pPr>
              <w:rPr>
                <w:sz w:val="24"/>
                <w:szCs w:val="24"/>
              </w:rPr>
            </w:pPr>
            <w:r w:rsidRPr="00A05CF0">
              <w:rPr>
                <w:color w:val="000000"/>
                <w:sz w:val="24"/>
                <w:szCs w:val="24"/>
              </w:rPr>
              <w:t>$260.00</w:t>
            </w:r>
          </w:p>
        </w:tc>
      </w:tr>
      <w:tr w:rsidR="00B87922" w:rsidRPr="0014655F" w14:paraId="7FCE958C" w14:textId="77777777" w:rsidTr="00B87922">
        <w:trPr>
          <w:trHeight w:val="288"/>
        </w:trPr>
        <w:tc>
          <w:tcPr>
            <w:tcW w:w="4585" w:type="dxa"/>
            <w:shd w:val="clear" w:color="auto" w:fill="FFFFFF" w:themeFill="background1"/>
            <w:noWrap/>
            <w:vAlign w:val="bottom"/>
            <w:hideMark/>
          </w:tcPr>
          <w:p w14:paraId="5079BEB0" w14:textId="0B48F66D" w:rsidR="00B87922" w:rsidRPr="00A05CF0" w:rsidRDefault="00B87922" w:rsidP="00B87922">
            <w:pPr>
              <w:rPr>
                <w:sz w:val="24"/>
                <w:szCs w:val="24"/>
              </w:rPr>
            </w:pPr>
            <w:r w:rsidRPr="00A05CF0">
              <w:rPr>
                <w:color w:val="000000"/>
                <w:sz w:val="24"/>
                <w:szCs w:val="24"/>
              </w:rPr>
              <w:t>Fusion Project Administrator</w:t>
            </w:r>
          </w:p>
        </w:tc>
        <w:tc>
          <w:tcPr>
            <w:tcW w:w="1890" w:type="dxa"/>
            <w:shd w:val="clear" w:color="auto" w:fill="FFFFFF" w:themeFill="background1"/>
            <w:vAlign w:val="bottom"/>
          </w:tcPr>
          <w:p w14:paraId="1FBF0FD1" w14:textId="09227730" w:rsidR="00B87922" w:rsidRPr="00A05CF0" w:rsidRDefault="00B87922" w:rsidP="00B87922">
            <w:pPr>
              <w:rPr>
                <w:sz w:val="24"/>
                <w:szCs w:val="24"/>
              </w:rPr>
            </w:pPr>
            <w:r w:rsidRPr="00A05CF0">
              <w:rPr>
                <w:color w:val="000000"/>
                <w:sz w:val="24"/>
                <w:szCs w:val="24"/>
              </w:rPr>
              <w:t>$150.00</w:t>
            </w:r>
          </w:p>
        </w:tc>
      </w:tr>
      <w:tr w:rsidR="00B87922" w:rsidRPr="0014655F" w14:paraId="7363B837" w14:textId="77777777" w:rsidTr="00B87922">
        <w:trPr>
          <w:cnfStyle w:val="000000100000" w:firstRow="0" w:lastRow="0" w:firstColumn="0" w:lastColumn="0" w:oddVBand="0" w:evenVBand="0" w:oddHBand="1" w:evenHBand="0" w:firstRowFirstColumn="0" w:firstRowLastColumn="0" w:lastRowFirstColumn="0" w:lastRowLastColumn="0"/>
          <w:trHeight w:val="288"/>
        </w:trPr>
        <w:tc>
          <w:tcPr>
            <w:tcW w:w="4585" w:type="dxa"/>
            <w:shd w:val="clear" w:color="auto" w:fill="FFFFFF" w:themeFill="background1"/>
            <w:noWrap/>
            <w:vAlign w:val="bottom"/>
            <w:hideMark/>
          </w:tcPr>
          <w:p w14:paraId="334C06C8" w14:textId="0A4319C6" w:rsidR="00B87922" w:rsidRPr="00A05CF0" w:rsidRDefault="00B87922" w:rsidP="00B87922">
            <w:pPr>
              <w:rPr>
                <w:sz w:val="24"/>
                <w:szCs w:val="24"/>
              </w:rPr>
            </w:pPr>
            <w:r w:rsidRPr="00A05CF0">
              <w:rPr>
                <w:color w:val="000000"/>
                <w:sz w:val="24"/>
                <w:szCs w:val="24"/>
              </w:rPr>
              <w:t>Fusion Senior Business Analyst</w:t>
            </w:r>
          </w:p>
        </w:tc>
        <w:tc>
          <w:tcPr>
            <w:tcW w:w="1890" w:type="dxa"/>
            <w:shd w:val="clear" w:color="auto" w:fill="FFFFFF" w:themeFill="background1"/>
            <w:vAlign w:val="bottom"/>
          </w:tcPr>
          <w:p w14:paraId="3723CC5C" w14:textId="4B407049" w:rsidR="00B87922" w:rsidRPr="00A05CF0" w:rsidRDefault="00B87922" w:rsidP="00B87922">
            <w:pPr>
              <w:rPr>
                <w:sz w:val="24"/>
                <w:szCs w:val="24"/>
              </w:rPr>
            </w:pPr>
            <w:r w:rsidRPr="00A05CF0">
              <w:rPr>
                <w:color w:val="000000"/>
                <w:sz w:val="24"/>
                <w:szCs w:val="24"/>
              </w:rPr>
              <w:t>$285.00</w:t>
            </w:r>
          </w:p>
        </w:tc>
      </w:tr>
      <w:tr w:rsidR="00B87922" w:rsidRPr="0014655F" w14:paraId="598854B6" w14:textId="77777777" w:rsidTr="00B87922">
        <w:trPr>
          <w:trHeight w:val="288"/>
        </w:trPr>
        <w:tc>
          <w:tcPr>
            <w:tcW w:w="4585" w:type="dxa"/>
            <w:shd w:val="clear" w:color="auto" w:fill="FFFFFF" w:themeFill="background1"/>
            <w:noWrap/>
            <w:vAlign w:val="bottom"/>
            <w:hideMark/>
          </w:tcPr>
          <w:p w14:paraId="539F0B2B" w14:textId="02207292" w:rsidR="00B87922" w:rsidRPr="00A05CF0" w:rsidRDefault="00B87922" w:rsidP="00B87922">
            <w:pPr>
              <w:rPr>
                <w:sz w:val="24"/>
                <w:szCs w:val="24"/>
              </w:rPr>
            </w:pPr>
            <w:r w:rsidRPr="00A05CF0">
              <w:rPr>
                <w:color w:val="000000"/>
                <w:sz w:val="24"/>
                <w:szCs w:val="24"/>
              </w:rPr>
              <w:t>Fusion Business Analyst</w:t>
            </w:r>
          </w:p>
        </w:tc>
        <w:tc>
          <w:tcPr>
            <w:tcW w:w="1890" w:type="dxa"/>
            <w:shd w:val="clear" w:color="auto" w:fill="FFFFFF" w:themeFill="background1"/>
            <w:vAlign w:val="bottom"/>
          </w:tcPr>
          <w:p w14:paraId="16BFDCDA" w14:textId="31D7FA8B" w:rsidR="00B87922" w:rsidRPr="00A05CF0" w:rsidRDefault="00B87922" w:rsidP="00B87922">
            <w:pPr>
              <w:rPr>
                <w:sz w:val="24"/>
                <w:szCs w:val="24"/>
              </w:rPr>
            </w:pPr>
            <w:r w:rsidRPr="00A05CF0">
              <w:rPr>
                <w:color w:val="000000"/>
                <w:sz w:val="24"/>
                <w:szCs w:val="24"/>
              </w:rPr>
              <w:t>$195.00</w:t>
            </w:r>
          </w:p>
        </w:tc>
      </w:tr>
      <w:tr w:rsidR="00B87922" w:rsidRPr="0014655F" w14:paraId="52553490" w14:textId="77777777" w:rsidTr="00B87922">
        <w:trPr>
          <w:cnfStyle w:val="000000100000" w:firstRow="0" w:lastRow="0" w:firstColumn="0" w:lastColumn="0" w:oddVBand="0" w:evenVBand="0" w:oddHBand="1" w:evenHBand="0" w:firstRowFirstColumn="0" w:firstRowLastColumn="0" w:lastRowFirstColumn="0" w:lastRowLastColumn="0"/>
          <w:trHeight w:val="288"/>
        </w:trPr>
        <w:tc>
          <w:tcPr>
            <w:tcW w:w="4585" w:type="dxa"/>
            <w:shd w:val="clear" w:color="auto" w:fill="FFFFFF" w:themeFill="background1"/>
            <w:noWrap/>
            <w:vAlign w:val="bottom"/>
            <w:hideMark/>
          </w:tcPr>
          <w:p w14:paraId="5E26A8D3" w14:textId="45B3867B" w:rsidR="00B87922" w:rsidRPr="00A05CF0" w:rsidRDefault="00B87922" w:rsidP="00B87922">
            <w:pPr>
              <w:rPr>
                <w:sz w:val="24"/>
                <w:szCs w:val="24"/>
              </w:rPr>
            </w:pPr>
            <w:r w:rsidRPr="00A05CF0">
              <w:rPr>
                <w:color w:val="000000"/>
                <w:sz w:val="24"/>
                <w:szCs w:val="24"/>
              </w:rPr>
              <w:t>Fusion Senior Technical Analyst</w:t>
            </w:r>
          </w:p>
        </w:tc>
        <w:tc>
          <w:tcPr>
            <w:tcW w:w="1890" w:type="dxa"/>
            <w:shd w:val="clear" w:color="auto" w:fill="FFFFFF" w:themeFill="background1"/>
            <w:vAlign w:val="bottom"/>
          </w:tcPr>
          <w:p w14:paraId="65E30C21" w14:textId="133B0151" w:rsidR="00B87922" w:rsidRPr="00A05CF0" w:rsidRDefault="00B87922" w:rsidP="00B87922">
            <w:pPr>
              <w:rPr>
                <w:sz w:val="24"/>
                <w:szCs w:val="24"/>
              </w:rPr>
            </w:pPr>
            <w:r w:rsidRPr="00A05CF0">
              <w:rPr>
                <w:color w:val="000000"/>
                <w:sz w:val="24"/>
                <w:szCs w:val="24"/>
              </w:rPr>
              <w:t>$280.00</w:t>
            </w:r>
          </w:p>
        </w:tc>
      </w:tr>
      <w:tr w:rsidR="00B87922" w:rsidRPr="0014655F" w14:paraId="462F23A8" w14:textId="77777777" w:rsidTr="00B87922">
        <w:trPr>
          <w:trHeight w:val="288"/>
        </w:trPr>
        <w:tc>
          <w:tcPr>
            <w:tcW w:w="4585" w:type="dxa"/>
            <w:shd w:val="clear" w:color="auto" w:fill="FFFFFF" w:themeFill="background1"/>
            <w:noWrap/>
            <w:vAlign w:val="bottom"/>
            <w:hideMark/>
          </w:tcPr>
          <w:p w14:paraId="29CE6BB4" w14:textId="59AE31BA" w:rsidR="00B87922" w:rsidRPr="00A05CF0" w:rsidRDefault="00B87922" w:rsidP="00B87922">
            <w:pPr>
              <w:rPr>
                <w:sz w:val="24"/>
                <w:szCs w:val="24"/>
              </w:rPr>
            </w:pPr>
            <w:r w:rsidRPr="00A05CF0">
              <w:rPr>
                <w:color w:val="000000"/>
                <w:sz w:val="24"/>
                <w:szCs w:val="24"/>
              </w:rPr>
              <w:t>Fusion Technical Analyst</w:t>
            </w:r>
          </w:p>
        </w:tc>
        <w:tc>
          <w:tcPr>
            <w:tcW w:w="1890" w:type="dxa"/>
            <w:shd w:val="clear" w:color="auto" w:fill="FFFFFF" w:themeFill="background1"/>
            <w:vAlign w:val="bottom"/>
          </w:tcPr>
          <w:p w14:paraId="6D5DE535" w14:textId="0AB69A58" w:rsidR="00B87922" w:rsidRPr="00A05CF0" w:rsidRDefault="00B87922" w:rsidP="00B87922">
            <w:pPr>
              <w:rPr>
                <w:sz w:val="24"/>
                <w:szCs w:val="24"/>
              </w:rPr>
            </w:pPr>
            <w:r w:rsidRPr="00A05CF0">
              <w:rPr>
                <w:color w:val="000000"/>
                <w:sz w:val="24"/>
                <w:szCs w:val="24"/>
              </w:rPr>
              <w:t>$185.00</w:t>
            </w:r>
          </w:p>
        </w:tc>
      </w:tr>
      <w:tr w:rsidR="00B87922" w:rsidRPr="0014655F" w14:paraId="52264953" w14:textId="77777777" w:rsidTr="00B87922">
        <w:trPr>
          <w:cnfStyle w:val="000000100000" w:firstRow="0" w:lastRow="0" w:firstColumn="0" w:lastColumn="0" w:oddVBand="0" w:evenVBand="0" w:oddHBand="1" w:evenHBand="0" w:firstRowFirstColumn="0" w:firstRowLastColumn="0" w:lastRowFirstColumn="0" w:lastRowLastColumn="0"/>
          <w:trHeight w:val="288"/>
        </w:trPr>
        <w:tc>
          <w:tcPr>
            <w:tcW w:w="4585" w:type="dxa"/>
            <w:shd w:val="clear" w:color="auto" w:fill="FFFFFF" w:themeFill="background1"/>
            <w:noWrap/>
            <w:vAlign w:val="bottom"/>
            <w:hideMark/>
          </w:tcPr>
          <w:p w14:paraId="1977B22F" w14:textId="1A4BD96B" w:rsidR="00B87922" w:rsidRPr="00A05CF0" w:rsidRDefault="00B87922" w:rsidP="00B87922">
            <w:pPr>
              <w:rPr>
                <w:sz w:val="24"/>
                <w:szCs w:val="24"/>
              </w:rPr>
            </w:pPr>
            <w:r w:rsidRPr="00A05CF0">
              <w:rPr>
                <w:color w:val="000000"/>
                <w:sz w:val="24"/>
                <w:szCs w:val="24"/>
              </w:rPr>
              <w:t>Fusion Associate</w:t>
            </w:r>
          </w:p>
        </w:tc>
        <w:tc>
          <w:tcPr>
            <w:tcW w:w="1890" w:type="dxa"/>
            <w:shd w:val="clear" w:color="auto" w:fill="FFFFFF" w:themeFill="background1"/>
            <w:vAlign w:val="bottom"/>
          </w:tcPr>
          <w:p w14:paraId="0D7EBD06" w14:textId="6AE0A13B" w:rsidR="00B87922" w:rsidRPr="00A05CF0" w:rsidRDefault="00B87922" w:rsidP="00B87922">
            <w:pPr>
              <w:rPr>
                <w:sz w:val="24"/>
                <w:szCs w:val="24"/>
              </w:rPr>
            </w:pPr>
            <w:r w:rsidRPr="00A05CF0">
              <w:rPr>
                <w:color w:val="000000"/>
                <w:sz w:val="24"/>
                <w:szCs w:val="24"/>
              </w:rPr>
              <w:t>$135.00</w:t>
            </w:r>
          </w:p>
        </w:tc>
      </w:tr>
      <w:tr w:rsidR="00B87922" w:rsidRPr="0014655F" w14:paraId="4D4D31C5" w14:textId="77777777" w:rsidTr="00B87922">
        <w:trPr>
          <w:trHeight w:val="288"/>
        </w:trPr>
        <w:tc>
          <w:tcPr>
            <w:tcW w:w="4585" w:type="dxa"/>
            <w:shd w:val="clear" w:color="auto" w:fill="FFFFFF" w:themeFill="background1"/>
            <w:noWrap/>
            <w:vAlign w:val="bottom"/>
            <w:hideMark/>
          </w:tcPr>
          <w:p w14:paraId="21D7CD32" w14:textId="46963996" w:rsidR="00B87922" w:rsidRPr="00A05CF0" w:rsidRDefault="00B87922" w:rsidP="00B87922">
            <w:pPr>
              <w:rPr>
                <w:sz w:val="24"/>
                <w:szCs w:val="24"/>
              </w:rPr>
            </w:pPr>
            <w:r w:rsidRPr="00A05CF0">
              <w:rPr>
                <w:color w:val="000000"/>
                <w:sz w:val="24"/>
                <w:szCs w:val="24"/>
              </w:rPr>
              <w:t>Fusion Remote Senior Business Analyst</w:t>
            </w:r>
          </w:p>
        </w:tc>
        <w:tc>
          <w:tcPr>
            <w:tcW w:w="1890" w:type="dxa"/>
            <w:shd w:val="clear" w:color="auto" w:fill="FFFFFF" w:themeFill="background1"/>
            <w:vAlign w:val="bottom"/>
          </w:tcPr>
          <w:p w14:paraId="4AFFAAED" w14:textId="0C2C11BA" w:rsidR="00B87922" w:rsidRPr="00A05CF0" w:rsidRDefault="00B87922" w:rsidP="00B87922">
            <w:pPr>
              <w:rPr>
                <w:sz w:val="24"/>
                <w:szCs w:val="24"/>
              </w:rPr>
            </w:pPr>
            <w:r w:rsidRPr="00A05CF0">
              <w:rPr>
                <w:color w:val="000000"/>
                <w:sz w:val="24"/>
                <w:szCs w:val="24"/>
              </w:rPr>
              <w:t>$100.00</w:t>
            </w:r>
          </w:p>
        </w:tc>
      </w:tr>
      <w:tr w:rsidR="00B87922" w:rsidRPr="0014655F" w14:paraId="63AD2B75" w14:textId="77777777" w:rsidTr="00B87922">
        <w:trPr>
          <w:cnfStyle w:val="000000100000" w:firstRow="0" w:lastRow="0" w:firstColumn="0" w:lastColumn="0" w:oddVBand="0" w:evenVBand="0" w:oddHBand="1" w:evenHBand="0" w:firstRowFirstColumn="0" w:firstRowLastColumn="0" w:lastRowFirstColumn="0" w:lastRowLastColumn="0"/>
          <w:trHeight w:val="288"/>
        </w:trPr>
        <w:tc>
          <w:tcPr>
            <w:tcW w:w="4585" w:type="dxa"/>
            <w:shd w:val="clear" w:color="auto" w:fill="FFFFFF" w:themeFill="background1"/>
            <w:noWrap/>
            <w:vAlign w:val="bottom"/>
            <w:hideMark/>
          </w:tcPr>
          <w:p w14:paraId="257B2D15" w14:textId="11B0C512" w:rsidR="00B87922" w:rsidRPr="00A05CF0" w:rsidRDefault="00B87922" w:rsidP="00B87922">
            <w:pPr>
              <w:rPr>
                <w:sz w:val="24"/>
                <w:szCs w:val="24"/>
              </w:rPr>
            </w:pPr>
            <w:r w:rsidRPr="00A05CF0">
              <w:rPr>
                <w:color w:val="000000"/>
                <w:sz w:val="24"/>
                <w:szCs w:val="24"/>
              </w:rPr>
              <w:t>Fusion Remote Senior Technical Analyst</w:t>
            </w:r>
          </w:p>
        </w:tc>
        <w:tc>
          <w:tcPr>
            <w:tcW w:w="1890" w:type="dxa"/>
            <w:shd w:val="clear" w:color="auto" w:fill="FFFFFF" w:themeFill="background1"/>
            <w:vAlign w:val="bottom"/>
          </w:tcPr>
          <w:p w14:paraId="3D64EB8C" w14:textId="4584F55E" w:rsidR="00B87922" w:rsidRPr="00A05CF0" w:rsidRDefault="00B87922" w:rsidP="00B87922">
            <w:pPr>
              <w:rPr>
                <w:sz w:val="24"/>
                <w:szCs w:val="24"/>
              </w:rPr>
            </w:pPr>
            <w:r w:rsidRPr="00A05CF0">
              <w:rPr>
                <w:color w:val="000000"/>
                <w:sz w:val="24"/>
                <w:szCs w:val="24"/>
              </w:rPr>
              <w:t>$85.00</w:t>
            </w:r>
          </w:p>
        </w:tc>
      </w:tr>
      <w:tr w:rsidR="00B87922" w:rsidRPr="0014655F" w14:paraId="67E7ED44" w14:textId="77777777" w:rsidTr="00B87922">
        <w:trPr>
          <w:trHeight w:val="288"/>
        </w:trPr>
        <w:tc>
          <w:tcPr>
            <w:tcW w:w="4585" w:type="dxa"/>
            <w:shd w:val="clear" w:color="auto" w:fill="FFFFFF" w:themeFill="background1"/>
            <w:noWrap/>
            <w:vAlign w:val="bottom"/>
            <w:hideMark/>
          </w:tcPr>
          <w:p w14:paraId="05690565" w14:textId="18C5E8F9" w:rsidR="00B87922" w:rsidRPr="00A05CF0" w:rsidRDefault="00B87922" w:rsidP="00B87922">
            <w:pPr>
              <w:rPr>
                <w:sz w:val="24"/>
                <w:szCs w:val="24"/>
              </w:rPr>
            </w:pPr>
            <w:r w:rsidRPr="00A05CF0">
              <w:rPr>
                <w:color w:val="000000"/>
                <w:sz w:val="24"/>
                <w:szCs w:val="24"/>
              </w:rPr>
              <w:t>Fusion Remote Business Analyst</w:t>
            </w:r>
          </w:p>
        </w:tc>
        <w:tc>
          <w:tcPr>
            <w:tcW w:w="1890" w:type="dxa"/>
            <w:shd w:val="clear" w:color="auto" w:fill="FFFFFF" w:themeFill="background1"/>
            <w:vAlign w:val="bottom"/>
          </w:tcPr>
          <w:p w14:paraId="16C6E911" w14:textId="7B87596B" w:rsidR="00B87922" w:rsidRPr="00A05CF0" w:rsidRDefault="00B87922" w:rsidP="00B87922">
            <w:pPr>
              <w:rPr>
                <w:sz w:val="24"/>
                <w:szCs w:val="24"/>
              </w:rPr>
            </w:pPr>
            <w:r w:rsidRPr="00A05CF0">
              <w:rPr>
                <w:color w:val="000000"/>
                <w:sz w:val="24"/>
                <w:szCs w:val="24"/>
              </w:rPr>
              <w:t>$80.00</w:t>
            </w:r>
          </w:p>
        </w:tc>
      </w:tr>
      <w:tr w:rsidR="00B87922" w:rsidRPr="0014655F" w14:paraId="4C45EB79" w14:textId="77777777" w:rsidTr="00B87922">
        <w:trPr>
          <w:cnfStyle w:val="000000100000" w:firstRow="0" w:lastRow="0" w:firstColumn="0" w:lastColumn="0" w:oddVBand="0" w:evenVBand="0" w:oddHBand="1" w:evenHBand="0" w:firstRowFirstColumn="0" w:firstRowLastColumn="0" w:lastRowFirstColumn="0" w:lastRowLastColumn="0"/>
          <w:trHeight w:val="288"/>
        </w:trPr>
        <w:tc>
          <w:tcPr>
            <w:tcW w:w="4585" w:type="dxa"/>
            <w:shd w:val="clear" w:color="auto" w:fill="FFFFFF" w:themeFill="background1"/>
            <w:noWrap/>
            <w:vAlign w:val="bottom"/>
            <w:hideMark/>
          </w:tcPr>
          <w:p w14:paraId="47863D78" w14:textId="127E4A38" w:rsidR="00B87922" w:rsidRPr="00A05CF0" w:rsidRDefault="00B87922" w:rsidP="00B87922">
            <w:pPr>
              <w:rPr>
                <w:sz w:val="24"/>
                <w:szCs w:val="24"/>
              </w:rPr>
            </w:pPr>
            <w:r w:rsidRPr="00A05CF0">
              <w:rPr>
                <w:color w:val="000000"/>
                <w:sz w:val="24"/>
                <w:szCs w:val="24"/>
              </w:rPr>
              <w:t>Fusion Remote Technical Analyst</w:t>
            </w:r>
          </w:p>
        </w:tc>
        <w:tc>
          <w:tcPr>
            <w:tcW w:w="1890" w:type="dxa"/>
            <w:shd w:val="clear" w:color="auto" w:fill="FFFFFF" w:themeFill="background1"/>
            <w:vAlign w:val="bottom"/>
          </w:tcPr>
          <w:p w14:paraId="4D44322E" w14:textId="11F21300" w:rsidR="00B87922" w:rsidRPr="00A05CF0" w:rsidRDefault="00B87922" w:rsidP="00B87922">
            <w:pPr>
              <w:rPr>
                <w:sz w:val="24"/>
                <w:szCs w:val="24"/>
              </w:rPr>
            </w:pPr>
            <w:r w:rsidRPr="00A05CF0">
              <w:rPr>
                <w:color w:val="000000"/>
                <w:sz w:val="24"/>
                <w:szCs w:val="24"/>
              </w:rPr>
              <w:t>$70.00</w:t>
            </w:r>
          </w:p>
        </w:tc>
      </w:tr>
      <w:tr w:rsidR="00B87922" w:rsidRPr="0014655F" w14:paraId="1898B434" w14:textId="77777777" w:rsidTr="00B87922">
        <w:trPr>
          <w:trHeight w:val="288"/>
        </w:trPr>
        <w:tc>
          <w:tcPr>
            <w:tcW w:w="4585" w:type="dxa"/>
            <w:shd w:val="clear" w:color="auto" w:fill="FFFFFF" w:themeFill="background1"/>
            <w:noWrap/>
            <w:vAlign w:val="bottom"/>
          </w:tcPr>
          <w:p w14:paraId="316755DA" w14:textId="0ECF9383" w:rsidR="00B87922" w:rsidRPr="00A05CF0" w:rsidRDefault="00B87922" w:rsidP="00B87922">
            <w:pPr>
              <w:rPr>
                <w:sz w:val="24"/>
                <w:szCs w:val="24"/>
              </w:rPr>
            </w:pPr>
            <w:r w:rsidRPr="00A05CF0">
              <w:rPr>
                <w:color w:val="000000"/>
                <w:sz w:val="24"/>
                <w:szCs w:val="24"/>
              </w:rPr>
              <w:t>Fusion Junior Business Analyst</w:t>
            </w:r>
          </w:p>
        </w:tc>
        <w:tc>
          <w:tcPr>
            <w:tcW w:w="1890" w:type="dxa"/>
            <w:shd w:val="clear" w:color="auto" w:fill="FFFFFF" w:themeFill="background1"/>
            <w:vAlign w:val="bottom"/>
          </w:tcPr>
          <w:p w14:paraId="3A102643" w14:textId="4C5AB805" w:rsidR="00B87922" w:rsidRPr="00A05CF0" w:rsidRDefault="00B87922" w:rsidP="00B87922">
            <w:pPr>
              <w:rPr>
                <w:sz w:val="24"/>
                <w:szCs w:val="24"/>
              </w:rPr>
            </w:pPr>
            <w:r w:rsidRPr="00A05CF0">
              <w:rPr>
                <w:color w:val="000000"/>
                <w:sz w:val="24"/>
                <w:szCs w:val="24"/>
              </w:rPr>
              <w:t>$175.00</w:t>
            </w:r>
          </w:p>
        </w:tc>
      </w:tr>
      <w:tr w:rsidR="00B87922" w:rsidRPr="0014655F" w14:paraId="0464FF38" w14:textId="77777777" w:rsidTr="00B87922">
        <w:trPr>
          <w:cnfStyle w:val="000000100000" w:firstRow="0" w:lastRow="0" w:firstColumn="0" w:lastColumn="0" w:oddVBand="0" w:evenVBand="0" w:oddHBand="1" w:evenHBand="0" w:firstRowFirstColumn="0" w:firstRowLastColumn="0" w:lastRowFirstColumn="0" w:lastRowLastColumn="0"/>
          <w:trHeight w:val="288"/>
        </w:trPr>
        <w:tc>
          <w:tcPr>
            <w:tcW w:w="4585" w:type="dxa"/>
            <w:shd w:val="clear" w:color="auto" w:fill="FFFFFF" w:themeFill="background1"/>
            <w:noWrap/>
            <w:vAlign w:val="bottom"/>
          </w:tcPr>
          <w:p w14:paraId="3545FCE4" w14:textId="4F5270D5" w:rsidR="00B87922" w:rsidRPr="00A05CF0" w:rsidRDefault="00B87922" w:rsidP="00B87922">
            <w:pPr>
              <w:rPr>
                <w:sz w:val="24"/>
                <w:szCs w:val="24"/>
              </w:rPr>
            </w:pPr>
            <w:r w:rsidRPr="00A05CF0">
              <w:rPr>
                <w:color w:val="000000"/>
                <w:sz w:val="24"/>
                <w:szCs w:val="24"/>
              </w:rPr>
              <w:t>Fusion Junior Technical Analyst</w:t>
            </w:r>
          </w:p>
        </w:tc>
        <w:tc>
          <w:tcPr>
            <w:tcW w:w="1890" w:type="dxa"/>
            <w:shd w:val="clear" w:color="auto" w:fill="FFFFFF" w:themeFill="background1"/>
            <w:vAlign w:val="bottom"/>
          </w:tcPr>
          <w:p w14:paraId="79531BF8" w14:textId="28BF6D21" w:rsidR="00B87922" w:rsidRPr="00A05CF0" w:rsidRDefault="00B87922" w:rsidP="00B87922">
            <w:pPr>
              <w:rPr>
                <w:sz w:val="24"/>
                <w:szCs w:val="24"/>
              </w:rPr>
            </w:pPr>
            <w:r w:rsidRPr="00A05CF0">
              <w:rPr>
                <w:color w:val="000000"/>
                <w:sz w:val="24"/>
                <w:szCs w:val="24"/>
              </w:rPr>
              <w:t>$160.00</w:t>
            </w:r>
          </w:p>
        </w:tc>
      </w:tr>
      <w:tr w:rsidR="00B87922" w:rsidRPr="0014655F" w14:paraId="3DD6AC58" w14:textId="77777777" w:rsidTr="00B87922">
        <w:trPr>
          <w:trHeight w:val="288"/>
        </w:trPr>
        <w:tc>
          <w:tcPr>
            <w:tcW w:w="4585" w:type="dxa"/>
            <w:shd w:val="clear" w:color="auto" w:fill="FFFFFF" w:themeFill="background1"/>
            <w:noWrap/>
            <w:vAlign w:val="bottom"/>
          </w:tcPr>
          <w:p w14:paraId="5541AEB9" w14:textId="2854C69F" w:rsidR="00B87922" w:rsidRPr="00A05CF0" w:rsidRDefault="00B87922" w:rsidP="00B87922">
            <w:pPr>
              <w:rPr>
                <w:sz w:val="24"/>
                <w:szCs w:val="24"/>
              </w:rPr>
            </w:pPr>
            <w:r w:rsidRPr="00A05CF0">
              <w:rPr>
                <w:color w:val="000000"/>
                <w:sz w:val="24"/>
                <w:szCs w:val="24"/>
              </w:rPr>
              <w:t>Fusion Senior Architect</w:t>
            </w:r>
          </w:p>
        </w:tc>
        <w:tc>
          <w:tcPr>
            <w:tcW w:w="1890" w:type="dxa"/>
            <w:shd w:val="clear" w:color="auto" w:fill="FFFFFF" w:themeFill="background1"/>
            <w:vAlign w:val="bottom"/>
          </w:tcPr>
          <w:p w14:paraId="53D8C3A6" w14:textId="57547EE7" w:rsidR="00B87922" w:rsidRPr="00A05CF0" w:rsidRDefault="00B87922" w:rsidP="00B87922">
            <w:pPr>
              <w:rPr>
                <w:sz w:val="24"/>
                <w:szCs w:val="24"/>
              </w:rPr>
            </w:pPr>
            <w:r w:rsidRPr="00A05CF0">
              <w:rPr>
                <w:color w:val="000000"/>
                <w:sz w:val="24"/>
                <w:szCs w:val="24"/>
              </w:rPr>
              <w:t>$360.00</w:t>
            </w:r>
          </w:p>
        </w:tc>
      </w:tr>
      <w:tr w:rsidR="00B87922" w:rsidRPr="0014655F" w14:paraId="3777B2EE" w14:textId="77777777" w:rsidTr="00B87922">
        <w:trPr>
          <w:cnfStyle w:val="000000100000" w:firstRow="0" w:lastRow="0" w:firstColumn="0" w:lastColumn="0" w:oddVBand="0" w:evenVBand="0" w:oddHBand="1" w:evenHBand="0" w:firstRowFirstColumn="0" w:firstRowLastColumn="0" w:lastRowFirstColumn="0" w:lastRowLastColumn="0"/>
          <w:trHeight w:val="288"/>
        </w:trPr>
        <w:tc>
          <w:tcPr>
            <w:tcW w:w="4585" w:type="dxa"/>
            <w:shd w:val="clear" w:color="auto" w:fill="FFFFFF" w:themeFill="background1"/>
            <w:noWrap/>
            <w:vAlign w:val="bottom"/>
          </w:tcPr>
          <w:p w14:paraId="6F9E7B2A" w14:textId="5F954626" w:rsidR="00B87922" w:rsidRPr="00A05CF0" w:rsidRDefault="00B87922" w:rsidP="00B87922">
            <w:pPr>
              <w:rPr>
                <w:sz w:val="24"/>
                <w:szCs w:val="24"/>
              </w:rPr>
            </w:pPr>
            <w:r w:rsidRPr="00A05CF0">
              <w:rPr>
                <w:color w:val="000000"/>
                <w:sz w:val="24"/>
                <w:szCs w:val="24"/>
              </w:rPr>
              <w:t>Fusion Portfolio Director</w:t>
            </w:r>
          </w:p>
        </w:tc>
        <w:tc>
          <w:tcPr>
            <w:tcW w:w="1890" w:type="dxa"/>
            <w:shd w:val="clear" w:color="auto" w:fill="FFFFFF" w:themeFill="background1"/>
            <w:vAlign w:val="bottom"/>
          </w:tcPr>
          <w:p w14:paraId="2DE7FA3D" w14:textId="7CB0FEA9" w:rsidR="00B87922" w:rsidRPr="00A05CF0" w:rsidRDefault="00B87922" w:rsidP="00B87922">
            <w:pPr>
              <w:rPr>
                <w:sz w:val="24"/>
                <w:szCs w:val="24"/>
              </w:rPr>
            </w:pPr>
            <w:r w:rsidRPr="00A05CF0">
              <w:rPr>
                <w:color w:val="000000"/>
                <w:sz w:val="24"/>
                <w:szCs w:val="24"/>
              </w:rPr>
              <w:t>$410.00</w:t>
            </w:r>
          </w:p>
        </w:tc>
      </w:tr>
      <w:tr w:rsidR="00B87922" w:rsidRPr="0014655F" w14:paraId="765ABCEC" w14:textId="77777777" w:rsidTr="00B87922">
        <w:trPr>
          <w:trHeight w:val="288"/>
        </w:trPr>
        <w:tc>
          <w:tcPr>
            <w:tcW w:w="4585" w:type="dxa"/>
            <w:shd w:val="clear" w:color="auto" w:fill="FFFFFF" w:themeFill="background1"/>
            <w:noWrap/>
            <w:vAlign w:val="bottom"/>
          </w:tcPr>
          <w:p w14:paraId="061813DB" w14:textId="2D2697F3" w:rsidR="00B87922" w:rsidRPr="00A05CF0" w:rsidRDefault="00B87922" w:rsidP="00B87922">
            <w:pPr>
              <w:rPr>
                <w:sz w:val="24"/>
                <w:szCs w:val="24"/>
              </w:rPr>
            </w:pPr>
            <w:r w:rsidRPr="00A05CF0">
              <w:rPr>
                <w:color w:val="000000"/>
                <w:sz w:val="24"/>
                <w:szCs w:val="24"/>
              </w:rPr>
              <w:t>Fusion Senior Associate</w:t>
            </w:r>
          </w:p>
        </w:tc>
        <w:tc>
          <w:tcPr>
            <w:tcW w:w="1890" w:type="dxa"/>
            <w:shd w:val="clear" w:color="auto" w:fill="FFFFFF" w:themeFill="background1"/>
            <w:vAlign w:val="bottom"/>
          </w:tcPr>
          <w:p w14:paraId="64BE5F4B" w14:textId="3CA0172D" w:rsidR="00B87922" w:rsidRPr="00A05CF0" w:rsidRDefault="00B87922" w:rsidP="00B87922">
            <w:pPr>
              <w:rPr>
                <w:sz w:val="24"/>
                <w:szCs w:val="24"/>
              </w:rPr>
            </w:pPr>
            <w:r w:rsidRPr="00A05CF0">
              <w:rPr>
                <w:color w:val="000000"/>
                <w:sz w:val="24"/>
                <w:szCs w:val="24"/>
              </w:rPr>
              <w:t>$155.00</w:t>
            </w:r>
          </w:p>
        </w:tc>
      </w:tr>
    </w:tbl>
    <w:p w14:paraId="319FC037" w14:textId="77777777" w:rsidR="0014655F" w:rsidRPr="0014655F" w:rsidRDefault="0014655F" w:rsidP="0014655F">
      <w:pPr>
        <w:rPr>
          <w:sz w:val="24"/>
          <w:szCs w:val="24"/>
        </w:rPr>
      </w:pPr>
    </w:p>
    <w:p w14:paraId="589DD2A6" w14:textId="77777777" w:rsidR="0014655F" w:rsidRPr="0014655F" w:rsidRDefault="0014655F" w:rsidP="0014655F">
      <w:pPr>
        <w:rPr>
          <w:sz w:val="24"/>
          <w:szCs w:val="24"/>
        </w:rPr>
      </w:pPr>
    </w:p>
    <w:p w14:paraId="39A70DE3" w14:textId="77777777" w:rsidR="0014655F" w:rsidRPr="0014655F" w:rsidRDefault="0014655F" w:rsidP="0014655F">
      <w:pPr>
        <w:rPr>
          <w:b/>
          <w:bCs/>
          <w:sz w:val="24"/>
          <w:szCs w:val="24"/>
        </w:rPr>
      </w:pPr>
    </w:p>
    <w:p w14:paraId="50065D4B" w14:textId="77777777" w:rsidR="00491F7E" w:rsidRPr="0014655F" w:rsidRDefault="00491F7E">
      <w:pPr>
        <w:rPr>
          <w:sz w:val="24"/>
          <w:szCs w:val="24"/>
        </w:rPr>
      </w:pPr>
    </w:p>
    <w:p w14:paraId="7CA54089" w14:textId="77777777" w:rsidR="00491F7E" w:rsidRPr="0014655F" w:rsidRDefault="00491F7E" w:rsidP="00491F7E">
      <w:pPr>
        <w:widowControl/>
        <w:autoSpaceDE/>
        <w:autoSpaceDN/>
        <w:spacing w:after="160" w:line="259" w:lineRule="auto"/>
        <w:rPr>
          <w:rFonts w:eastAsia="Times New Roman" w:cs="Times New Roman"/>
          <w:sz w:val="24"/>
          <w:szCs w:val="24"/>
        </w:rPr>
      </w:pPr>
    </w:p>
    <w:p w14:paraId="6AA9BEFA" w14:textId="77777777" w:rsidR="00491F7E" w:rsidRPr="0014655F" w:rsidRDefault="00491F7E" w:rsidP="00491F7E">
      <w:pPr>
        <w:widowControl/>
        <w:autoSpaceDE/>
        <w:autoSpaceDN/>
        <w:contextualSpacing/>
        <w:jc w:val="center"/>
        <w:rPr>
          <w:rFonts w:ascii="Avenir Next LT Pro" w:eastAsia="Times New Roman" w:hAnsi="Avenir Next LT Pro" w:cs="Poppins"/>
          <w:b/>
          <w:bCs/>
          <w:color w:val="133857"/>
          <w:spacing w:val="-10"/>
          <w:kern w:val="28"/>
          <w:sz w:val="24"/>
          <w:szCs w:val="24"/>
        </w:rPr>
      </w:pPr>
    </w:p>
    <w:p w14:paraId="06E82D05" w14:textId="77777777" w:rsidR="0014655F" w:rsidRPr="0014655F" w:rsidRDefault="00491F7E" w:rsidP="00491F7E">
      <w:pPr>
        <w:widowControl/>
        <w:autoSpaceDE/>
        <w:autoSpaceDN/>
        <w:contextualSpacing/>
        <w:jc w:val="center"/>
        <w:rPr>
          <w:rFonts w:ascii="Avenir Next LT Pro Demi" w:eastAsia="MS Gothic" w:hAnsi="Avenir Next LT Pro Demi" w:cs="Times New Roman"/>
          <w:spacing w:val="-10"/>
          <w:kern w:val="28"/>
          <w:sz w:val="24"/>
          <w:szCs w:val="24"/>
        </w:rPr>
      </w:pPr>
      <w:r w:rsidRPr="0014655F">
        <w:rPr>
          <w:rFonts w:ascii="Avenir Next LT Pro Demi" w:eastAsia="MS Gothic" w:hAnsi="Avenir Next LT Pro Demi" w:cs="Times New Roman"/>
          <w:spacing w:val="-10"/>
          <w:kern w:val="28"/>
          <w:sz w:val="24"/>
          <w:szCs w:val="24"/>
        </w:rPr>
        <w:t xml:space="preserve"> </w:t>
      </w:r>
    </w:p>
    <w:p w14:paraId="59236D4D" w14:textId="77777777" w:rsidR="0014655F" w:rsidRDefault="0014655F">
      <w:pPr>
        <w:rPr>
          <w:rFonts w:ascii="Avenir Next LT Pro Demi" w:eastAsia="MS Gothic" w:hAnsi="Avenir Next LT Pro Demi" w:cs="Times New Roman"/>
          <w:spacing w:val="-10"/>
          <w:kern w:val="28"/>
          <w:sz w:val="36"/>
          <w:szCs w:val="36"/>
        </w:rPr>
      </w:pPr>
      <w:r>
        <w:rPr>
          <w:rFonts w:ascii="Avenir Next LT Pro Demi" w:eastAsia="MS Gothic" w:hAnsi="Avenir Next LT Pro Demi" w:cs="Times New Roman"/>
          <w:spacing w:val="-10"/>
          <w:kern w:val="28"/>
          <w:sz w:val="36"/>
          <w:szCs w:val="36"/>
        </w:rPr>
        <w:br w:type="page"/>
      </w:r>
    </w:p>
    <w:p w14:paraId="0D107CBA" w14:textId="1413DD74" w:rsidR="00491F7E" w:rsidRPr="00491F7E" w:rsidRDefault="00491F7E" w:rsidP="00491F7E">
      <w:pPr>
        <w:widowControl/>
        <w:autoSpaceDE/>
        <w:autoSpaceDN/>
        <w:contextualSpacing/>
        <w:jc w:val="center"/>
        <w:rPr>
          <w:rFonts w:ascii="Avenir Next LT Pro Demi" w:eastAsia="MS Gothic" w:hAnsi="Avenir Next LT Pro Demi" w:cs="Times New Roman"/>
          <w:spacing w:val="-10"/>
          <w:kern w:val="28"/>
          <w:sz w:val="36"/>
          <w:szCs w:val="36"/>
        </w:rPr>
      </w:pPr>
      <w:r w:rsidRPr="00491F7E">
        <w:rPr>
          <w:rFonts w:ascii="Avenir Next LT Pro Demi" w:eastAsia="MS Gothic" w:hAnsi="Avenir Next LT Pro Demi" w:cs="Times New Roman"/>
          <w:spacing w:val="-10"/>
          <w:kern w:val="28"/>
          <w:sz w:val="36"/>
          <w:szCs w:val="36"/>
        </w:rPr>
        <w:lastRenderedPageBreak/>
        <w:t>Elevate Manage - Service Catalog</w:t>
      </w:r>
    </w:p>
    <w:p w14:paraId="4C8DA15E" w14:textId="77777777" w:rsidR="00491F7E" w:rsidRPr="00491F7E" w:rsidRDefault="00491F7E" w:rsidP="00491F7E">
      <w:pPr>
        <w:widowControl/>
        <w:autoSpaceDE/>
        <w:autoSpaceDN/>
        <w:spacing w:after="160" w:line="259" w:lineRule="auto"/>
        <w:rPr>
          <w:rFonts w:eastAsia="Times New Roman" w:cs="Times New Roman"/>
        </w:rPr>
      </w:pPr>
    </w:p>
    <w:p w14:paraId="70747D05" w14:textId="77777777" w:rsidR="00491F7E" w:rsidRPr="00491F7E" w:rsidRDefault="00491F7E" w:rsidP="00491F7E">
      <w:pPr>
        <w:keepNext/>
        <w:keepLines/>
        <w:widowControl/>
        <w:numPr>
          <w:ilvl w:val="0"/>
          <w:numId w:val="24"/>
        </w:numPr>
        <w:autoSpaceDE/>
        <w:autoSpaceDN/>
        <w:spacing w:before="240" w:after="160" w:line="259" w:lineRule="auto"/>
        <w:outlineLvl w:val="0"/>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Elevate – Managed Services</w:t>
      </w:r>
    </w:p>
    <w:p w14:paraId="3FED1BE8" w14:textId="77777777" w:rsidR="00491F7E" w:rsidRPr="00491F7E" w:rsidRDefault="00491F7E" w:rsidP="00491F7E">
      <w:pPr>
        <w:keepNext/>
        <w:widowControl/>
        <w:numPr>
          <w:ilvl w:val="1"/>
          <w:numId w:val="0"/>
        </w:numPr>
        <w:autoSpaceDE/>
        <w:autoSpaceDN/>
        <w:spacing w:before="240" w:after="160" w:line="259" w:lineRule="auto"/>
        <w:ind w:left="129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1.1 Introduction</w:t>
      </w:r>
    </w:p>
    <w:p w14:paraId="06546D2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r w:rsidRPr="00491F7E">
        <w:rPr>
          <w:rFonts w:ascii="Avenir Next LT Pro Light" w:eastAsia="MS Mincho" w:hAnsi="Avenir Next LT Pro Light" w:cs="Times New Roman"/>
          <w:sz w:val="20"/>
          <w:szCs w:val="20"/>
        </w:rPr>
        <w:t>SMX Elevate Managed Services allows your organization to take advantage of the scalability and efficiency of cloud computing, while minimizing the cost and complexity of in-house infrastructure and application management and monitoring. Our team of experts, utilizing the SMX Intelligent Automation Platform, offers comprehensive management of cloud services from provisioning to solution life cycle. Our Elevate Managed Services support private, public, multi-cloud, and hybrid cloud offerings, freeing up your organization to concentrate on important business and technology initiatives while entrusting IT operations to our experienced team</w:t>
      </w:r>
      <w:r w:rsidRPr="00491F7E">
        <w:rPr>
          <w:rFonts w:ascii="Avenir Next LT Pro Light" w:eastAsia="MS Mincho" w:hAnsi="Avenir Next LT Pro Light" w:cs="Times New Roman"/>
        </w:rPr>
        <w:t>.</w:t>
      </w:r>
    </w:p>
    <w:p w14:paraId="6FEB0FEE" w14:textId="77777777" w:rsidR="00491F7E" w:rsidRPr="00491F7E" w:rsidRDefault="00491F7E" w:rsidP="00491F7E">
      <w:pPr>
        <w:widowControl/>
        <w:autoSpaceDE/>
        <w:autoSpaceDN/>
        <w:spacing w:after="160" w:line="259" w:lineRule="auto"/>
        <w:ind w:left="720"/>
        <w:rPr>
          <w:rFonts w:ascii="Avenir Next LT Pro Light" w:eastAsia="MS Mincho" w:hAnsi="Avenir Next LT Pro Light" w:cs="Times New Roman"/>
        </w:rPr>
      </w:pPr>
      <w:r w:rsidRPr="00491F7E">
        <w:rPr>
          <w:rFonts w:ascii="Arial" w:eastAsia="Times New Roman" w:hAnsi="Arial" w:cs="Arial"/>
          <w:b/>
          <w:bCs/>
          <w:caps/>
          <w:kern w:val="32"/>
          <w:sz w:val="24"/>
          <w:szCs w:val="24"/>
        </w:rPr>
        <w:t xml:space="preserve">1.2 case Management Portal </w:t>
      </w:r>
    </w:p>
    <w:p w14:paraId="27CF1D37" w14:textId="77777777" w:rsidR="00491F7E" w:rsidRPr="00491F7E" w:rsidRDefault="00491F7E" w:rsidP="00491F7E">
      <w:pPr>
        <w:widowControl/>
        <w:autoSpaceDE/>
        <w:autoSpaceDN/>
        <w:spacing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Case Management Portal is the primary interface for our customers, providing a range of functions, including access to information, request submissions and tracking, and access to our knowledge base. The portal's integrated features streamline the support experience, with real-time collaboration adding further value. We use a customized GCC High ServiceNow instance for our back-office ITSM functionality, which ensures that customer data is strictly separated by organization. This helps us meet regulatory and compliance requirements, including those that require special background investigations, public clearances, or industry-specific clearance activities. The Case Management Portal was designed with Managed Services customers in mind, offering a centralized location for creating, tracking, managing, and reporting on all service requests. This capability gives customers greater control over their services, enabling us to meet their needs more efficiently and effectively.</w:t>
      </w:r>
    </w:p>
    <w:p w14:paraId="4FA09548" w14:textId="77777777" w:rsidR="00491F7E" w:rsidRPr="00491F7E" w:rsidRDefault="00491F7E" w:rsidP="00491F7E">
      <w:pPr>
        <w:keepNext/>
        <w:widowControl/>
        <w:numPr>
          <w:ilvl w:val="1"/>
          <w:numId w:val="0"/>
        </w:numPr>
        <w:autoSpaceDE/>
        <w:autoSpaceDN/>
        <w:spacing w:before="240" w:after="160" w:line="259" w:lineRule="auto"/>
        <w:ind w:left="129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1.3 Managed Services and Service Management</w:t>
      </w:r>
    </w:p>
    <w:p w14:paraId="5E8BBDE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Managed Core Services are developed and integrated to provide customers with fully instrumented Cloud experience. Our optional services are designed to enhance the customer experience and capabilities by providing discrete capabilities within the SMX Cloud Management Platform. This includes the necessary processes, procedures, tooling, and licensing to deliver predictable results. Our service catalog includes Core, Optional, and Optional Security Services, defined in Table 1 and 2 below. We understand that some customers may have specific business requirements, existing tools, or interoperability needs, and we can accommodate these with custom service integrations. Pricing for custom integrations is separate and tailored to the unique licensing costs and labor required for a tailored solution.</w:t>
      </w:r>
    </w:p>
    <w:p w14:paraId="32002898" w14:textId="77777777" w:rsidR="00491F7E" w:rsidRPr="00491F7E" w:rsidRDefault="00491F7E" w:rsidP="00491F7E">
      <w:pPr>
        <w:keepNext/>
        <w:widowControl/>
        <w:numPr>
          <w:ilvl w:val="1"/>
          <w:numId w:val="0"/>
        </w:numPr>
        <w:autoSpaceDE/>
        <w:autoSpaceDN/>
        <w:spacing w:before="240" w:after="160" w:line="259" w:lineRule="auto"/>
        <w:ind w:left="129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1.4 Cloud Resale and Consolidated Billing</w:t>
      </w:r>
    </w:p>
    <w:p w14:paraId="4B22307A"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The Cloud Resale and Consolidated Billing service provides value-added Cloud Service Expense Management Services, allowing customers to consume Cloud Services through resale from SMX. Customers who use our resale service receive a single consolidated invoice that shows all services used across all managed accounts. The billing detail can be tailored to support the customer's business and </w:t>
      </w:r>
      <w:bookmarkStart w:id="0" w:name="_Int_gcr9uk9g"/>
      <w:r w:rsidRPr="00491F7E">
        <w:rPr>
          <w:rFonts w:ascii="Avenir Next LT Pro Light" w:eastAsia="MS Mincho" w:hAnsi="Avenir Next LT Pro Light" w:cs="Times New Roman"/>
          <w:sz w:val="20"/>
          <w:szCs w:val="20"/>
        </w:rPr>
        <w:t>financial management</w:t>
      </w:r>
      <w:bookmarkEnd w:id="0"/>
      <w:r w:rsidRPr="00491F7E">
        <w:rPr>
          <w:rFonts w:ascii="Avenir Next LT Pro Light" w:eastAsia="MS Mincho" w:hAnsi="Avenir Next LT Pro Light" w:cs="Times New Roman"/>
          <w:sz w:val="20"/>
          <w:szCs w:val="20"/>
        </w:rPr>
        <w:t xml:space="preserve"> needs, including organizational and divisional separation for show-back/chargeback purposes. Additionally, the Cloud Service Expense Management Advisory service (Optional Services) is included in the CRCB as a value-added service to help optimize cloud expense efficiency.</w:t>
      </w:r>
    </w:p>
    <w:p w14:paraId="79AA8951" w14:textId="77777777" w:rsidR="00491F7E" w:rsidRPr="00491F7E" w:rsidRDefault="00491F7E" w:rsidP="00491F7E">
      <w:pPr>
        <w:keepNext/>
        <w:widowControl/>
        <w:autoSpaceDE/>
        <w:autoSpaceDN/>
        <w:spacing w:before="240" w:after="160" w:line="259" w:lineRule="auto"/>
        <w:ind w:left="432" w:hanging="432"/>
        <w:jc w:val="both"/>
        <w:outlineLvl w:val="0"/>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lastRenderedPageBreak/>
        <w:t xml:space="preserve">2 Service Descriptions </w:t>
      </w:r>
    </w:p>
    <w:p w14:paraId="1E62CFD4" w14:textId="3D99F7A7" w:rsidR="00491F7E" w:rsidRPr="00491F7E" w:rsidRDefault="00491F7E" w:rsidP="00491F7E">
      <w:pPr>
        <w:widowControl/>
        <w:autoSpaceDE/>
        <w:autoSpaceDN/>
        <w:spacing w:after="160" w:line="259" w:lineRule="auto"/>
        <w:rPr>
          <w:rFonts w:eastAsia="SimSun" w:cs="Times New Roman"/>
          <w:b/>
          <w:bCs/>
          <w:color w:val="4F81BD"/>
          <w:sz w:val="18"/>
          <w:szCs w:val="18"/>
        </w:rPr>
      </w:pPr>
      <w:r w:rsidRPr="00491F7E">
        <w:rPr>
          <w:rFonts w:ascii="Avenir Next LT Pro Light" w:eastAsia="MS Mincho" w:hAnsi="Avenir Next LT Pro Light" w:cs="Times New Roman"/>
          <w:sz w:val="20"/>
          <w:szCs w:val="20"/>
        </w:rPr>
        <w:t xml:space="preserve">The following sections describe the Core, Optional, Managed Security Services, and Pods and Squads offerings, these are offered in bundled pricing models in section </w:t>
      </w:r>
      <w:r w:rsidRPr="00491F7E">
        <w:rPr>
          <w:rFonts w:ascii="Avenir Next LT Pro Light" w:eastAsia="MS Mincho" w:hAnsi="Avenir Next LT Pro Light" w:cs="Times New Roman"/>
          <w:sz w:val="20"/>
          <w:szCs w:val="20"/>
        </w:rPr>
        <w:fldChar w:fldCharType="begin"/>
      </w:r>
      <w:r w:rsidRPr="00491F7E">
        <w:rPr>
          <w:rFonts w:ascii="Avenir Next LT Pro Light" w:eastAsia="MS Mincho" w:hAnsi="Avenir Next LT Pro Light" w:cs="Times New Roman"/>
          <w:sz w:val="20"/>
          <w:szCs w:val="20"/>
        </w:rPr>
        <w:instrText xml:space="preserve"> REF _Ref118898515 \r \h  \* MERGEFORMAT </w:instrText>
      </w:r>
      <w:r w:rsidRPr="00491F7E">
        <w:rPr>
          <w:rFonts w:ascii="Avenir Next LT Pro Light" w:eastAsia="MS Mincho" w:hAnsi="Avenir Next LT Pro Light" w:cs="Times New Roman"/>
          <w:sz w:val="20"/>
          <w:szCs w:val="20"/>
        </w:rPr>
      </w:r>
      <w:r w:rsidRPr="00491F7E">
        <w:rPr>
          <w:rFonts w:ascii="Avenir Next LT Pro Light" w:eastAsia="MS Mincho" w:hAnsi="Avenir Next LT Pro Light" w:cs="Times New Roman"/>
          <w:sz w:val="20"/>
          <w:szCs w:val="20"/>
        </w:rPr>
        <w:fldChar w:fldCharType="separate"/>
      </w:r>
      <w:r w:rsidR="00A56B90">
        <w:rPr>
          <w:rFonts w:ascii="Avenir Next LT Pro Light" w:eastAsia="MS Mincho" w:hAnsi="Avenir Next LT Pro Light" w:cs="Times New Roman"/>
          <w:sz w:val="20"/>
          <w:szCs w:val="20"/>
        </w:rPr>
        <w:t>0</w:t>
      </w:r>
      <w:r w:rsidRPr="00491F7E">
        <w:rPr>
          <w:rFonts w:ascii="Avenir Next LT Pro Light" w:eastAsia="MS Mincho" w:hAnsi="Avenir Next LT Pro Light" w:cs="Times New Roman"/>
          <w:sz w:val="20"/>
          <w:szCs w:val="20"/>
        </w:rPr>
        <w:fldChar w:fldCharType="end"/>
      </w:r>
      <w:r w:rsidRPr="00491F7E">
        <w:rPr>
          <w:rFonts w:ascii="Avenir Next LT Pro Light" w:eastAsia="MS Mincho" w:hAnsi="Avenir Next LT Pro Light" w:cs="Times New Roman"/>
          <w:sz w:val="20"/>
          <w:szCs w:val="20"/>
        </w:rPr>
        <w:t xml:space="preserve">. </w:t>
      </w:r>
    </w:p>
    <w:tbl>
      <w:tblPr>
        <w:tblStyle w:val="ListTable3-Accent11"/>
        <w:tblW w:w="5000" w:type="pct"/>
        <w:tblLook w:val="04A0" w:firstRow="1" w:lastRow="0" w:firstColumn="1" w:lastColumn="0" w:noHBand="0" w:noVBand="1"/>
      </w:tblPr>
      <w:tblGrid>
        <w:gridCol w:w="4892"/>
        <w:gridCol w:w="4458"/>
      </w:tblGrid>
      <w:tr w:rsidR="00491F7E" w:rsidRPr="00491F7E" w14:paraId="57502679" w14:textId="77777777" w:rsidTr="005E6A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gridSpan w:val="2"/>
            <w:tcBorders>
              <w:top w:val="single" w:sz="4" w:space="0" w:color="002060"/>
              <w:right w:val="single" w:sz="4" w:space="0" w:color="002060"/>
            </w:tcBorders>
            <w:vAlign w:val="center"/>
          </w:tcPr>
          <w:p w14:paraId="4FCBC4F7" w14:textId="77777777" w:rsidR="00491F7E" w:rsidRPr="00491F7E" w:rsidRDefault="00491F7E" w:rsidP="00491F7E">
            <w:pPr>
              <w:jc w:val="center"/>
              <w:rPr>
                <w:rFonts w:eastAsia="MS Mincho" w:cs="Times New Roman"/>
              </w:rPr>
            </w:pPr>
            <w:r w:rsidRPr="00491F7E">
              <w:rPr>
                <w:rFonts w:eastAsia="MS Mincho" w:cs="Times New Roman"/>
              </w:rPr>
              <w:t>Core Account Services (Required)</w:t>
            </w:r>
          </w:p>
        </w:tc>
      </w:tr>
      <w:tr w:rsidR="00491F7E" w:rsidRPr="00491F7E" w14:paraId="03F90C07"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002060"/>
              <w:bottom w:val="nil"/>
            </w:tcBorders>
            <w:vAlign w:val="center"/>
          </w:tcPr>
          <w:p w14:paraId="38E0DBA1" w14:textId="57E902DD" w:rsidR="00491F7E" w:rsidRPr="00491F7E" w:rsidRDefault="00491F7E" w:rsidP="00491F7E">
            <w:pPr>
              <w:ind w:left="870" w:hanging="510"/>
              <w:contextualSpacing/>
              <w:rPr>
                <w:rFonts w:eastAsia="SimSun"/>
              </w:rPr>
            </w:pPr>
            <w:r w:rsidRPr="00491F7E">
              <w:rPr>
                <w:rFonts w:eastAsia="SimSun"/>
              </w:rPr>
              <w:fldChar w:fldCharType="begin"/>
            </w:r>
            <w:r w:rsidRPr="00491F7E">
              <w:rPr>
                <w:rFonts w:eastAsia="SimSun"/>
              </w:rPr>
              <w:instrText xml:space="preserve"> REF _Ref130483473 \h  \* MERGEFORMAT </w:instrText>
            </w:r>
            <w:r w:rsidRPr="00491F7E">
              <w:rPr>
                <w:rFonts w:eastAsia="SimSun"/>
              </w:rPr>
            </w:r>
            <w:r w:rsidRPr="00491F7E">
              <w:rPr>
                <w:rFonts w:eastAsia="SimSun"/>
              </w:rPr>
              <w:fldChar w:fldCharType="separate"/>
            </w:r>
            <w:r w:rsidR="00A56B90" w:rsidRPr="00A56B90">
              <w:rPr>
                <w:rFonts w:eastAsia="SimSun"/>
              </w:rPr>
              <w:t>2.1.1 CSP Account Management</w:t>
            </w:r>
            <w:r w:rsidR="00A56B90" w:rsidRPr="00A56B90">
              <w:rPr>
                <w:rFonts w:eastAsia="MS Gothic"/>
              </w:rPr>
              <w:t xml:space="preserve"> Services</w:t>
            </w:r>
            <w:r w:rsidRPr="00491F7E">
              <w:rPr>
                <w:rFonts w:eastAsia="SimSun"/>
              </w:rPr>
              <w:fldChar w:fldCharType="end"/>
            </w:r>
          </w:p>
        </w:tc>
        <w:tc>
          <w:tcPr>
            <w:tcW w:w="0" w:type="pct"/>
            <w:tcBorders>
              <w:top w:val="nil"/>
              <w:left w:val="nil"/>
              <w:bottom w:val="nil"/>
              <w:right w:val="single" w:sz="4" w:space="0" w:color="002060"/>
            </w:tcBorders>
            <w:vAlign w:val="center"/>
          </w:tcPr>
          <w:p w14:paraId="25568A01" w14:textId="42AE10FE" w:rsidR="00491F7E" w:rsidRPr="00491F7E" w:rsidRDefault="00491F7E" w:rsidP="00491F7E">
            <w:pPr>
              <w:ind w:left="810" w:hanging="450"/>
              <w:cnfStyle w:val="000000100000" w:firstRow="0" w:lastRow="0" w:firstColumn="0" w:lastColumn="0" w:oddVBand="0" w:evenVBand="0" w:oddHBand="1" w:evenHBand="0" w:firstRowFirstColumn="0" w:firstRowLastColumn="0" w:lastRowFirstColumn="0" w:lastRowLastColumn="0"/>
              <w:rPr>
                <w:rFonts w:eastAsia="MS Mincho"/>
              </w:rPr>
            </w:pPr>
            <w:r w:rsidRPr="00491F7E">
              <w:rPr>
                <w:rFonts w:eastAsia="MS Mincho"/>
              </w:rPr>
              <w:fldChar w:fldCharType="begin"/>
            </w:r>
            <w:r w:rsidRPr="00491F7E">
              <w:rPr>
                <w:rFonts w:eastAsia="MS Mincho"/>
              </w:rPr>
              <w:instrText xml:space="preserve"> REF _Ref130483688 \h  \* MERGEFORMAT </w:instrText>
            </w:r>
            <w:r w:rsidRPr="00491F7E">
              <w:rPr>
                <w:rFonts w:eastAsia="MS Mincho"/>
              </w:rPr>
            </w:r>
            <w:r w:rsidRPr="00491F7E">
              <w:rPr>
                <w:rFonts w:eastAsia="MS Mincho"/>
              </w:rPr>
              <w:fldChar w:fldCharType="separate"/>
            </w:r>
            <w:r w:rsidR="00A56B90" w:rsidRPr="00A56B90">
              <w:rPr>
                <w:rFonts w:eastAsia="MS Mincho"/>
              </w:rPr>
              <w:t>2.1.5 Boundary and Network</w:t>
            </w:r>
            <w:r w:rsidR="00A56B90" w:rsidRPr="00A56B90">
              <w:rPr>
                <w:rFonts w:eastAsia="MS Gothic"/>
              </w:rPr>
              <w:t xml:space="preserve"> Management</w:t>
            </w:r>
            <w:r w:rsidRPr="00491F7E">
              <w:rPr>
                <w:rFonts w:eastAsia="MS Mincho"/>
              </w:rPr>
              <w:fldChar w:fldCharType="end"/>
            </w:r>
          </w:p>
        </w:tc>
      </w:tr>
      <w:tr w:rsidR="00491F7E" w:rsidRPr="00491F7E" w14:paraId="5D62CA98" w14:textId="77777777" w:rsidTr="005E6AC4">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002060"/>
              <w:bottom w:val="nil"/>
            </w:tcBorders>
            <w:vAlign w:val="center"/>
          </w:tcPr>
          <w:p w14:paraId="044F1CD9" w14:textId="3D96D3E2" w:rsidR="00491F7E" w:rsidRPr="00491F7E" w:rsidRDefault="00491F7E" w:rsidP="00491F7E">
            <w:pPr>
              <w:ind w:left="870" w:hanging="510"/>
              <w:contextualSpacing/>
              <w:rPr>
                <w:rFonts w:eastAsia="SimSun"/>
              </w:rPr>
            </w:pPr>
            <w:r w:rsidRPr="00491F7E">
              <w:rPr>
                <w:rFonts w:eastAsia="SimSun"/>
              </w:rPr>
              <w:fldChar w:fldCharType="begin"/>
            </w:r>
            <w:r w:rsidRPr="00491F7E">
              <w:rPr>
                <w:rFonts w:eastAsia="SimSun"/>
              </w:rPr>
              <w:instrText xml:space="preserve"> REF _Ref130483666 \h  \* MERGEFORMAT </w:instrText>
            </w:r>
            <w:r w:rsidRPr="00491F7E">
              <w:rPr>
                <w:rFonts w:eastAsia="SimSun"/>
              </w:rPr>
            </w:r>
            <w:r w:rsidRPr="00491F7E">
              <w:rPr>
                <w:rFonts w:eastAsia="SimSun"/>
              </w:rPr>
              <w:fldChar w:fldCharType="separate"/>
            </w:r>
            <w:r w:rsidR="00A56B90" w:rsidRPr="00A56B90">
              <w:rPr>
                <w:rFonts w:eastAsia="SimSun"/>
              </w:rPr>
              <w:t>2.1.2 Infrastructure Service Incident</w:t>
            </w:r>
            <w:r w:rsidR="00A56B90" w:rsidRPr="00A56B90">
              <w:rPr>
                <w:rFonts w:eastAsia="MS Gothic"/>
              </w:rPr>
              <w:t xml:space="preserve"> Management</w:t>
            </w:r>
            <w:r w:rsidRPr="00491F7E">
              <w:rPr>
                <w:rFonts w:eastAsia="SimSun"/>
              </w:rPr>
              <w:fldChar w:fldCharType="end"/>
            </w:r>
          </w:p>
        </w:tc>
        <w:tc>
          <w:tcPr>
            <w:tcW w:w="0" w:type="pct"/>
            <w:tcBorders>
              <w:top w:val="nil"/>
              <w:left w:val="nil"/>
              <w:bottom w:val="nil"/>
              <w:right w:val="single" w:sz="4" w:space="0" w:color="002060"/>
            </w:tcBorders>
            <w:vAlign w:val="center"/>
          </w:tcPr>
          <w:p w14:paraId="6A125C10" w14:textId="24A4DFDB" w:rsidR="00491F7E" w:rsidRPr="00491F7E" w:rsidRDefault="00491F7E" w:rsidP="00491F7E">
            <w:pPr>
              <w:ind w:left="810" w:hanging="450"/>
              <w:contextualSpacing/>
              <w:cnfStyle w:val="000000000000" w:firstRow="0" w:lastRow="0" w:firstColumn="0" w:lastColumn="0" w:oddVBand="0" w:evenVBand="0" w:oddHBand="0"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_Ref130483699 \h  \* MERGEFORMAT </w:instrText>
            </w:r>
            <w:r w:rsidRPr="00491F7E">
              <w:rPr>
                <w:rFonts w:eastAsia="SimSun"/>
              </w:rPr>
            </w:r>
            <w:r w:rsidRPr="00491F7E">
              <w:rPr>
                <w:rFonts w:eastAsia="SimSun"/>
              </w:rPr>
              <w:fldChar w:fldCharType="separate"/>
            </w:r>
            <w:r w:rsidR="00A56B90" w:rsidRPr="00A56B90">
              <w:rPr>
                <w:rFonts w:eastAsia="SimSun"/>
              </w:rPr>
              <w:t>Infrastructure Provisioning</w:t>
            </w:r>
            <w:r w:rsidRPr="00491F7E">
              <w:rPr>
                <w:rFonts w:eastAsia="SimSun"/>
              </w:rPr>
              <w:fldChar w:fldCharType="end"/>
            </w:r>
          </w:p>
        </w:tc>
      </w:tr>
      <w:tr w:rsidR="00491F7E" w:rsidRPr="00491F7E" w14:paraId="5FF7719A"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002060"/>
              <w:bottom w:val="nil"/>
            </w:tcBorders>
            <w:vAlign w:val="center"/>
          </w:tcPr>
          <w:p w14:paraId="320321EE" w14:textId="1B0F49DD" w:rsidR="00491F7E" w:rsidRPr="00491F7E" w:rsidRDefault="00491F7E" w:rsidP="00491F7E">
            <w:pPr>
              <w:ind w:left="870" w:hanging="510"/>
              <w:contextualSpacing/>
              <w:rPr>
                <w:rFonts w:eastAsia="SimSun"/>
              </w:rPr>
            </w:pPr>
            <w:r w:rsidRPr="00491F7E">
              <w:rPr>
                <w:rFonts w:eastAsia="SimSun"/>
              </w:rPr>
              <w:fldChar w:fldCharType="begin"/>
            </w:r>
            <w:r w:rsidRPr="00491F7E">
              <w:rPr>
                <w:rFonts w:eastAsia="SimSun"/>
              </w:rPr>
              <w:instrText xml:space="preserve"> REF _Ref130483673 \h  \* MERGEFORMAT </w:instrText>
            </w:r>
            <w:r w:rsidRPr="00491F7E">
              <w:rPr>
                <w:rFonts w:eastAsia="SimSun"/>
              </w:rPr>
            </w:r>
            <w:r w:rsidRPr="00491F7E">
              <w:rPr>
                <w:rFonts w:eastAsia="SimSun"/>
              </w:rPr>
              <w:fldChar w:fldCharType="separate"/>
            </w:r>
            <w:r w:rsidR="00A56B90" w:rsidRPr="00A56B90">
              <w:rPr>
                <w:rFonts w:eastAsia="SimSun"/>
              </w:rPr>
              <w:t xml:space="preserve">     2.1.3 SLA </w:t>
            </w:r>
            <w:r w:rsidR="00A56B90" w:rsidRPr="00491F7E">
              <w:rPr>
                <w:rFonts w:ascii="Arial" w:eastAsia="MS Gothic" w:hAnsi="Arial" w:cs="Times New Roman"/>
                <w:sz w:val="24"/>
                <w:szCs w:val="24"/>
              </w:rPr>
              <w:t>Management</w:t>
            </w:r>
            <w:r w:rsidRPr="00491F7E">
              <w:rPr>
                <w:rFonts w:eastAsia="SimSun"/>
              </w:rPr>
              <w:fldChar w:fldCharType="end"/>
            </w:r>
          </w:p>
        </w:tc>
        <w:tc>
          <w:tcPr>
            <w:tcW w:w="0" w:type="pct"/>
            <w:tcBorders>
              <w:top w:val="nil"/>
              <w:left w:val="nil"/>
              <w:bottom w:val="nil"/>
              <w:right w:val="single" w:sz="4" w:space="0" w:color="002060"/>
            </w:tcBorders>
            <w:vAlign w:val="center"/>
          </w:tcPr>
          <w:p w14:paraId="3D3972D7" w14:textId="517B8977" w:rsidR="00491F7E" w:rsidRPr="00491F7E" w:rsidRDefault="00491F7E" w:rsidP="00491F7E">
            <w:pPr>
              <w:ind w:left="810" w:hanging="450"/>
              <w:contextualSpacing/>
              <w:cnfStyle w:val="000000100000" w:firstRow="0" w:lastRow="0" w:firstColumn="0" w:lastColumn="0" w:oddVBand="0" w:evenVBand="0" w:oddHBand="1"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_Ref130483710 \h  \* MERGEFORMAT </w:instrText>
            </w:r>
            <w:r w:rsidRPr="00491F7E">
              <w:rPr>
                <w:rFonts w:eastAsia="SimSun"/>
              </w:rPr>
            </w:r>
            <w:r w:rsidRPr="00491F7E">
              <w:rPr>
                <w:rFonts w:eastAsia="SimSun"/>
              </w:rPr>
              <w:fldChar w:fldCharType="separate"/>
            </w:r>
            <w:r w:rsidR="00A56B90" w:rsidRPr="00A56B90">
              <w:rPr>
                <w:rFonts w:eastAsia="SimSun"/>
              </w:rPr>
              <w:t xml:space="preserve">2.1.7 Serverless Compliance, Logging, and Real-Time </w:t>
            </w:r>
            <w:r w:rsidR="00A56B90" w:rsidRPr="00A56B90">
              <w:rPr>
                <w:rFonts w:eastAsia="MS Gothic"/>
              </w:rPr>
              <w:t xml:space="preserve">Monitoring </w:t>
            </w:r>
            <w:r w:rsidRPr="00491F7E">
              <w:rPr>
                <w:rFonts w:eastAsia="SimSun"/>
              </w:rPr>
              <w:fldChar w:fldCharType="end"/>
            </w:r>
          </w:p>
        </w:tc>
      </w:tr>
      <w:tr w:rsidR="00491F7E" w:rsidRPr="00491F7E" w14:paraId="482A7B58" w14:textId="77777777" w:rsidTr="005E6AC4">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002060"/>
              <w:bottom w:val="nil"/>
            </w:tcBorders>
            <w:vAlign w:val="center"/>
          </w:tcPr>
          <w:p w14:paraId="32CE166F" w14:textId="7D5BFADC" w:rsidR="00491F7E" w:rsidRPr="00491F7E" w:rsidRDefault="00491F7E" w:rsidP="00491F7E">
            <w:pPr>
              <w:ind w:left="870" w:hanging="510"/>
              <w:contextualSpacing/>
              <w:rPr>
                <w:rFonts w:eastAsia="SimSun"/>
              </w:rPr>
            </w:pPr>
            <w:r w:rsidRPr="00491F7E">
              <w:rPr>
                <w:rFonts w:eastAsia="SimSun"/>
              </w:rPr>
              <w:fldChar w:fldCharType="begin"/>
            </w:r>
            <w:r w:rsidRPr="00491F7E">
              <w:rPr>
                <w:rFonts w:eastAsia="SimSun"/>
              </w:rPr>
              <w:instrText xml:space="preserve"> REF _Ref130483680 \h  \* MERGEFORMAT </w:instrText>
            </w:r>
            <w:r w:rsidRPr="00491F7E">
              <w:rPr>
                <w:rFonts w:eastAsia="SimSun"/>
              </w:rPr>
            </w:r>
            <w:r w:rsidRPr="00491F7E">
              <w:rPr>
                <w:rFonts w:eastAsia="SimSun"/>
              </w:rPr>
              <w:fldChar w:fldCharType="separate"/>
            </w:r>
            <w:r w:rsidR="00A56B90" w:rsidRPr="00A56B90">
              <w:rPr>
                <w:rFonts w:eastAsia="SimSun"/>
              </w:rPr>
              <w:t xml:space="preserve">               2.1.4 Log Aggregation </w:t>
            </w:r>
            <w:r w:rsidR="00A56B90" w:rsidRPr="00491F7E">
              <w:rPr>
                <w:rFonts w:ascii="Arial" w:eastAsia="MS Gothic" w:hAnsi="Arial" w:cs="Times New Roman"/>
                <w:sz w:val="24"/>
                <w:szCs w:val="24"/>
              </w:rPr>
              <w:t>Service</w:t>
            </w:r>
            <w:r w:rsidRPr="00491F7E">
              <w:rPr>
                <w:rFonts w:eastAsia="SimSun"/>
              </w:rPr>
              <w:fldChar w:fldCharType="end"/>
            </w:r>
          </w:p>
        </w:tc>
        <w:tc>
          <w:tcPr>
            <w:tcW w:w="0" w:type="pct"/>
            <w:tcBorders>
              <w:top w:val="nil"/>
              <w:left w:val="nil"/>
              <w:bottom w:val="nil"/>
              <w:right w:val="single" w:sz="4" w:space="0" w:color="002060"/>
            </w:tcBorders>
            <w:vAlign w:val="center"/>
          </w:tcPr>
          <w:p w14:paraId="273F72F9" w14:textId="01AC6AC6" w:rsidR="00491F7E" w:rsidRPr="00491F7E" w:rsidRDefault="00491F7E" w:rsidP="00491F7E">
            <w:pPr>
              <w:ind w:left="810" w:hanging="450"/>
              <w:contextualSpacing/>
              <w:cnfStyle w:val="000000000000" w:firstRow="0" w:lastRow="0" w:firstColumn="0" w:lastColumn="0" w:oddVBand="0" w:evenVBand="0" w:oddHBand="0"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_Ref130483717 \h  \* MERGEFORMAT </w:instrText>
            </w:r>
            <w:r w:rsidRPr="00491F7E">
              <w:rPr>
                <w:rFonts w:eastAsia="SimSun"/>
              </w:rPr>
            </w:r>
            <w:r w:rsidRPr="00491F7E">
              <w:rPr>
                <w:rFonts w:eastAsia="SimSun"/>
              </w:rPr>
              <w:fldChar w:fldCharType="separate"/>
            </w:r>
            <w:r w:rsidR="00A56B90" w:rsidRPr="00A56B90">
              <w:rPr>
                <w:rFonts w:eastAsia="SimSun"/>
              </w:rPr>
              <w:t>2.1.8 Container Service Monitoring (</w:t>
            </w:r>
            <w:r w:rsidR="00A56B90" w:rsidRPr="00A56B90">
              <w:rPr>
                <w:rFonts w:eastAsia="MS Gothic"/>
              </w:rPr>
              <w:t>ECSM)</w:t>
            </w:r>
            <w:r w:rsidRPr="00491F7E">
              <w:rPr>
                <w:rFonts w:eastAsia="SimSun"/>
              </w:rPr>
              <w:fldChar w:fldCharType="end"/>
            </w:r>
          </w:p>
        </w:tc>
      </w:tr>
      <w:tr w:rsidR="00491F7E" w:rsidRPr="00491F7E" w14:paraId="1DDB5AF5"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tcBorders>
              <w:bottom w:val="nil"/>
              <w:right w:val="single" w:sz="4" w:space="0" w:color="002060"/>
            </w:tcBorders>
            <w:shd w:val="clear" w:color="auto" w:fill="002060"/>
            <w:vAlign w:val="center"/>
          </w:tcPr>
          <w:p w14:paraId="20CAC459" w14:textId="77777777" w:rsidR="00491F7E" w:rsidRPr="00491F7E" w:rsidRDefault="00491F7E" w:rsidP="00491F7E">
            <w:pPr>
              <w:jc w:val="center"/>
              <w:rPr>
                <w:rFonts w:eastAsia="MS Mincho"/>
                <w:color w:val="FFFFFF"/>
              </w:rPr>
            </w:pPr>
            <w:r w:rsidRPr="00491F7E">
              <w:rPr>
                <w:rFonts w:eastAsia="MS Mincho"/>
                <w:color w:val="FFFFFF"/>
              </w:rPr>
              <w:t>Core Services for Managed Instances</w:t>
            </w:r>
          </w:p>
        </w:tc>
      </w:tr>
      <w:tr w:rsidR="00491F7E" w:rsidRPr="00491F7E" w14:paraId="5C520785" w14:textId="77777777" w:rsidTr="005E6AC4">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002060"/>
              <w:bottom w:val="nil"/>
            </w:tcBorders>
            <w:vAlign w:val="center"/>
          </w:tcPr>
          <w:p w14:paraId="033D2D91" w14:textId="4838FF7C" w:rsidR="00491F7E" w:rsidRPr="00491F7E" w:rsidRDefault="00491F7E" w:rsidP="00491F7E">
            <w:pPr>
              <w:ind w:left="360"/>
              <w:contextualSpacing/>
              <w:rPr>
                <w:rFonts w:eastAsia="SimSun"/>
              </w:rPr>
            </w:pPr>
            <w:r w:rsidRPr="00491F7E">
              <w:rPr>
                <w:rFonts w:eastAsia="SimSun"/>
              </w:rPr>
              <w:fldChar w:fldCharType="begin"/>
            </w:r>
            <w:r w:rsidRPr="00491F7E">
              <w:rPr>
                <w:rFonts w:eastAsia="SimSun"/>
              </w:rPr>
              <w:instrText xml:space="preserve"> REF _Ref130483738 \h  \* MERGEFORMAT </w:instrText>
            </w:r>
            <w:r w:rsidRPr="00491F7E">
              <w:rPr>
                <w:rFonts w:eastAsia="SimSun"/>
              </w:rPr>
            </w:r>
            <w:r w:rsidRPr="00491F7E">
              <w:rPr>
                <w:rFonts w:eastAsia="SimSun"/>
              </w:rPr>
              <w:fldChar w:fldCharType="separate"/>
            </w:r>
            <w:r w:rsidR="00A56B90" w:rsidRPr="00A56B90">
              <w:rPr>
                <w:rFonts w:eastAsia="SimSun"/>
              </w:rPr>
              <w:t>2.2.1 Monitoring and Notification</w:t>
            </w:r>
            <w:r w:rsidR="00A56B90" w:rsidRPr="00A56B90">
              <w:rPr>
                <w:rFonts w:eastAsia="MS Gothic"/>
              </w:rPr>
              <w:t xml:space="preserve"> Service</w:t>
            </w:r>
            <w:r w:rsidRPr="00491F7E">
              <w:rPr>
                <w:rFonts w:eastAsia="SimSun"/>
              </w:rPr>
              <w:fldChar w:fldCharType="end"/>
            </w:r>
          </w:p>
        </w:tc>
        <w:tc>
          <w:tcPr>
            <w:tcW w:w="0" w:type="pct"/>
            <w:tcBorders>
              <w:top w:val="nil"/>
              <w:left w:val="nil"/>
              <w:bottom w:val="nil"/>
              <w:right w:val="single" w:sz="4" w:space="0" w:color="002060"/>
            </w:tcBorders>
            <w:vAlign w:val="center"/>
          </w:tcPr>
          <w:p w14:paraId="5D09CEDE" w14:textId="5B2C0FD1" w:rsidR="00491F7E" w:rsidRPr="00491F7E" w:rsidRDefault="00491F7E" w:rsidP="00491F7E">
            <w:pPr>
              <w:ind w:left="360"/>
              <w:contextualSpacing/>
              <w:cnfStyle w:val="000000000000" w:firstRow="0" w:lastRow="0" w:firstColumn="0" w:lastColumn="0" w:oddVBand="0" w:evenVBand="0" w:oddHBand="0"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_Ref130483773 \h  \* MERGEFORMAT </w:instrText>
            </w:r>
            <w:r w:rsidRPr="00491F7E">
              <w:rPr>
                <w:rFonts w:eastAsia="SimSun"/>
              </w:rPr>
            </w:r>
            <w:r w:rsidRPr="00491F7E">
              <w:rPr>
                <w:rFonts w:eastAsia="SimSun"/>
              </w:rPr>
              <w:fldChar w:fldCharType="separate"/>
            </w:r>
            <w:r w:rsidR="00A56B90" w:rsidRPr="00A56B90">
              <w:rPr>
                <w:rFonts w:eastAsia="SimSun"/>
              </w:rPr>
              <w:t>2.2.3 Anti-malware Management</w:t>
            </w:r>
            <w:r w:rsidR="00A56B90" w:rsidRPr="00A56B90">
              <w:rPr>
                <w:rFonts w:eastAsia="MS Gothic"/>
              </w:rPr>
              <w:t xml:space="preserve"> Service</w:t>
            </w:r>
            <w:r w:rsidRPr="00491F7E">
              <w:rPr>
                <w:rFonts w:eastAsia="SimSun"/>
              </w:rPr>
              <w:fldChar w:fldCharType="end"/>
            </w:r>
          </w:p>
        </w:tc>
      </w:tr>
      <w:tr w:rsidR="00491F7E" w:rsidRPr="00491F7E" w14:paraId="0DF839FB"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left w:val="single" w:sz="4" w:space="0" w:color="002060"/>
            </w:tcBorders>
            <w:vAlign w:val="center"/>
          </w:tcPr>
          <w:p w14:paraId="51F7673C" w14:textId="5A95102C" w:rsidR="00491F7E" w:rsidRPr="00491F7E" w:rsidRDefault="00491F7E" w:rsidP="00491F7E">
            <w:pPr>
              <w:ind w:left="360"/>
              <w:contextualSpacing/>
              <w:rPr>
                <w:rFonts w:eastAsia="SimSun"/>
              </w:rPr>
            </w:pPr>
            <w:r w:rsidRPr="00491F7E">
              <w:rPr>
                <w:rFonts w:eastAsia="SimSun"/>
              </w:rPr>
              <w:fldChar w:fldCharType="begin"/>
            </w:r>
            <w:r w:rsidRPr="00491F7E">
              <w:rPr>
                <w:rFonts w:eastAsia="SimSun"/>
              </w:rPr>
              <w:instrText xml:space="preserve"> REF _Ref130483766 \h  \* MERGEFORMAT </w:instrText>
            </w:r>
            <w:r w:rsidRPr="00491F7E">
              <w:rPr>
                <w:rFonts w:eastAsia="SimSun"/>
              </w:rPr>
            </w:r>
            <w:r w:rsidRPr="00491F7E">
              <w:rPr>
                <w:rFonts w:eastAsia="SimSun"/>
              </w:rPr>
              <w:fldChar w:fldCharType="separate"/>
            </w:r>
            <w:r w:rsidR="00A56B90" w:rsidRPr="00A56B90">
              <w:rPr>
                <w:rFonts w:eastAsia="SimSun"/>
              </w:rPr>
              <w:t>2.2.2 Operating System Patch</w:t>
            </w:r>
            <w:r w:rsidR="00A56B90" w:rsidRPr="00A56B90">
              <w:rPr>
                <w:rFonts w:eastAsia="MS Gothic"/>
              </w:rPr>
              <w:t xml:space="preserve"> Management</w:t>
            </w:r>
            <w:r w:rsidRPr="00491F7E">
              <w:rPr>
                <w:rFonts w:eastAsia="SimSun"/>
              </w:rPr>
              <w:fldChar w:fldCharType="end"/>
            </w:r>
          </w:p>
        </w:tc>
        <w:tc>
          <w:tcPr>
            <w:tcW w:w="0" w:type="pct"/>
            <w:tcBorders>
              <w:top w:val="nil"/>
              <w:left w:val="nil"/>
              <w:right w:val="single" w:sz="4" w:space="0" w:color="002060"/>
            </w:tcBorders>
            <w:vAlign w:val="center"/>
          </w:tcPr>
          <w:p w14:paraId="1B40548C" w14:textId="40AD7C8F" w:rsidR="00491F7E" w:rsidRPr="00491F7E" w:rsidRDefault="00491F7E" w:rsidP="00491F7E">
            <w:pPr>
              <w:ind w:left="360"/>
              <w:contextualSpacing/>
              <w:cnfStyle w:val="000000100000" w:firstRow="0" w:lastRow="0" w:firstColumn="0" w:lastColumn="0" w:oddVBand="0" w:evenVBand="0" w:oddHBand="1"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_Ref130483780 \h  \* MERGEFORMAT </w:instrText>
            </w:r>
            <w:r w:rsidRPr="00491F7E">
              <w:rPr>
                <w:rFonts w:eastAsia="SimSun"/>
              </w:rPr>
            </w:r>
            <w:r w:rsidRPr="00491F7E">
              <w:rPr>
                <w:rFonts w:eastAsia="SimSun"/>
              </w:rPr>
              <w:fldChar w:fldCharType="separate"/>
            </w:r>
            <w:r w:rsidR="00A56B90" w:rsidRPr="00A56B90">
              <w:rPr>
                <w:rFonts w:eastAsia="SimSun"/>
              </w:rPr>
              <w:t>2.2.4 Backup</w:t>
            </w:r>
            <w:r w:rsidR="00A56B90" w:rsidRPr="00A56B90">
              <w:rPr>
                <w:rFonts w:eastAsia="MS Gothic"/>
              </w:rPr>
              <w:t xml:space="preserve"> Service</w:t>
            </w:r>
            <w:r w:rsidRPr="00491F7E">
              <w:rPr>
                <w:rFonts w:eastAsia="SimSun"/>
              </w:rPr>
              <w:fldChar w:fldCharType="end"/>
            </w:r>
          </w:p>
        </w:tc>
      </w:tr>
    </w:tbl>
    <w:p w14:paraId="06D511BA" w14:textId="5CB9D63B" w:rsidR="00491F7E" w:rsidRPr="00491F7E" w:rsidRDefault="00491F7E" w:rsidP="00491F7E">
      <w:pPr>
        <w:widowControl/>
        <w:autoSpaceDE/>
        <w:autoSpaceDN/>
        <w:spacing w:after="200" w:line="259" w:lineRule="auto"/>
        <w:jc w:val="center"/>
        <w:rPr>
          <w:rFonts w:eastAsia="SimSun" w:cs="Times New Roman"/>
          <w:b/>
          <w:bCs/>
          <w:color w:val="4F81BD"/>
          <w:sz w:val="18"/>
          <w:szCs w:val="18"/>
        </w:rPr>
      </w:pPr>
      <w:bookmarkStart w:id="1" w:name="_Ref120881479"/>
      <w:r w:rsidRPr="00491F7E">
        <w:rPr>
          <w:rFonts w:eastAsia="SimSun" w:cs="Times New Roman"/>
          <w:b/>
          <w:bCs/>
          <w:color w:val="4F81BD"/>
          <w:sz w:val="18"/>
          <w:szCs w:val="18"/>
        </w:rPr>
        <w:t xml:space="preserve">Table </w:t>
      </w:r>
      <w:r w:rsidRPr="00491F7E">
        <w:rPr>
          <w:rFonts w:eastAsia="SimSun" w:cs="Times New Roman"/>
          <w:b/>
          <w:bCs/>
          <w:color w:val="4F81BD"/>
          <w:sz w:val="18"/>
          <w:szCs w:val="18"/>
        </w:rPr>
        <w:fldChar w:fldCharType="begin"/>
      </w:r>
      <w:r w:rsidRPr="00491F7E">
        <w:rPr>
          <w:rFonts w:eastAsia="SimSun" w:cs="Times New Roman"/>
          <w:b/>
          <w:bCs/>
          <w:color w:val="4F81BD"/>
          <w:sz w:val="18"/>
          <w:szCs w:val="18"/>
        </w:rPr>
        <w:instrText>SEQ Table \* ARABIC</w:instrText>
      </w:r>
      <w:r w:rsidRPr="00491F7E">
        <w:rPr>
          <w:rFonts w:eastAsia="SimSun" w:cs="Times New Roman"/>
          <w:b/>
          <w:bCs/>
          <w:color w:val="4F81BD"/>
          <w:sz w:val="18"/>
          <w:szCs w:val="18"/>
        </w:rPr>
        <w:fldChar w:fldCharType="separate"/>
      </w:r>
      <w:r w:rsidR="00A56B90">
        <w:rPr>
          <w:rFonts w:eastAsia="SimSun" w:cs="Times New Roman"/>
          <w:b/>
          <w:bCs/>
          <w:noProof/>
          <w:color w:val="4F81BD"/>
          <w:sz w:val="18"/>
          <w:szCs w:val="18"/>
        </w:rPr>
        <w:t>1</w:t>
      </w:r>
      <w:r w:rsidRPr="00491F7E">
        <w:rPr>
          <w:rFonts w:eastAsia="SimSun" w:cs="Times New Roman"/>
          <w:b/>
          <w:bCs/>
          <w:color w:val="4F81BD"/>
          <w:sz w:val="18"/>
          <w:szCs w:val="18"/>
        </w:rPr>
        <w:fldChar w:fldCharType="end"/>
      </w:r>
      <w:bookmarkEnd w:id="1"/>
      <w:r w:rsidRPr="00491F7E">
        <w:rPr>
          <w:rFonts w:eastAsia="SimSun" w:cs="Times New Roman"/>
          <w:b/>
          <w:bCs/>
          <w:color w:val="4F81BD"/>
          <w:sz w:val="18"/>
          <w:szCs w:val="18"/>
        </w:rPr>
        <w:t xml:space="preserve">. Elevate Core Managed Services </w:t>
      </w:r>
    </w:p>
    <w:p w14:paraId="3715C13F"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p>
    <w:tbl>
      <w:tblPr>
        <w:tblStyle w:val="ListTable3-Accent11"/>
        <w:tblW w:w="8589" w:type="dxa"/>
        <w:tblLook w:val="04A0" w:firstRow="1" w:lastRow="0" w:firstColumn="1" w:lastColumn="0" w:noHBand="0" w:noVBand="1"/>
      </w:tblPr>
      <w:tblGrid>
        <w:gridCol w:w="4133"/>
        <w:gridCol w:w="271"/>
        <w:gridCol w:w="4185"/>
      </w:tblGrid>
      <w:tr w:rsidR="00491F7E" w:rsidRPr="00491F7E" w14:paraId="6AE86265" w14:textId="77777777" w:rsidTr="005E6AC4">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4133" w:type="dxa"/>
            <w:tcBorders>
              <w:bottom w:val="single" w:sz="4" w:space="0" w:color="002060"/>
            </w:tcBorders>
            <w:vAlign w:val="bottom"/>
            <w:hideMark/>
          </w:tcPr>
          <w:p w14:paraId="58A35BF6" w14:textId="77777777" w:rsidR="00491F7E" w:rsidRPr="00491F7E" w:rsidRDefault="00491F7E" w:rsidP="00491F7E">
            <w:pPr>
              <w:jc w:val="center"/>
              <w:rPr>
                <w:rFonts w:eastAsia="MS Mincho" w:cs="Times New Roman"/>
              </w:rPr>
            </w:pPr>
            <w:r w:rsidRPr="00491F7E">
              <w:rPr>
                <w:rFonts w:eastAsia="MS Mincho" w:cs="Times New Roman"/>
              </w:rPr>
              <w:t>Optional Managed Services</w:t>
            </w:r>
          </w:p>
        </w:tc>
        <w:tc>
          <w:tcPr>
            <w:tcW w:w="271" w:type="dxa"/>
            <w:tcBorders>
              <w:bottom w:val="nil"/>
            </w:tcBorders>
            <w:vAlign w:val="bottom"/>
            <w:hideMark/>
          </w:tcPr>
          <w:p w14:paraId="0E0BD08D" w14:textId="77777777" w:rsidR="00491F7E" w:rsidRPr="00491F7E" w:rsidRDefault="00491F7E" w:rsidP="00491F7E">
            <w:pPr>
              <w:jc w:val="center"/>
              <w:cnfStyle w:val="100000000000" w:firstRow="1" w:lastRow="0" w:firstColumn="0" w:lastColumn="0" w:oddVBand="0" w:evenVBand="0" w:oddHBand="0" w:evenHBand="0" w:firstRowFirstColumn="0" w:firstRowLastColumn="0" w:lastRowFirstColumn="0" w:lastRowLastColumn="0"/>
              <w:rPr>
                <w:rFonts w:eastAsia="MS Mincho" w:cs="Times New Roman"/>
              </w:rPr>
            </w:pPr>
          </w:p>
        </w:tc>
        <w:tc>
          <w:tcPr>
            <w:tcW w:w="4185" w:type="dxa"/>
            <w:tcBorders>
              <w:bottom w:val="single" w:sz="4" w:space="0" w:color="002060"/>
            </w:tcBorders>
            <w:vAlign w:val="bottom"/>
            <w:hideMark/>
          </w:tcPr>
          <w:p w14:paraId="764C5F13" w14:textId="77777777" w:rsidR="00491F7E" w:rsidRPr="00491F7E" w:rsidRDefault="00491F7E" w:rsidP="00491F7E">
            <w:pPr>
              <w:jc w:val="center"/>
              <w:cnfStyle w:val="100000000000" w:firstRow="1" w:lastRow="0" w:firstColumn="0" w:lastColumn="0" w:oddVBand="0" w:evenVBand="0" w:oddHBand="0" w:evenHBand="0" w:firstRowFirstColumn="0" w:firstRowLastColumn="0" w:lastRowFirstColumn="0" w:lastRowLastColumn="0"/>
              <w:rPr>
                <w:rFonts w:eastAsia="MS Mincho" w:cs="Times New Roman"/>
              </w:rPr>
            </w:pPr>
            <w:r w:rsidRPr="00491F7E">
              <w:rPr>
                <w:rFonts w:eastAsia="MS Mincho" w:cs="Times New Roman"/>
              </w:rPr>
              <w:t>Optional Managed Security Services</w:t>
            </w:r>
          </w:p>
        </w:tc>
      </w:tr>
      <w:tr w:rsidR="00491F7E" w:rsidRPr="00491F7E" w14:paraId="1C52A2B4" w14:textId="77777777" w:rsidTr="005E6AC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33" w:type="dxa"/>
            <w:tcBorders>
              <w:bottom w:val="nil"/>
            </w:tcBorders>
            <w:hideMark/>
          </w:tcPr>
          <w:p w14:paraId="7013BEB0" w14:textId="6015256F" w:rsidR="00491F7E" w:rsidRPr="00491F7E" w:rsidRDefault="00491F7E" w:rsidP="00491F7E">
            <w:pPr>
              <w:ind w:left="780" w:hanging="420"/>
              <w:contextualSpacing/>
              <w:rPr>
                <w:rFonts w:eastAsia="SimSun"/>
              </w:rPr>
            </w:pPr>
            <w:r w:rsidRPr="00491F7E">
              <w:rPr>
                <w:rFonts w:eastAsia="SimSun"/>
              </w:rPr>
              <w:fldChar w:fldCharType="begin"/>
            </w:r>
            <w:r w:rsidRPr="00491F7E">
              <w:rPr>
                <w:rFonts w:eastAsia="SimSun"/>
              </w:rPr>
              <w:instrText xml:space="preserve"> REF _Ref130483804 \h  \* MERGEFORMAT </w:instrText>
            </w:r>
            <w:r w:rsidRPr="00491F7E">
              <w:rPr>
                <w:rFonts w:eastAsia="SimSun"/>
              </w:rPr>
            </w:r>
            <w:r w:rsidRPr="00491F7E">
              <w:rPr>
                <w:rFonts w:eastAsia="SimSun"/>
              </w:rPr>
              <w:fldChar w:fldCharType="separate"/>
            </w:r>
            <w:r w:rsidR="00A56B90" w:rsidRPr="00A56B90">
              <w:rPr>
                <w:rFonts w:eastAsia="SimSun"/>
              </w:rPr>
              <w:t>2.3.1 Cloud Service Expense Management</w:t>
            </w:r>
            <w:r w:rsidR="00A56B90" w:rsidRPr="00A56B90">
              <w:rPr>
                <w:rFonts w:eastAsia="MS Gothic"/>
              </w:rPr>
              <w:t xml:space="preserve"> Advisory</w:t>
            </w:r>
            <w:r w:rsidRPr="00491F7E">
              <w:rPr>
                <w:rFonts w:eastAsia="SimSun"/>
              </w:rPr>
              <w:fldChar w:fldCharType="end"/>
            </w:r>
          </w:p>
        </w:tc>
        <w:tc>
          <w:tcPr>
            <w:tcW w:w="271" w:type="dxa"/>
            <w:tcBorders>
              <w:top w:val="nil"/>
              <w:left w:val="nil"/>
              <w:bottom w:val="nil"/>
              <w:right w:val="nil"/>
            </w:tcBorders>
            <w:shd w:val="clear" w:color="auto" w:fill="002060"/>
            <w:hideMark/>
          </w:tcPr>
          <w:p w14:paraId="40876BD6" w14:textId="77777777" w:rsidR="00491F7E" w:rsidRPr="00491F7E" w:rsidRDefault="00491F7E" w:rsidP="00491F7E">
            <w:pPr>
              <w:spacing w:after="120"/>
              <w:cnfStyle w:val="000000100000" w:firstRow="0" w:lastRow="0" w:firstColumn="0" w:lastColumn="0" w:oddVBand="0" w:evenVBand="0" w:oddHBand="1" w:evenHBand="0" w:firstRowFirstColumn="0" w:firstRowLastColumn="0" w:lastRowFirstColumn="0" w:lastRowLastColumn="0"/>
              <w:rPr>
                <w:rFonts w:eastAsia="MS Mincho"/>
              </w:rPr>
            </w:pPr>
            <w:r w:rsidRPr="00491F7E">
              <w:rPr>
                <w:rFonts w:eastAsia="MS Mincho"/>
              </w:rPr>
              <w:t> </w:t>
            </w:r>
          </w:p>
        </w:tc>
        <w:tc>
          <w:tcPr>
            <w:tcW w:w="4185" w:type="dxa"/>
            <w:tcBorders>
              <w:left w:val="nil"/>
              <w:bottom w:val="nil"/>
            </w:tcBorders>
            <w:hideMark/>
          </w:tcPr>
          <w:p w14:paraId="2640BAFF" w14:textId="5173F4CB" w:rsidR="00491F7E" w:rsidRPr="00491F7E" w:rsidRDefault="00491F7E" w:rsidP="00491F7E">
            <w:pPr>
              <w:tabs>
                <w:tab w:val="left" w:pos="615"/>
              </w:tabs>
              <w:ind w:left="525" w:hanging="450"/>
              <w:contextualSpacing/>
              <w:cnfStyle w:val="000000100000" w:firstRow="0" w:lastRow="0" w:firstColumn="0" w:lastColumn="0" w:oddVBand="0" w:evenVBand="0" w:oddHBand="1"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_Ref118906694 \h  \* MERGEFORMAT </w:instrText>
            </w:r>
            <w:r w:rsidRPr="00491F7E">
              <w:rPr>
                <w:rFonts w:eastAsia="SimSun"/>
              </w:rPr>
            </w:r>
            <w:r w:rsidRPr="00491F7E">
              <w:rPr>
                <w:rFonts w:eastAsia="SimSun"/>
              </w:rPr>
              <w:fldChar w:fldCharType="separate"/>
            </w:r>
            <w:r w:rsidR="00A56B90" w:rsidRPr="00A56B90">
              <w:rPr>
                <w:rFonts w:eastAsia="SimSun"/>
              </w:rPr>
              <w:t>2.7.1 Security Incident</w:t>
            </w:r>
            <w:r w:rsidR="00A56B90" w:rsidRPr="00A56B90">
              <w:rPr>
                <w:rFonts w:eastAsia="MS Gothic"/>
              </w:rPr>
              <w:t xml:space="preserve"> Response</w:t>
            </w:r>
            <w:r w:rsidRPr="00491F7E">
              <w:rPr>
                <w:rFonts w:eastAsia="SimSun"/>
              </w:rPr>
              <w:fldChar w:fldCharType="end"/>
            </w:r>
          </w:p>
        </w:tc>
      </w:tr>
      <w:tr w:rsidR="00491F7E" w:rsidRPr="00491F7E" w14:paraId="0F4C907C" w14:textId="77777777" w:rsidTr="005E6AC4">
        <w:trPr>
          <w:trHeight w:val="300"/>
        </w:trPr>
        <w:tc>
          <w:tcPr>
            <w:cnfStyle w:val="001000000000" w:firstRow="0" w:lastRow="0" w:firstColumn="1" w:lastColumn="0" w:oddVBand="0" w:evenVBand="0" w:oddHBand="0" w:evenHBand="0" w:firstRowFirstColumn="0" w:firstRowLastColumn="0" w:lastRowFirstColumn="0" w:lastRowLastColumn="0"/>
            <w:tcW w:w="4133" w:type="dxa"/>
            <w:tcBorders>
              <w:top w:val="nil"/>
              <w:bottom w:val="nil"/>
            </w:tcBorders>
            <w:hideMark/>
          </w:tcPr>
          <w:p w14:paraId="2938939B" w14:textId="4B5A4BCE" w:rsidR="00491F7E" w:rsidRPr="00491F7E" w:rsidRDefault="00491F7E" w:rsidP="00491F7E">
            <w:pPr>
              <w:ind w:left="780" w:hanging="420"/>
              <w:contextualSpacing/>
              <w:rPr>
                <w:rFonts w:eastAsia="SimSun"/>
              </w:rPr>
            </w:pPr>
            <w:r w:rsidRPr="00491F7E">
              <w:rPr>
                <w:rFonts w:eastAsia="SimSun"/>
              </w:rPr>
              <w:fldChar w:fldCharType="begin"/>
            </w:r>
            <w:r w:rsidRPr="00491F7E">
              <w:rPr>
                <w:rFonts w:eastAsia="SimSun"/>
              </w:rPr>
              <w:instrText xml:space="preserve"> REF _Ref130483819 \h  \* MERGEFORMAT </w:instrText>
            </w:r>
            <w:r w:rsidRPr="00491F7E">
              <w:rPr>
                <w:rFonts w:eastAsia="SimSun"/>
              </w:rPr>
            </w:r>
            <w:r w:rsidRPr="00491F7E">
              <w:rPr>
                <w:rFonts w:eastAsia="SimSun"/>
              </w:rPr>
              <w:fldChar w:fldCharType="separate"/>
            </w:r>
            <w:r w:rsidR="00A56B90" w:rsidRPr="00A56B90">
              <w:rPr>
                <w:rFonts w:eastAsia="SimSun"/>
              </w:rPr>
              <w:t>2.3.2 Infrastructure Advisory</w:t>
            </w:r>
            <w:r w:rsidRPr="00491F7E">
              <w:rPr>
                <w:rFonts w:eastAsia="SimSun"/>
              </w:rPr>
              <w:fldChar w:fldCharType="end"/>
            </w:r>
          </w:p>
        </w:tc>
        <w:tc>
          <w:tcPr>
            <w:tcW w:w="271" w:type="dxa"/>
            <w:tcBorders>
              <w:top w:val="nil"/>
              <w:left w:val="nil"/>
              <w:bottom w:val="nil"/>
              <w:right w:val="nil"/>
            </w:tcBorders>
            <w:shd w:val="clear" w:color="auto" w:fill="002060"/>
            <w:hideMark/>
          </w:tcPr>
          <w:p w14:paraId="7A836E55"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eastAsia="MS Mincho"/>
              </w:rPr>
            </w:pPr>
            <w:r w:rsidRPr="00491F7E">
              <w:rPr>
                <w:rFonts w:eastAsia="MS Mincho"/>
              </w:rPr>
              <w:t> </w:t>
            </w:r>
          </w:p>
        </w:tc>
        <w:tc>
          <w:tcPr>
            <w:tcW w:w="4185" w:type="dxa"/>
            <w:tcBorders>
              <w:top w:val="nil"/>
              <w:left w:val="nil"/>
              <w:bottom w:val="nil"/>
            </w:tcBorders>
            <w:hideMark/>
          </w:tcPr>
          <w:p w14:paraId="1F2CA898" w14:textId="162BC156" w:rsidR="00491F7E" w:rsidRPr="00491F7E" w:rsidRDefault="00491F7E" w:rsidP="00491F7E">
            <w:pPr>
              <w:tabs>
                <w:tab w:val="left" w:pos="615"/>
              </w:tabs>
              <w:ind w:left="525" w:hanging="450"/>
              <w:contextualSpacing/>
              <w:cnfStyle w:val="000000000000" w:firstRow="0" w:lastRow="0" w:firstColumn="0" w:lastColumn="0" w:oddVBand="0" w:evenVBand="0" w:oddHBand="0"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_Ref130483885 \h  \* MERGEFORMAT </w:instrText>
            </w:r>
            <w:r w:rsidRPr="00491F7E">
              <w:rPr>
                <w:rFonts w:eastAsia="SimSun"/>
              </w:rPr>
            </w:r>
            <w:r w:rsidRPr="00491F7E">
              <w:rPr>
                <w:rFonts w:eastAsia="SimSun"/>
              </w:rPr>
              <w:fldChar w:fldCharType="separate"/>
            </w:r>
            <w:r w:rsidR="00A56B90" w:rsidRPr="00A56B90">
              <w:rPr>
                <w:rFonts w:eastAsia="SimSun"/>
              </w:rPr>
              <w:t>2.7.2 Enhanced Log Aggregation and</w:t>
            </w:r>
            <w:r w:rsidR="00A56B90" w:rsidRPr="00A56B90">
              <w:rPr>
                <w:rFonts w:eastAsia="MS Gothic"/>
              </w:rPr>
              <w:t xml:space="preserve"> Analysis</w:t>
            </w:r>
            <w:r w:rsidRPr="00491F7E">
              <w:rPr>
                <w:rFonts w:eastAsia="SimSun"/>
              </w:rPr>
              <w:fldChar w:fldCharType="end"/>
            </w:r>
          </w:p>
        </w:tc>
      </w:tr>
      <w:tr w:rsidR="00491F7E" w:rsidRPr="00491F7E" w14:paraId="093B6BEB" w14:textId="77777777" w:rsidTr="005E6A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3" w:type="dxa"/>
            <w:tcBorders>
              <w:top w:val="nil"/>
              <w:bottom w:val="nil"/>
            </w:tcBorders>
            <w:hideMark/>
          </w:tcPr>
          <w:p w14:paraId="074FA08B" w14:textId="4FCC49C1" w:rsidR="00491F7E" w:rsidRPr="00491F7E" w:rsidRDefault="00491F7E" w:rsidP="00491F7E">
            <w:pPr>
              <w:ind w:left="780" w:hanging="420"/>
              <w:contextualSpacing/>
              <w:rPr>
                <w:rFonts w:eastAsia="SimSun"/>
              </w:rPr>
            </w:pPr>
            <w:r w:rsidRPr="00491F7E">
              <w:rPr>
                <w:rFonts w:eastAsia="SimSun"/>
              </w:rPr>
              <w:fldChar w:fldCharType="begin"/>
            </w:r>
            <w:r w:rsidRPr="00491F7E">
              <w:rPr>
                <w:rFonts w:eastAsia="SimSun"/>
              </w:rPr>
              <w:instrText xml:space="preserve"> REF _Ref130483827 \h  \* MERGEFORMAT </w:instrText>
            </w:r>
            <w:r w:rsidRPr="00491F7E">
              <w:rPr>
                <w:rFonts w:eastAsia="SimSun"/>
              </w:rPr>
            </w:r>
            <w:r w:rsidRPr="00491F7E">
              <w:rPr>
                <w:rFonts w:eastAsia="SimSun"/>
              </w:rPr>
              <w:fldChar w:fldCharType="separate"/>
            </w:r>
            <w:r w:rsidR="00A56B90" w:rsidRPr="00A56B90">
              <w:rPr>
                <w:rFonts w:eastAsia="SimSun"/>
              </w:rPr>
              <w:t xml:space="preserve">2.3.3 Workspaces </w:t>
            </w:r>
            <w:r w:rsidR="00A56B90" w:rsidRPr="00A56B90">
              <w:rPr>
                <w:rFonts w:eastAsia="MS Gothic"/>
              </w:rPr>
              <w:t xml:space="preserve">Management </w:t>
            </w:r>
            <w:r w:rsidRPr="00491F7E">
              <w:rPr>
                <w:rFonts w:eastAsia="SimSun"/>
              </w:rPr>
              <w:fldChar w:fldCharType="end"/>
            </w:r>
          </w:p>
        </w:tc>
        <w:tc>
          <w:tcPr>
            <w:tcW w:w="271" w:type="dxa"/>
            <w:tcBorders>
              <w:top w:val="nil"/>
              <w:bottom w:val="nil"/>
            </w:tcBorders>
            <w:shd w:val="clear" w:color="auto" w:fill="002060"/>
            <w:hideMark/>
          </w:tcPr>
          <w:p w14:paraId="14CEB084" w14:textId="77777777" w:rsidR="00491F7E" w:rsidRPr="00491F7E" w:rsidRDefault="00491F7E" w:rsidP="00491F7E">
            <w:pPr>
              <w:spacing w:after="120"/>
              <w:cnfStyle w:val="000000100000" w:firstRow="0" w:lastRow="0" w:firstColumn="0" w:lastColumn="0" w:oddVBand="0" w:evenVBand="0" w:oddHBand="1" w:evenHBand="0" w:firstRowFirstColumn="0" w:firstRowLastColumn="0" w:lastRowFirstColumn="0" w:lastRowLastColumn="0"/>
              <w:rPr>
                <w:rFonts w:eastAsia="MS Mincho"/>
              </w:rPr>
            </w:pPr>
            <w:r w:rsidRPr="00491F7E">
              <w:rPr>
                <w:rFonts w:eastAsia="MS Mincho"/>
              </w:rPr>
              <w:t> </w:t>
            </w:r>
          </w:p>
        </w:tc>
        <w:tc>
          <w:tcPr>
            <w:tcW w:w="4185" w:type="dxa"/>
            <w:tcBorders>
              <w:top w:val="nil"/>
              <w:bottom w:val="nil"/>
            </w:tcBorders>
            <w:hideMark/>
          </w:tcPr>
          <w:p w14:paraId="58567E62" w14:textId="3B6D5CA7" w:rsidR="00491F7E" w:rsidRPr="00491F7E" w:rsidRDefault="00491F7E" w:rsidP="00491F7E">
            <w:pPr>
              <w:tabs>
                <w:tab w:val="left" w:pos="615"/>
              </w:tabs>
              <w:ind w:left="525" w:hanging="450"/>
              <w:contextualSpacing/>
              <w:cnfStyle w:val="000000100000" w:firstRow="0" w:lastRow="0" w:firstColumn="0" w:lastColumn="0" w:oddVBand="0" w:evenVBand="0" w:oddHBand="1"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_Ref130483893 \h  \* MERGEFORMAT </w:instrText>
            </w:r>
            <w:r w:rsidRPr="00491F7E">
              <w:rPr>
                <w:rFonts w:eastAsia="SimSun"/>
              </w:rPr>
            </w:r>
            <w:r w:rsidRPr="00491F7E">
              <w:rPr>
                <w:rFonts w:eastAsia="SimSun"/>
              </w:rPr>
              <w:fldChar w:fldCharType="separate"/>
            </w:r>
            <w:r w:rsidR="00A56B90" w:rsidRPr="00A56B90">
              <w:rPr>
                <w:rFonts w:eastAsia="SimSun"/>
              </w:rPr>
              <w:t>2.7.3 Host Intrusion Detection</w:t>
            </w:r>
            <w:r w:rsidR="00A56B90" w:rsidRPr="00A56B90">
              <w:rPr>
                <w:rFonts w:eastAsia="MS Gothic"/>
              </w:rPr>
              <w:t>/Prevention</w:t>
            </w:r>
            <w:r w:rsidRPr="00491F7E">
              <w:rPr>
                <w:rFonts w:eastAsia="SimSun"/>
              </w:rPr>
              <w:fldChar w:fldCharType="end"/>
            </w:r>
          </w:p>
        </w:tc>
      </w:tr>
      <w:tr w:rsidR="00491F7E" w:rsidRPr="00491F7E" w14:paraId="1C16512C" w14:textId="77777777" w:rsidTr="005E6AC4">
        <w:trPr>
          <w:trHeight w:val="300"/>
        </w:trPr>
        <w:tc>
          <w:tcPr>
            <w:cnfStyle w:val="001000000000" w:firstRow="0" w:lastRow="0" w:firstColumn="1" w:lastColumn="0" w:oddVBand="0" w:evenVBand="0" w:oddHBand="0" w:evenHBand="0" w:firstRowFirstColumn="0" w:firstRowLastColumn="0" w:lastRowFirstColumn="0" w:lastRowLastColumn="0"/>
            <w:tcW w:w="4133" w:type="dxa"/>
            <w:tcBorders>
              <w:top w:val="nil"/>
              <w:bottom w:val="nil"/>
            </w:tcBorders>
          </w:tcPr>
          <w:p w14:paraId="47A7C294" w14:textId="4481453C" w:rsidR="00491F7E" w:rsidRPr="00491F7E" w:rsidRDefault="00491F7E" w:rsidP="00491F7E">
            <w:pPr>
              <w:ind w:left="780" w:hanging="420"/>
              <w:contextualSpacing/>
              <w:rPr>
                <w:rFonts w:eastAsia="SimSun"/>
              </w:rPr>
            </w:pPr>
            <w:r w:rsidRPr="00491F7E">
              <w:rPr>
                <w:rFonts w:eastAsia="SimSun"/>
              </w:rPr>
              <w:fldChar w:fldCharType="begin"/>
            </w:r>
            <w:r w:rsidRPr="00491F7E">
              <w:rPr>
                <w:rFonts w:eastAsia="SimSun"/>
              </w:rPr>
              <w:instrText xml:space="preserve"> REF _Ref130483834 \h  \* MERGEFORMAT </w:instrText>
            </w:r>
            <w:r w:rsidRPr="00491F7E">
              <w:rPr>
                <w:rFonts w:eastAsia="SimSun"/>
              </w:rPr>
            </w:r>
            <w:r w:rsidRPr="00491F7E">
              <w:rPr>
                <w:rFonts w:eastAsia="SimSun"/>
              </w:rPr>
              <w:fldChar w:fldCharType="separate"/>
            </w:r>
            <w:r w:rsidR="00A56B90" w:rsidRPr="00A56B90">
              <w:rPr>
                <w:rFonts w:eastAsia="SimSun"/>
              </w:rPr>
              <w:t>2.3.4 Database</w:t>
            </w:r>
            <w:r w:rsidR="00A56B90" w:rsidRPr="00A56B90">
              <w:rPr>
                <w:rFonts w:eastAsia="MS Gothic"/>
              </w:rPr>
              <w:t xml:space="preserve"> Monitoring</w:t>
            </w:r>
            <w:r w:rsidRPr="00491F7E">
              <w:rPr>
                <w:rFonts w:eastAsia="SimSun"/>
              </w:rPr>
              <w:fldChar w:fldCharType="end"/>
            </w:r>
          </w:p>
        </w:tc>
        <w:tc>
          <w:tcPr>
            <w:tcW w:w="271" w:type="dxa"/>
            <w:tcBorders>
              <w:top w:val="nil"/>
              <w:bottom w:val="nil"/>
            </w:tcBorders>
            <w:shd w:val="clear" w:color="auto" w:fill="002060"/>
            <w:hideMark/>
          </w:tcPr>
          <w:p w14:paraId="09E0880D"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eastAsia="MS Mincho"/>
              </w:rPr>
            </w:pPr>
            <w:r w:rsidRPr="00491F7E">
              <w:rPr>
                <w:rFonts w:eastAsia="MS Mincho"/>
              </w:rPr>
              <w:t> </w:t>
            </w:r>
          </w:p>
        </w:tc>
        <w:tc>
          <w:tcPr>
            <w:tcW w:w="4185" w:type="dxa"/>
            <w:tcBorders>
              <w:top w:val="nil"/>
              <w:bottom w:val="nil"/>
            </w:tcBorders>
            <w:hideMark/>
          </w:tcPr>
          <w:p w14:paraId="05D01DDD" w14:textId="1B95A211" w:rsidR="00491F7E" w:rsidRPr="00491F7E" w:rsidRDefault="00491F7E" w:rsidP="00491F7E">
            <w:pPr>
              <w:tabs>
                <w:tab w:val="left" w:pos="615"/>
              </w:tabs>
              <w:ind w:left="525" w:hanging="450"/>
              <w:contextualSpacing/>
              <w:cnfStyle w:val="000000000000" w:firstRow="0" w:lastRow="0" w:firstColumn="0" w:lastColumn="0" w:oddVBand="0" w:evenVBand="0" w:oddHBand="0"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_Ref130483898 \h  \* MERGEFORMAT </w:instrText>
            </w:r>
            <w:r w:rsidRPr="00491F7E">
              <w:rPr>
                <w:rFonts w:eastAsia="SimSun"/>
              </w:rPr>
            </w:r>
            <w:r w:rsidRPr="00491F7E">
              <w:rPr>
                <w:rFonts w:eastAsia="SimSun"/>
              </w:rPr>
              <w:fldChar w:fldCharType="separate"/>
            </w:r>
            <w:r w:rsidR="00A56B90" w:rsidRPr="00A56B90">
              <w:rPr>
                <w:rFonts w:eastAsia="SimSun"/>
              </w:rPr>
              <w:t>2.7.4 Host File Integrity</w:t>
            </w:r>
            <w:r w:rsidR="00A56B90" w:rsidRPr="00A56B90">
              <w:rPr>
                <w:rFonts w:eastAsia="MS Gothic"/>
              </w:rPr>
              <w:t xml:space="preserve"> Monitoring</w:t>
            </w:r>
            <w:r w:rsidRPr="00491F7E">
              <w:rPr>
                <w:rFonts w:eastAsia="SimSun"/>
              </w:rPr>
              <w:fldChar w:fldCharType="end"/>
            </w:r>
          </w:p>
        </w:tc>
      </w:tr>
      <w:tr w:rsidR="00491F7E" w:rsidRPr="00491F7E" w14:paraId="3E8D2DAA" w14:textId="77777777" w:rsidTr="005E6AC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133" w:type="dxa"/>
            <w:tcBorders>
              <w:top w:val="nil"/>
              <w:bottom w:val="nil"/>
            </w:tcBorders>
          </w:tcPr>
          <w:p w14:paraId="1F34CD11" w14:textId="6C8AB8CD" w:rsidR="00491F7E" w:rsidRPr="00491F7E" w:rsidRDefault="00491F7E" w:rsidP="00491F7E">
            <w:pPr>
              <w:ind w:left="780" w:hanging="420"/>
              <w:contextualSpacing/>
              <w:rPr>
                <w:rFonts w:eastAsia="SimSun"/>
              </w:rPr>
            </w:pPr>
            <w:r w:rsidRPr="00491F7E">
              <w:rPr>
                <w:rFonts w:eastAsia="SimSun"/>
              </w:rPr>
              <w:fldChar w:fldCharType="begin"/>
            </w:r>
            <w:r w:rsidRPr="00491F7E">
              <w:rPr>
                <w:rFonts w:eastAsia="SimSun"/>
              </w:rPr>
              <w:instrText xml:space="preserve"> REF _Ref130483839 \h  \* MERGEFORMAT </w:instrText>
            </w:r>
            <w:r w:rsidRPr="00491F7E">
              <w:rPr>
                <w:rFonts w:eastAsia="SimSun"/>
              </w:rPr>
            </w:r>
            <w:r w:rsidRPr="00491F7E">
              <w:rPr>
                <w:rFonts w:eastAsia="SimSun"/>
              </w:rPr>
              <w:fldChar w:fldCharType="separate"/>
            </w:r>
            <w:r w:rsidR="00A56B90" w:rsidRPr="00A56B90">
              <w:rPr>
                <w:rFonts w:eastAsia="SimSun"/>
              </w:rPr>
              <w:t>2.4 SITE Reliability Engineering (</w:t>
            </w:r>
            <w:r w:rsidR="00A56B90" w:rsidRPr="00A56B90">
              <w:rPr>
                <w:rFonts w:eastAsia="Times New Roman"/>
                <w:caps/>
                <w:kern w:val="32"/>
              </w:rPr>
              <w:t>SRE)</w:t>
            </w:r>
            <w:r w:rsidRPr="00491F7E">
              <w:rPr>
                <w:rFonts w:eastAsia="SimSun"/>
              </w:rPr>
              <w:fldChar w:fldCharType="end"/>
            </w:r>
          </w:p>
        </w:tc>
        <w:tc>
          <w:tcPr>
            <w:tcW w:w="271" w:type="dxa"/>
            <w:tcBorders>
              <w:top w:val="nil"/>
              <w:bottom w:val="nil"/>
            </w:tcBorders>
            <w:shd w:val="clear" w:color="auto" w:fill="002060"/>
            <w:hideMark/>
          </w:tcPr>
          <w:p w14:paraId="47ABD4F9" w14:textId="77777777" w:rsidR="00491F7E" w:rsidRPr="00491F7E" w:rsidRDefault="00491F7E" w:rsidP="00491F7E">
            <w:pPr>
              <w:spacing w:after="120"/>
              <w:cnfStyle w:val="000000100000" w:firstRow="0" w:lastRow="0" w:firstColumn="0" w:lastColumn="0" w:oddVBand="0" w:evenVBand="0" w:oddHBand="1" w:evenHBand="0" w:firstRowFirstColumn="0" w:firstRowLastColumn="0" w:lastRowFirstColumn="0" w:lastRowLastColumn="0"/>
              <w:rPr>
                <w:rFonts w:eastAsia="MS Mincho"/>
              </w:rPr>
            </w:pPr>
            <w:r w:rsidRPr="00491F7E">
              <w:rPr>
                <w:rFonts w:eastAsia="MS Mincho"/>
              </w:rPr>
              <w:t> </w:t>
            </w:r>
          </w:p>
        </w:tc>
        <w:tc>
          <w:tcPr>
            <w:tcW w:w="4185" w:type="dxa"/>
            <w:tcBorders>
              <w:top w:val="nil"/>
              <w:bottom w:val="nil"/>
            </w:tcBorders>
            <w:hideMark/>
          </w:tcPr>
          <w:p w14:paraId="26163F75" w14:textId="6437E4D9" w:rsidR="00491F7E" w:rsidRPr="00491F7E" w:rsidRDefault="00491F7E" w:rsidP="00491F7E">
            <w:pPr>
              <w:tabs>
                <w:tab w:val="left" w:pos="615"/>
              </w:tabs>
              <w:ind w:left="525" w:hanging="450"/>
              <w:contextualSpacing/>
              <w:cnfStyle w:val="000000100000" w:firstRow="0" w:lastRow="0" w:firstColumn="0" w:lastColumn="0" w:oddVBand="0" w:evenVBand="0" w:oddHBand="1"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_Ref130483904 \h  \* MERGEFORMAT </w:instrText>
            </w:r>
            <w:r w:rsidRPr="00491F7E">
              <w:rPr>
                <w:rFonts w:eastAsia="SimSun"/>
              </w:rPr>
            </w:r>
            <w:r w:rsidRPr="00491F7E">
              <w:rPr>
                <w:rFonts w:eastAsia="SimSun"/>
              </w:rPr>
              <w:fldChar w:fldCharType="separate"/>
            </w:r>
            <w:r w:rsidR="00A56B90" w:rsidRPr="00A56B90">
              <w:rPr>
                <w:rFonts w:eastAsia="SimSun"/>
              </w:rPr>
              <w:t>2.7.5 Application</w:t>
            </w:r>
            <w:r w:rsidR="00A56B90" w:rsidRPr="00A56B90">
              <w:rPr>
                <w:rFonts w:eastAsia="MS Gothic"/>
              </w:rPr>
              <w:t xml:space="preserve"> Control</w:t>
            </w:r>
            <w:r w:rsidRPr="00491F7E">
              <w:rPr>
                <w:rFonts w:eastAsia="SimSun"/>
              </w:rPr>
              <w:fldChar w:fldCharType="end"/>
            </w:r>
          </w:p>
        </w:tc>
      </w:tr>
      <w:tr w:rsidR="00491F7E" w:rsidRPr="00491F7E" w14:paraId="71067AF0" w14:textId="77777777" w:rsidTr="005E6AC4">
        <w:trPr>
          <w:trHeight w:val="333"/>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hideMark/>
          </w:tcPr>
          <w:p w14:paraId="491DBB82" w14:textId="15763D84" w:rsidR="00491F7E" w:rsidRPr="00491F7E" w:rsidRDefault="00491F7E" w:rsidP="00491F7E">
            <w:pPr>
              <w:ind w:left="780" w:hanging="420"/>
              <w:contextualSpacing/>
              <w:rPr>
                <w:rFonts w:eastAsia="SimSun"/>
              </w:rPr>
            </w:pPr>
            <w:r w:rsidRPr="00491F7E">
              <w:rPr>
                <w:rFonts w:eastAsia="SimSun"/>
              </w:rPr>
              <w:fldChar w:fldCharType="begin"/>
            </w:r>
            <w:r w:rsidRPr="00491F7E">
              <w:rPr>
                <w:rFonts w:eastAsia="SimSun"/>
              </w:rPr>
              <w:instrText xml:space="preserve"> REF _Ref130483846 \h  \* MERGEFORMAT </w:instrText>
            </w:r>
            <w:r w:rsidRPr="00491F7E">
              <w:rPr>
                <w:rFonts w:eastAsia="SimSun"/>
              </w:rPr>
            </w:r>
            <w:r w:rsidRPr="00491F7E">
              <w:rPr>
                <w:rFonts w:eastAsia="SimSun"/>
              </w:rPr>
              <w:fldChar w:fldCharType="separate"/>
            </w:r>
            <w:r w:rsidR="00A56B90" w:rsidRPr="00A56B90">
              <w:rPr>
                <w:rFonts w:eastAsia="SimSun"/>
              </w:rPr>
              <w:t>2.5 Pods and Squads</w:t>
            </w:r>
            <w:r w:rsidR="00A56B90" w:rsidRPr="00A56B90">
              <w:rPr>
                <w:rFonts w:eastAsia="Times New Roman"/>
                <w:caps/>
                <w:kern w:val="32"/>
              </w:rPr>
              <w:t xml:space="preserve"> Support</w:t>
            </w:r>
            <w:r w:rsidRPr="00491F7E">
              <w:rPr>
                <w:rFonts w:eastAsia="SimSun"/>
              </w:rPr>
              <w:fldChar w:fldCharType="end"/>
            </w:r>
          </w:p>
        </w:tc>
        <w:tc>
          <w:tcPr>
            <w:tcW w:w="0" w:type="dxa"/>
            <w:tcBorders>
              <w:top w:val="nil"/>
              <w:bottom w:val="nil"/>
            </w:tcBorders>
            <w:shd w:val="clear" w:color="auto" w:fill="002060"/>
            <w:hideMark/>
          </w:tcPr>
          <w:p w14:paraId="14AF4185"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eastAsia="MS Mincho"/>
              </w:rPr>
            </w:pPr>
            <w:r w:rsidRPr="00491F7E">
              <w:rPr>
                <w:rFonts w:eastAsia="MS Mincho"/>
              </w:rPr>
              <w:t> </w:t>
            </w:r>
          </w:p>
        </w:tc>
        <w:tc>
          <w:tcPr>
            <w:tcW w:w="0" w:type="dxa"/>
            <w:tcBorders>
              <w:top w:val="nil"/>
              <w:bottom w:val="nil"/>
            </w:tcBorders>
            <w:hideMark/>
          </w:tcPr>
          <w:p w14:paraId="2271563F" w14:textId="2EF1F665" w:rsidR="00491F7E" w:rsidRPr="00491F7E" w:rsidRDefault="00491F7E" w:rsidP="00491F7E">
            <w:pPr>
              <w:tabs>
                <w:tab w:val="left" w:pos="615"/>
              </w:tabs>
              <w:ind w:left="525" w:hanging="450"/>
              <w:contextualSpacing/>
              <w:cnfStyle w:val="000000000000" w:firstRow="0" w:lastRow="0" w:firstColumn="0" w:lastColumn="0" w:oddVBand="0" w:evenVBand="0" w:oddHBand="0"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_Ref130483912 \h  \* MERGEFORMAT </w:instrText>
            </w:r>
            <w:r w:rsidRPr="00491F7E">
              <w:rPr>
                <w:rFonts w:eastAsia="SimSun"/>
              </w:rPr>
            </w:r>
            <w:r w:rsidRPr="00491F7E">
              <w:rPr>
                <w:rFonts w:eastAsia="SimSun"/>
              </w:rPr>
              <w:fldChar w:fldCharType="separate"/>
            </w:r>
            <w:r w:rsidR="00A56B90" w:rsidRPr="00A56B90">
              <w:rPr>
                <w:rFonts w:eastAsia="SimSun"/>
              </w:rPr>
              <w:t>2.7.6 Systems Vulnerability</w:t>
            </w:r>
            <w:r w:rsidR="00A56B90" w:rsidRPr="00A56B90">
              <w:rPr>
                <w:rFonts w:eastAsia="MS Gothic"/>
              </w:rPr>
              <w:t xml:space="preserve"> Scanning</w:t>
            </w:r>
            <w:r w:rsidRPr="00491F7E">
              <w:rPr>
                <w:rFonts w:eastAsia="SimSun"/>
              </w:rPr>
              <w:fldChar w:fldCharType="end"/>
            </w:r>
          </w:p>
        </w:tc>
      </w:tr>
      <w:tr w:rsidR="00491F7E" w:rsidRPr="00491F7E" w14:paraId="04DECC70" w14:textId="77777777" w:rsidTr="005E6A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3" w:type="dxa"/>
            <w:tcBorders>
              <w:top w:val="nil"/>
            </w:tcBorders>
          </w:tcPr>
          <w:p w14:paraId="20A7310A" w14:textId="47A1F9C9" w:rsidR="00491F7E" w:rsidRPr="00491F7E" w:rsidRDefault="00491F7E" w:rsidP="00491F7E">
            <w:pPr>
              <w:ind w:left="780" w:hanging="420"/>
              <w:contextualSpacing/>
              <w:rPr>
                <w:rFonts w:eastAsia="SimSun"/>
              </w:rPr>
            </w:pPr>
            <w:r w:rsidRPr="00491F7E">
              <w:rPr>
                <w:rFonts w:eastAsia="SimSun"/>
              </w:rPr>
              <w:fldChar w:fldCharType="begin"/>
            </w:r>
            <w:r w:rsidRPr="00491F7E">
              <w:rPr>
                <w:rFonts w:eastAsia="SimSun"/>
              </w:rPr>
              <w:instrText xml:space="preserve"> REF _Ref130483855 \h  \* MERGEFORMAT </w:instrText>
            </w:r>
            <w:r w:rsidRPr="00491F7E">
              <w:rPr>
                <w:rFonts w:eastAsia="SimSun"/>
              </w:rPr>
            </w:r>
            <w:r w:rsidRPr="00491F7E">
              <w:rPr>
                <w:rFonts w:eastAsia="SimSun"/>
              </w:rPr>
              <w:fldChar w:fldCharType="separate"/>
            </w:r>
            <w:r w:rsidR="00A56B90" w:rsidRPr="00A56B90">
              <w:rPr>
                <w:rFonts w:eastAsia="SimSun"/>
              </w:rPr>
              <w:t xml:space="preserve">2.6 AWS Managed Services from </w:t>
            </w:r>
            <w:r w:rsidR="00A56B90" w:rsidRPr="00A56B90">
              <w:rPr>
                <w:rFonts w:eastAsia="Times New Roman"/>
                <w:caps/>
                <w:kern w:val="32"/>
              </w:rPr>
              <w:t xml:space="preserve">SMX </w:t>
            </w:r>
            <w:r w:rsidRPr="00491F7E">
              <w:rPr>
                <w:rFonts w:eastAsia="SimSun"/>
              </w:rPr>
              <w:fldChar w:fldCharType="end"/>
            </w:r>
          </w:p>
        </w:tc>
        <w:tc>
          <w:tcPr>
            <w:tcW w:w="271" w:type="dxa"/>
            <w:tcBorders>
              <w:top w:val="nil"/>
              <w:bottom w:val="nil"/>
            </w:tcBorders>
            <w:shd w:val="clear" w:color="auto" w:fill="002060"/>
          </w:tcPr>
          <w:p w14:paraId="49111D2E"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eastAsia="MS Mincho"/>
              </w:rPr>
            </w:pPr>
          </w:p>
        </w:tc>
        <w:tc>
          <w:tcPr>
            <w:tcW w:w="4185" w:type="dxa"/>
            <w:tcBorders>
              <w:top w:val="nil"/>
            </w:tcBorders>
          </w:tcPr>
          <w:p w14:paraId="309951AB" w14:textId="3DC651F3" w:rsidR="00491F7E" w:rsidRPr="00491F7E" w:rsidRDefault="00491F7E" w:rsidP="00491F7E">
            <w:pPr>
              <w:tabs>
                <w:tab w:val="left" w:pos="615"/>
              </w:tabs>
              <w:ind w:left="525" w:hanging="450"/>
              <w:contextualSpacing/>
              <w:cnfStyle w:val="000000100000" w:firstRow="0" w:lastRow="0" w:firstColumn="0" w:lastColumn="0" w:oddVBand="0" w:evenVBand="0" w:oddHBand="1" w:evenHBand="0" w:firstRowFirstColumn="0" w:firstRowLastColumn="0" w:lastRowFirstColumn="0" w:lastRowLastColumn="0"/>
              <w:rPr>
                <w:rFonts w:eastAsia="SimSun"/>
              </w:rPr>
            </w:pPr>
            <w:r w:rsidRPr="00491F7E">
              <w:rPr>
                <w:rFonts w:eastAsia="SimSun"/>
              </w:rPr>
              <w:fldChar w:fldCharType="begin"/>
            </w:r>
            <w:r w:rsidRPr="00491F7E">
              <w:rPr>
                <w:rFonts w:eastAsia="SimSun"/>
              </w:rPr>
              <w:instrText xml:space="preserve"> REF _Ref130483923 \h  \* MERGEFORMAT </w:instrText>
            </w:r>
            <w:r w:rsidRPr="00491F7E">
              <w:rPr>
                <w:rFonts w:eastAsia="SimSun"/>
              </w:rPr>
            </w:r>
            <w:r w:rsidRPr="00491F7E">
              <w:rPr>
                <w:rFonts w:eastAsia="SimSun"/>
              </w:rPr>
              <w:fldChar w:fldCharType="separate"/>
            </w:r>
            <w:r w:rsidR="00A56B90" w:rsidRPr="00A56B90">
              <w:rPr>
                <w:rFonts w:eastAsia="SimSun"/>
              </w:rPr>
              <w:t>2.7.7 Continuous Monitoring Security and Regulatory Compliance Support</w:t>
            </w:r>
            <w:r w:rsidR="00A56B90" w:rsidRPr="00A56B90">
              <w:rPr>
                <w:rFonts w:eastAsia="MS Gothic"/>
              </w:rPr>
              <w:t xml:space="preserve"> Services</w:t>
            </w:r>
            <w:r w:rsidRPr="00491F7E">
              <w:rPr>
                <w:rFonts w:eastAsia="SimSun"/>
              </w:rPr>
              <w:fldChar w:fldCharType="end"/>
            </w:r>
          </w:p>
        </w:tc>
      </w:tr>
    </w:tbl>
    <w:p w14:paraId="7255AAD1" w14:textId="14360ECB" w:rsidR="00491F7E" w:rsidRPr="00491F7E" w:rsidRDefault="00491F7E" w:rsidP="00491F7E">
      <w:pPr>
        <w:widowControl/>
        <w:autoSpaceDE/>
        <w:autoSpaceDN/>
        <w:spacing w:after="200" w:line="259" w:lineRule="auto"/>
        <w:jc w:val="center"/>
        <w:rPr>
          <w:rFonts w:eastAsia="SimSun" w:cs="Times New Roman"/>
          <w:b/>
          <w:bCs/>
          <w:color w:val="4F81BD"/>
          <w:sz w:val="18"/>
          <w:szCs w:val="18"/>
        </w:rPr>
      </w:pPr>
      <w:bookmarkStart w:id="2" w:name="_Ref120881498"/>
      <w:r w:rsidRPr="00491F7E">
        <w:rPr>
          <w:rFonts w:eastAsia="SimSun" w:cs="Times New Roman"/>
          <w:b/>
          <w:bCs/>
          <w:color w:val="4F81BD"/>
          <w:sz w:val="18"/>
          <w:szCs w:val="18"/>
        </w:rPr>
        <w:t xml:space="preserve">Table </w:t>
      </w:r>
      <w:r w:rsidRPr="00491F7E">
        <w:rPr>
          <w:rFonts w:eastAsia="SimSun" w:cs="Times New Roman"/>
          <w:b/>
          <w:bCs/>
          <w:color w:val="4F81BD"/>
          <w:sz w:val="18"/>
          <w:szCs w:val="18"/>
        </w:rPr>
        <w:fldChar w:fldCharType="begin"/>
      </w:r>
      <w:r w:rsidRPr="00491F7E">
        <w:rPr>
          <w:rFonts w:eastAsia="SimSun" w:cs="Times New Roman"/>
          <w:b/>
          <w:bCs/>
          <w:color w:val="4F81BD"/>
          <w:sz w:val="18"/>
          <w:szCs w:val="18"/>
        </w:rPr>
        <w:instrText>SEQ Table \* ARABIC</w:instrText>
      </w:r>
      <w:r w:rsidRPr="00491F7E">
        <w:rPr>
          <w:rFonts w:eastAsia="SimSun" w:cs="Times New Roman"/>
          <w:b/>
          <w:bCs/>
          <w:color w:val="4F81BD"/>
          <w:sz w:val="18"/>
          <w:szCs w:val="18"/>
        </w:rPr>
        <w:fldChar w:fldCharType="separate"/>
      </w:r>
      <w:r w:rsidR="00A56B90">
        <w:rPr>
          <w:rFonts w:eastAsia="SimSun" w:cs="Times New Roman"/>
          <w:b/>
          <w:bCs/>
          <w:noProof/>
          <w:color w:val="4F81BD"/>
          <w:sz w:val="18"/>
          <w:szCs w:val="18"/>
        </w:rPr>
        <w:t>2</w:t>
      </w:r>
      <w:r w:rsidRPr="00491F7E">
        <w:rPr>
          <w:rFonts w:eastAsia="SimSun" w:cs="Times New Roman"/>
          <w:b/>
          <w:bCs/>
          <w:color w:val="4F81BD"/>
          <w:sz w:val="18"/>
          <w:szCs w:val="18"/>
        </w:rPr>
        <w:fldChar w:fldCharType="end"/>
      </w:r>
      <w:bookmarkEnd w:id="2"/>
      <w:r w:rsidRPr="00491F7E">
        <w:rPr>
          <w:rFonts w:eastAsia="SimSun" w:cs="Times New Roman"/>
          <w:b/>
          <w:bCs/>
          <w:color w:val="4F81BD"/>
          <w:sz w:val="18"/>
          <w:szCs w:val="18"/>
        </w:rPr>
        <w:t xml:space="preserve">. </w:t>
      </w:r>
      <w:r w:rsidRPr="00491F7E">
        <w:rPr>
          <w:rFonts w:eastAsia="SimSun" w:cs="Times New Roman"/>
          <w:b/>
          <w:color w:val="4F81BD"/>
          <w:sz w:val="18"/>
          <w:szCs w:val="18"/>
        </w:rPr>
        <w:t>Elevate Optional Services</w:t>
      </w:r>
    </w:p>
    <w:p w14:paraId="5B8714BA" w14:textId="77777777" w:rsidR="00491F7E" w:rsidRPr="00491F7E" w:rsidRDefault="00491F7E" w:rsidP="00491F7E">
      <w:pPr>
        <w:keepNext/>
        <w:widowControl/>
        <w:numPr>
          <w:ilvl w:val="1"/>
          <w:numId w:val="0"/>
        </w:numPr>
        <w:autoSpaceDE/>
        <w:autoSpaceDN/>
        <w:spacing w:before="240" w:after="160" w:line="259" w:lineRule="auto"/>
        <w:ind w:left="129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2.1 Core Account Services (Required)</w:t>
      </w:r>
    </w:p>
    <w:p w14:paraId="683306B3" w14:textId="77777777" w:rsidR="00491F7E" w:rsidRPr="00491F7E" w:rsidRDefault="00491F7E" w:rsidP="00491F7E">
      <w:pPr>
        <w:keepNext/>
        <w:keepLines/>
        <w:widowControl/>
        <w:numPr>
          <w:ilvl w:val="2"/>
          <w:numId w:val="0"/>
        </w:numPr>
        <w:autoSpaceDE/>
        <w:autoSpaceDN/>
        <w:spacing w:before="200" w:after="160" w:line="259" w:lineRule="auto"/>
        <w:ind w:left="2016" w:hanging="720"/>
        <w:jc w:val="both"/>
        <w:outlineLvl w:val="2"/>
        <w:rPr>
          <w:rFonts w:ascii="Arial" w:eastAsia="MS Gothic" w:hAnsi="Arial" w:cs="Times New Roman"/>
          <w:b/>
          <w:bCs/>
          <w:sz w:val="24"/>
          <w:szCs w:val="24"/>
        </w:rPr>
      </w:pPr>
      <w:r w:rsidRPr="00491F7E">
        <w:rPr>
          <w:rFonts w:ascii="Arial" w:eastAsia="MS Gothic" w:hAnsi="Arial" w:cs="Times New Roman"/>
          <w:b/>
          <w:bCs/>
          <w:sz w:val="24"/>
          <w:szCs w:val="24"/>
        </w:rPr>
        <w:t xml:space="preserve"> </w:t>
      </w:r>
      <w:bookmarkStart w:id="3" w:name="_Ref130483473"/>
      <w:r w:rsidRPr="00491F7E">
        <w:rPr>
          <w:rFonts w:ascii="Arial" w:eastAsia="MS Gothic" w:hAnsi="Arial" w:cs="Times New Roman"/>
          <w:b/>
          <w:bCs/>
          <w:sz w:val="24"/>
          <w:szCs w:val="24"/>
        </w:rPr>
        <w:t>2.1.1 CSP Account Management Services</w:t>
      </w:r>
      <w:bookmarkEnd w:id="3"/>
      <w:r w:rsidRPr="00491F7E">
        <w:rPr>
          <w:rFonts w:ascii="Arial" w:eastAsia="MS Gothic" w:hAnsi="Arial" w:cs="Times New Roman"/>
          <w:b/>
          <w:bCs/>
          <w:sz w:val="24"/>
          <w:szCs w:val="24"/>
        </w:rPr>
        <w:t xml:space="preserve"> </w:t>
      </w:r>
    </w:p>
    <w:p w14:paraId="0894E6C9"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CSP Account Management Service is optimized to enforce and report CIS Benchmark Compliance and provide event trail aggregation that may be leveraged for analysis and operational break/fix incident/event triage. Security Benchmarks are defined and monitored in accordance with CIS best-practices, which are made up of industry-standard checks. Environments are audited to identify potential security compliance shortfalls, against relevant standards.</w:t>
      </w:r>
    </w:p>
    <w:p w14:paraId="536653C2" w14:textId="77777777" w:rsidR="00491F7E" w:rsidRPr="00491F7E" w:rsidRDefault="00491F7E" w:rsidP="00491F7E">
      <w:pPr>
        <w:widowControl/>
        <w:autoSpaceDE/>
        <w:autoSpaceDN/>
        <w:spacing w:after="160" w:line="259" w:lineRule="auto"/>
        <w:rPr>
          <w:rFonts w:ascii="Avenir Next LT Pro Light" w:eastAsia="MS Mincho" w:hAnsi="Avenir Next LT Pro Light" w:cs="Avenir Next LT Pro Light"/>
          <w:sz w:val="20"/>
          <w:szCs w:val="20"/>
        </w:rPr>
      </w:pPr>
      <w:r w:rsidRPr="00491F7E">
        <w:rPr>
          <w:rFonts w:ascii="Avenir Next LT Pro Light" w:eastAsia="MS Mincho" w:hAnsi="Avenir Next LT Pro Light" w:cs="Avenir Next LT Pro Light"/>
          <w:sz w:val="20"/>
          <w:szCs w:val="20"/>
        </w:rPr>
        <w:t xml:space="preserve">Scope: </w:t>
      </w:r>
    </w:p>
    <w:p w14:paraId="17A80FCC" w14:textId="77777777" w:rsidR="00491F7E" w:rsidRPr="00491F7E" w:rsidRDefault="00491F7E" w:rsidP="00491F7E">
      <w:pPr>
        <w:widowControl/>
        <w:numPr>
          <w:ilvl w:val="0"/>
          <w:numId w:val="14"/>
        </w:numPr>
        <w:autoSpaceDE/>
        <w:autoSpaceDN/>
        <w:spacing w:after="120" w:line="259" w:lineRule="auto"/>
        <w:contextualSpacing/>
        <w:jc w:val="both"/>
        <w:rPr>
          <w:rFonts w:ascii="Avenir Next LT Pro Light" w:eastAsia="Times New Roman" w:hAnsi="Avenir Next LT Pro Light" w:cs="Times New Roman"/>
          <w:sz w:val="20"/>
          <w:szCs w:val="20"/>
        </w:rPr>
      </w:pPr>
      <w:r w:rsidRPr="00491F7E">
        <w:rPr>
          <w:rFonts w:ascii="Avenir Next LT Pro Light" w:eastAsia="Times New Roman" w:hAnsi="Avenir Next LT Pro Light" w:cs="Times New Roman"/>
          <w:sz w:val="20"/>
          <w:szCs w:val="20"/>
        </w:rPr>
        <w:t>CSP Account Event Trails: AWS CloudTrail, Azure Monitor Logs</w:t>
      </w:r>
    </w:p>
    <w:p w14:paraId="2572C22E" w14:textId="77777777" w:rsidR="00491F7E" w:rsidRPr="00491F7E" w:rsidRDefault="00491F7E" w:rsidP="00491F7E">
      <w:pPr>
        <w:widowControl/>
        <w:numPr>
          <w:ilvl w:val="0"/>
          <w:numId w:val="14"/>
        </w:numPr>
        <w:autoSpaceDE/>
        <w:autoSpaceDN/>
        <w:spacing w:after="120" w:line="259" w:lineRule="auto"/>
        <w:contextualSpacing/>
        <w:jc w:val="both"/>
        <w:rPr>
          <w:rFonts w:ascii="Avenir Next LT Pro Light" w:eastAsia="Times New Roman" w:hAnsi="Avenir Next LT Pro Light" w:cs="Times New Roman"/>
          <w:sz w:val="20"/>
          <w:szCs w:val="20"/>
        </w:rPr>
      </w:pPr>
      <w:r w:rsidRPr="00491F7E">
        <w:rPr>
          <w:rFonts w:ascii="Avenir Next LT Pro Light" w:eastAsia="Times New Roman" w:hAnsi="Avenir Next LT Pro Light" w:cs="Times New Roman"/>
          <w:sz w:val="20"/>
          <w:szCs w:val="20"/>
        </w:rPr>
        <w:t xml:space="preserve">AWS S3, Azure Storage Accounts, </w:t>
      </w:r>
    </w:p>
    <w:p w14:paraId="3E90139C" w14:textId="77777777" w:rsidR="00491F7E" w:rsidRPr="00491F7E" w:rsidRDefault="00491F7E" w:rsidP="00491F7E">
      <w:pPr>
        <w:widowControl/>
        <w:numPr>
          <w:ilvl w:val="0"/>
          <w:numId w:val="14"/>
        </w:numPr>
        <w:autoSpaceDE/>
        <w:autoSpaceDN/>
        <w:spacing w:after="120" w:line="259" w:lineRule="auto"/>
        <w:contextualSpacing/>
        <w:jc w:val="both"/>
        <w:rPr>
          <w:rFonts w:ascii="Avenir Next LT Pro Light" w:eastAsia="Times New Roman" w:hAnsi="Avenir Next LT Pro Light" w:cs="Times New Roman"/>
          <w:sz w:val="20"/>
          <w:szCs w:val="20"/>
        </w:rPr>
      </w:pPr>
      <w:r w:rsidRPr="00491F7E">
        <w:rPr>
          <w:rFonts w:ascii="Avenir Next LT Pro Light" w:eastAsia="Times New Roman" w:hAnsi="Avenir Next LT Pro Light" w:cs="Times New Roman"/>
          <w:sz w:val="20"/>
          <w:szCs w:val="20"/>
        </w:rPr>
        <w:t>AWS/Azure/GCP CIS Benchmark Compliance Implementation/Auditing/Reporting at the Account/Subscription/Project level</w:t>
      </w:r>
    </w:p>
    <w:p w14:paraId="384D2AA7" w14:textId="77777777" w:rsidR="00491F7E" w:rsidRPr="00491F7E" w:rsidRDefault="00491F7E" w:rsidP="00491F7E">
      <w:pPr>
        <w:widowControl/>
        <w:autoSpaceDE/>
        <w:autoSpaceDN/>
        <w:spacing w:after="160" w:line="259" w:lineRule="auto"/>
        <w:rPr>
          <w:rFonts w:ascii="Avenir Next LT Pro Light" w:eastAsia="MS Mincho" w:hAnsi="Avenir Next LT Pro Light" w:cs="Avenir Next LT Pro Light"/>
          <w:sz w:val="20"/>
          <w:szCs w:val="20"/>
        </w:rPr>
      </w:pPr>
      <w:r w:rsidRPr="00491F7E">
        <w:rPr>
          <w:rFonts w:ascii="Avenir Next LT Pro Light" w:eastAsia="MS Mincho" w:hAnsi="Avenir Next LT Pro Light" w:cs="Avenir Next LT Pro Light"/>
          <w:sz w:val="20"/>
          <w:szCs w:val="20"/>
        </w:rPr>
        <w:t>Standard Audited CSP Events (CIS Benchmarks 3.01- 3.14):</w:t>
      </w:r>
    </w:p>
    <w:p w14:paraId="036A207D" w14:textId="77777777" w:rsidR="00491F7E" w:rsidRPr="00491F7E" w:rsidRDefault="00491F7E" w:rsidP="00491F7E">
      <w:pPr>
        <w:widowControl/>
        <w:numPr>
          <w:ilvl w:val="0"/>
          <w:numId w:val="15"/>
        </w:numPr>
        <w:autoSpaceDE/>
        <w:autoSpaceDN/>
        <w:spacing w:after="12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Privileged (root) Login</w:t>
      </w:r>
    </w:p>
    <w:p w14:paraId="196D0A65" w14:textId="77777777" w:rsidR="00491F7E" w:rsidRPr="00491F7E" w:rsidRDefault="00491F7E" w:rsidP="00491F7E">
      <w:pPr>
        <w:widowControl/>
        <w:numPr>
          <w:ilvl w:val="0"/>
          <w:numId w:val="15"/>
        </w:numPr>
        <w:autoSpaceDE/>
        <w:autoSpaceDN/>
        <w:spacing w:after="12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Non-MFA Login</w:t>
      </w:r>
    </w:p>
    <w:p w14:paraId="073473E6" w14:textId="77777777" w:rsidR="00491F7E" w:rsidRPr="00491F7E" w:rsidRDefault="00491F7E" w:rsidP="00491F7E">
      <w:pPr>
        <w:widowControl/>
        <w:numPr>
          <w:ilvl w:val="0"/>
          <w:numId w:val="15"/>
        </w:numPr>
        <w:autoSpaceDE/>
        <w:autoSpaceDN/>
        <w:spacing w:after="120" w:line="259" w:lineRule="auto"/>
        <w:contextualSpacing/>
        <w:jc w:val="both"/>
        <w:rPr>
          <w:rFonts w:ascii="Avenir Next LT Pro Light" w:eastAsia="Times New Roman" w:hAnsi="Avenir Next LT Pro Light" w:cs="Times New Roman"/>
          <w:sz w:val="20"/>
          <w:szCs w:val="20"/>
        </w:rPr>
      </w:pPr>
      <w:r w:rsidRPr="00491F7E">
        <w:rPr>
          <w:rFonts w:ascii="Avenir Next LT Pro Light" w:eastAsia="Times New Roman" w:hAnsi="Avenir Next LT Pro Light" w:cs="Times New Roman"/>
          <w:sz w:val="20"/>
          <w:szCs w:val="20"/>
        </w:rPr>
        <w:lastRenderedPageBreak/>
        <w:t>Identity and Access Management changes to Policies, Groups, Users and Roles</w:t>
      </w:r>
    </w:p>
    <w:p w14:paraId="024F02AB" w14:textId="77777777" w:rsidR="00491F7E" w:rsidRPr="00491F7E" w:rsidRDefault="00491F7E" w:rsidP="00491F7E">
      <w:pPr>
        <w:widowControl/>
        <w:numPr>
          <w:ilvl w:val="0"/>
          <w:numId w:val="15"/>
        </w:numPr>
        <w:autoSpaceDE/>
        <w:autoSpaceDN/>
        <w:spacing w:after="12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Notification of new Security Groups and changes to existing Security Groups</w:t>
      </w:r>
    </w:p>
    <w:p w14:paraId="2C2611DF" w14:textId="77777777" w:rsidR="00491F7E" w:rsidRPr="00491F7E" w:rsidRDefault="00491F7E" w:rsidP="00491F7E">
      <w:pPr>
        <w:widowControl/>
        <w:numPr>
          <w:ilvl w:val="0"/>
          <w:numId w:val="15"/>
        </w:numPr>
        <w:autoSpaceDE/>
        <w:autoSpaceDN/>
        <w:spacing w:after="12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Object Storage Policies/ACL changes</w:t>
      </w:r>
    </w:p>
    <w:p w14:paraId="4B8850E2" w14:textId="77777777" w:rsidR="00491F7E" w:rsidRPr="00491F7E" w:rsidRDefault="00491F7E" w:rsidP="00491F7E">
      <w:pPr>
        <w:widowControl/>
        <w:numPr>
          <w:ilvl w:val="0"/>
          <w:numId w:val="15"/>
        </w:numPr>
        <w:autoSpaceDE/>
        <w:autoSpaceDN/>
        <w:spacing w:after="12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Public access grant notifications for Object Storage</w:t>
      </w:r>
    </w:p>
    <w:p w14:paraId="4793D9C6" w14:textId="77777777" w:rsidR="00491F7E" w:rsidRPr="00491F7E" w:rsidRDefault="00491F7E" w:rsidP="00491F7E">
      <w:pPr>
        <w:widowControl/>
        <w:numPr>
          <w:ilvl w:val="0"/>
          <w:numId w:val="15"/>
        </w:numPr>
        <w:autoSpaceDE/>
        <w:autoSpaceDN/>
        <w:spacing w:after="12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Service Quota Limits</w:t>
      </w:r>
    </w:p>
    <w:p w14:paraId="0E165B72"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Automated Compliance Reporting:</w:t>
      </w:r>
    </w:p>
    <w:p w14:paraId="0ABEE814" w14:textId="77777777" w:rsidR="00491F7E" w:rsidRPr="00491F7E" w:rsidRDefault="00491F7E" w:rsidP="00491F7E">
      <w:pPr>
        <w:widowControl/>
        <w:numPr>
          <w:ilvl w:val="0"/>
          <w:numId w:val="16"/>
        </w:numPr>
        <w:autoSpaceDE/>
        <w:autoSpaceDN/>
        <w:spacing w:after="12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Reports on best practices and customer compliance with Center for Internet Security (CIS) benchmarks compared against the CSP IaaS environment and assets.</w:t>
      </w:r>
    </w:p>
    <w:p w14:paraId="58D9FB90" w14:textId="77777777" w:rsidR="00491F7E" w:rsidRPr="00491F7E" w:rsidRDefault="00491F7E" w:rsidP="00491F7E">
      <w:pPr>
        <w:widowControl/>
        <w:autoSpaceDE/>
        <w:autoSpaceDN/>
        <w:spacing w:after="120" w:line="259" w:lineRule="auto"/>
        <w:ind w:left="1080"/>
        <w:contextualSpacing/>
        <w:jc w:val="both"/>
        <w:rPr>
          <w:rFonts w:ascii="Arial" w:eastAsia="Times New Roman" w:hAnsi="Arial" w:cs="Times New Roman"/>
          <w:sz w:val="24"/>
          <w:szCs w:val="24"/>
        </w:rPr>
      </w:pPr>
    </w:p>
    <w:p w14:paraId="3D94BB46" w14:textId="77777777" w:rsidR="00491F7E" w:rsidRPr="00491F7E" w:rsidRDefault="00491F7E" w:rsidP="00491F7E">
      <w:pPr>
        <w:keepNext/>
        <w:keepLines/>
        <w:widowControl/>
        <w:numPr>
          <w:ilvl w:val="2"/>
          <w:numId w:val="0"/>
        </w:numPr>
        <w:autoSpaceDE/>
        <w:autoSpaceDN/>
        <w:spacing w:before="200" w:after="160" w:line="259" w:lineRule="auto"/>
        <w:ind w:left="1080"/>
        <w:jc w:val="both"/>
        <w:outlineLvl w:val="2"/>
        <w:rPr>
          <w:rFonts w:ascii="Arial" w:eastAsia="MS Gothic" w:hAnsi="Arial" w:cs="Times New Roman"/>
          <w:b/>
          <w:bCs/>
          <w:sz w:val="24"/>
          <w:szCs w:val="24"/>
        </w:rPr>
      </w:pPr>
      <w:bookmarkStart w:id="4" w:name="_Ref130483666"/>
      <w:r w:rsidRPr="00491F7E">
        <w:rPr>
          <w:rFonts w:ascii="Arial" w:eastAsia="MS Gothic" w:hAnsi="Arial" w:cs="Times New Roman"/>
          <w:b/>
          <w:bCs/>
          <w:sz w:val="24"/>
          <w:szCs w:val="24"/>
        </w:rPr>
        <w:t>2.1.2 Infrastructure Service Incident Management</w:t>
      </w:r>
      <w:bookmarkEnd w:id="4"/>
    </w:p>
    <w:p w14:paraId="0DE13EDB"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Infrastructure and Incident Management Services enable the identification, classification, and filtering of events, while offering structured responses to address and resolve infrastructure service incidents in customer environments. Event management, utilizing the Monitoring Solution automation framework, oversees detection and notification through designated service topics. Critical events trigger infrastructure incident response processes and procedures, as the SMX team employs structured methodologies to identify, classify, escalate, and resolve incidents concerning managed cloud infrastructure and supported operating systems.</w:t>
      </w:r>
    </w:p>
    <w:p w14:paraId="1535038B" w14:textId="77777777" w:rsidR="00491F7E" w:rsidRPr="00491F7E" w:rsidRDefault="00491F7E" w:rsidP="00491F7E">
      <w:pPr>
        <w:keepNext/>
        <w:keepLines/>
        <w:widowControl/>
        <w:numPr>
          <w:ilvl w:val="2"/>
          <w:numId w:val="0"/>
        </w:numPr>
        <w:autoSpaceDE/>
        <w:autoSpaceDN/>
        <w:spacing w:before="200" w:after="160" w:line="259" w:lineRule="auto"/>
        <w:ind w:left="720"/>
        <w:jc w:val="both"/>
        <w:outlineLvl w:val="2"/>
        <w:rPr>
          <w:rFonts w:ascii="Arial" w:eastAsia="MS Gothic" w:hAnsi="Arial" w:cs="Times New Roman"/>
          <w:b/>
          <w:bCs/>
          <w:sz w:val="24"/>
          <w:szCs w:val="24"/>
        </w:rPr>
      </w:pPr>
      <w:bookmarkStart w:id="5" w:name="_Ref130483673"/>
      <w:r w:rsidRPr="00491F7E">
        <w:rPr>
          <w:rFonts w:ascii="Arial" w:eastAsia="MS Gothic" w:hAnsi="Arial" w:cs="Times New Roman"/>
          <w:b/>
          <w:bCs/>
          <w:sz w:val="24"/>
          <w:szCs w:val="24"/>
        </w:rPr>
        <w:t xml:space="preserve">     2.1.3 SLA Management</w:t>
      </w:r>
      <w:bookmarkEnd w:id="5"/>
    </w:p>
    <w:p w14:paraId="2DD5B6E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Customer service requirements are monitored and tracked against documented Service Level Agreements (SLAs). The SLA Management Service reports service performance against standard Service Level targets identified below in Section 3 Service Level Agreements. The reports are provided monthly and are designed to ensure service transparency by providing quality metrics throughout your experience. These metrics become the baseline for our ITSM Continuous Process Improvement.</w:t>
      </w:r>
    </w:p>
    <w:p w14:paraId="7AD57EDF" w14:textId="77777777" w:rsidR="00491F7E" w:rsidRPr="00491F7E" w:rsidRDefault="00491F7E" w:rsidP="00491F7E">
      <w:pPr>
        <w:keepNext/>
        <w:keepLines/>
        <w:widowControl/>
        <w:autoSpaceDE/>
        <w:autoSpaceDN/>
        <w:spacing w:before="200" w:after="160" w:line="259" w:lineRule="auto"/>
        <w:jc w:val="both"/>
        <w:outlineLvl w:val="2"/>
        <w:rPr>
          <w:rFonts w:ascii="Arial" w:eastAsia="MS Gothic" w:hAnsi="Arial" w:cs="Times New Roman"/>
          <w:b/>
          <w:bCs/>
          <w:sz w:val="24"/>
          <w:szCs w:val="24"/>
        </w:rPr>
      </w:pPr>
      <w:bookmarkStart w:id="6" w:name="_Ref130483680"/>
      <w:r w:rsidRPr="00491F7E">
        <w:rPr>
          <w:rFonts w:ascii="Arial" w:eastAsia="MS Gothic" w:hAnsi="Arial" w:cs="Times New Roman"/>
          <w:b/>
          <w:bCs/>
          <w:sz w:val="24"/>
          <w:szCs w:val="24"/>
        </w:rPr>
        <w:t xml:space="preserve">               2.1.4 Log Aggregation Service</w:t>
      </w:r>
      <w:bookmarkEnd w:id="6"/>
    </w:p>
    <w:p w14:paraId="6B71267F"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The Log Aggregation Service captures cloud service provider logs, network and load balancer &amp; object access logs for retention and archive. </w:t>
      </w:r>
    </w:p>
    <w:p w14:paraId="6EDECF25"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Please note that log correlation, advanced search, analysis and support for other log types are not part of this service – see 2.7.2 Enhanced Log Aggregation and Analysis. Technologies used in support of log aggregation include: </w:t>
      </w:r>
    </w:p>
    <w:p w14:paraId="74BDA5C4" w14:textId="77777777" w:rsidR="00491F7E" w:rsidRPr="00491F7E" w:rsidRDefault="00491F7E" w:rsidP="00491F7E">
      <w:pPr>
        <w:widowControl/>
        <w:numPr>
          <w:ilvl w:val="0"/>
          <w:numId w:val="7"/>
        </w:numPr>
        <w:autoSpaceDE/>
        <w:autoSpaceDN/>
        <w:spacing w:after="160" w:line="259" w:lineRule="auto"/>
        <w:jc w:val="both"/>
        <w:rPr>
          <w:rFonts w:ascii="Avenir Next LT Pro Light" w:eastAsia="MS Mincho" w:hAnsi="Avenir Next LT Pro Light" w:cs="Times New Roman"/>
          <w:sz w:val="20"/>
          <w:szCs w:val="20"/>
        </w:rPr>
      </w:pPr>
      <w:r w:rsidRPr="00491F7E">
        <w:rPr>
          <w:rFonts w:ascii="Avenir Next LT Pro Light" w:eastAsia="Times New Roman" w:hAnsi="Avenir Next LT Pro Light" w:cs="Times New Roman"/>
          <w:sz w:val="20"/>
          <w:szCs w:val="20"/>
        </w:rPr>
        <w:t>CSP API Logs</w:t>
      </w:r>
    </w:p>
    <w:p w14:paraId="2A8D3CA0" w14:textId="77777777" w:rsidR="00491F7E" w:rsidRPr="00491F7E" w:rsidRDefault="00491F7E" w:rsidP="00491F7E">
      <w:pPr>
        <w:widowControl/>
        <w:numPr>
          <w:ilvl w:val="0"/>
          <w:numId w:val="7"/>
        </w:numPr>
        <w:autoSpaceDE/>
        <w:autoSpaceDN/>
        <w:spacing w:after="160" w:line="259" w:lineRule="auto"/>
        <w:jc w:val="both"/>
        <w:rPr>
          <w:rFonts w:ascii="Avenir Next LT Pro Light" w:eastAsia="MS Mincho" w:hAnsi="Avenir Next LT Pro Light" w:cs="Times New Roman"/>
          <w:sz w:val="20"/>
          <w:szCs w:val="20"/>
        </w:rPr>
      </w:pPr>
      <w:r w:rsidRPr="00491F7E">
        <w:rPr>
          <w:rFonts w:ascii="Avenir Next LT Pro Light" w:eastAsia="Times New Roman" w:hAnsi="Avenir Next LT Pro Light" w:cs="Times New Roman"/>
          <w:sz w:val="20"/>
          <w:szCs w:val="20"/>
        </w:rPr>
        <w:t>Virtual Network Flow Logs</w:t>
      </w:r>
    </w:p>
    <w:p w14:paraId="075B99AD" w14:textId="77777777" w:rsidR="00491F7E" w:rsidRPr="00491F7E" w:rsidRDefault="00491F7E" w:rsidP="00491F7E">
      <w:pPr>
        <w:widowControl/>
        <w:numPr>
          <w:ilvl w:val="0"/>
          <w:numId w:val="7"/>
        </w:numPr>
        <w:autoSpaceDE/>
        <w:autoSpaceDN/>
        <w:spacing w:after="160" w:line="259" w:lineRule="auto"/>
        <w:jc w:val="both"/>
        <w:rPr>
          <w:rFonts w:ascii="Avenir Next LT Pro Light" w:eastAsia="MS Mincho" w:hAnsi="Avenir Next LT Pro Light" w:cs="Times New Roman"/>
          <w:sz w:val="20"/>
          <w:szCs w:val="20"/>
        </w:rPr>
      </w:pPr>
      <w:r w:rsidRPr="00491F7E">
        <w:rPr>
          <w:rFonts w:ascii="Avenir Next LT Pro Light" w:eastAsia="Times New Roman" w:hAnsi="Avenir Next LT Pro Light" w:cs="Times New Roman"/>
          <w:sz w:val="20"/>
          <w:szCs w:val="20"/>
        </w:rPr>
        <w:t>Load Balancer Logs</w:t>
      </w:r>
    </w:p>
    <w:p w14:paraId="60232344" w14:textId="77777777" w:rsidR="00491F7E" w:rsidRPr="00491F7E" w:rsidRDefault="00491F7E" w:rsidP="00491F7E">
      <w:pPr>
        <w:widowControl/>
        <w:numPr>
          <w:ilvl w:val="0"/>
          <w:numId w:val="7"/>
        </w:numPr>
        <w:autoSpaceDE/>
        <w:autoSpaceDN/>
        <w:spacing w:after="160" w:line="259" w:lineRule="auto"/>
        <w:jc w:val="both"/>
        <w:rPr>
          <w:rFonts w:ascii="Avenir Next LT Pro Light" w:eastAsia="MS Mincho" w:hAnsi="Avenir Next LT Pro Light" w:cs="Times New Roman"/>
          <w:sz w:val="20"/>
          <w:szCs w:val="20"/>
        </w:rPr>
      </w:pPr>
      <w:r w:rsidRPr="00491F7E">
        <w:rPr>
          <w:rFonts w:ascii="Avenir Next LT Pro Light" w:eastAsia="Times New Roman" w:hAnsi="Avenir Next LT Pro Light" w:cs="Times New Roman"/>
          <w:sz w:val="20"/>
          <w:szCs w:val="20"/>
        </w:rPr>
        <w:t>Object Storage Access Logs</w:t>
      </w:r>
    </w:p>
    <w:p w14:paraId="3F0CC1FE" w14:textId="77777777" w:rsidR="00491F7E" w:rsidRPr="00491F7E" w:rsidRDefault="00491F7E" w:rsidP="00491F7E">
      <w:pPr>
        <w:keepNext/>
        <w:keepLines/>
        <w:widowControl/>
        <w:autoSpaceDE/>
        <w:autoSpaceDN/>
        <w:spacing w:before="200" w:after="160" w:line="259" w:lineRule="auto"/>
        <w:ind w:left="1440" w:hanging="720"/>
        <w:jc w:val="both"/>
        <w:outlineLvl w:val="2"/>
        <w:rPr>
          <w:rFonts w:ascii="Arial" w:eastAsia="MS Gothic" w:hAnsi="Arial" w:cs="Times New Roman"/>
          <w:b/>
          <w:bCs/>
          <w:sz w:val="24"/>
          <w:szCs w:val="24"/>
        </w:rPr>
      </w:pPr>
      <w:r w:rsidRPr="00491F7E">
        <w:rPr>
          <w:rFonts w:ascii="Arial" w:eastAsia="MS Gothic" w:hAnsi="Arial" w:cs="Times New Roman"/>
          <w:b/>
          <w:bCs/>
          <w:sz w:val="24"/>
          <w:szCs w:val="24"/>
        </w:rPr>
        <w:t xml:space="preserve"> </w:t>
      </w:r>
      <w:bookmarkStart w:id="7" w:name="_Ref130483688"/>
      <w:r w:rsidRPr="00491F7E">
        <w:rPr>
          <w:rFonts w:ascii="Arial" w:eastAsia="MS Gothic" w:hAnsi="Arial" w:cs="Times New Roman"/>
          <w:b/>
          <w:bCs/>
          <w:sz w:val="24"/>
          <w:szCs w:val="24"/>
        </w:rPr>
        <w:t>2.1.5 Boundary and Network Management</w:t>
      </w:r>
      <w:bookmarkEnd w:id="7"/>
    </w:p>
    <w:p w14:paraId="677B0264" w14:textId="77777777" w:rsidR="00491F7E" w:rsidRPr="00491F7E" w:rsidRDefault="00491F7E" w:rsidP="00491F7E">
      <w:pPr>
        <w:widowControl/>
        <w:autoSpaceDE/>
        <w:autoSpaceDN/>
        <w:spacing w:after="160" w:line="259" w:lineRule="auto"/>
        <w:rPr>
          <w:rFonts w:ascii="Avenir Next LT Pro Light" w:eastAsia="Times New Roman" w:hAnsi="Avenir Next LT Pro Light" w:cs="Times New Roman"/>
          <w:sz w:val="20"/>
          <w:szCs w:val="20"/>
        </w:rPr>
      </w:pPr>
      <w:r w:rsidRPr="00491F7E">
        <w:rPr>
          <w:rFonts w:ascii="Avenir Next LT Pro Light" w:eastAsia="Times New Roman" w:hAnsi="Avenir Next LT Pro Light" w:cs="Times New Roman"/>
          <w:sz w:val="20"/>
          <w:szCs w:val="20"/>
        </w:rPr>
        <w:t xml:space="preserve">The Boundary and Network Management Service offers monitoring and configuration management for various cloud service provider (CSP) native components. Our team of experts provides secure and </w:t>
      </w:r>
      <w:bookmarkStart w:id="8" w:name="_Int_IhB1U5VG"/>
      <w:r w:rsidRPr="00491F7E">
        <w:rPr>
          <w:rFonts w:ascii="Avenir Next LT Pro Light" w:eastAsia="Times New Roman" w:hAnsi="Avenir Next LT Pro Light" w:cs="Times New Roman"/>
          <w:sz w:val="20"/>
          <w:szCs w:val="20"/>
        </w:rPr>
        <w:t>highly available</w:t>
      </w:r>
      <w:bookmarkEnd w:id="8"/>
      <w:r w:rsidRPr="00491F7E">
        <w:rPr>
          <w:rFonts w:ascii="Avenir Next LT Pro Light" w:eastAsia="Times New Roman" w:hAnsi="Avenir Next LT Pro Light" w:cs="Times New Roman"/>
          <w:sz w:val="20"/>
          <w:szCs w:val="20"/>
        </w:rPr>
        <w:t xml:space="preserve"> management and monitoring of CSP native boundary services, load balancers, and virtual networks. We identify and mitigate network-level changes in response to events or customer requests, such as VPN tunnel configuration, firewall policy changes, IP route configurations, public IP </w:t>
      </w:r>
      <w:r w:rsidRPr="00491F7E">
        <w:rPr>
          <w:rFonts w:ascii="Avenir Next LT Pro Light" w:eastAsia="Times New Roman" w:hAnsi="Avenir Next LT Pro Light" w:cs="Times New Roman"/>
          <w:sz w:val="20"/>
          <w:szCs w:val="20"/>
        </w:rPr>
        <w:lastRenderedPageBreak/>
        <w:t>allocation for service advertising, load balancing capabilities deployment and monitoring, and deployment of new cloud IP subnets.</w:t>
      </w:r>
    </w:p>
    <w:p w14:paraId="75179D5A" w14:textId="77777777" w:rsidR="00491F7E" w:rsidRPr="00491F7E" w:rsidRDefault="00491F7E" w:rsidP="00491F7E">
      <w:pPr>
        <w:widowControl/>
        <w:autoSpaceDE/>
        <w:autoSpaceDN/>
        <w:spacing w:after="160" w:line="259" w:lineRule="auto"/>
        <w:rPr>
          <w:rFonts w:ascii="Avenir Next LT Pro Light" w:eastAsia="Times New Roman" w:hAnsi="Avenir Next LT Pro Light" w:cs="Times New Roman"/>
          <w:sz w:val="20"/>
          <w:szCs w:val="20"/>
        </w:rPr>
      </w:pPr>
      <w:r w:rsidRPr="00491F7E">
        <w:rPr>
          <w:rFonts w:ascii="Avenir Next LT Pro Light" w:eastAsia="Times New Roman" w:hAnsi="Avenir Next LT Pro Light" w:cs="Times New Roman"/>
          <w:sz w:val="20"/>
          <w:szCs w:val="20"/>
        </w:rPr>
        <w:t>Our service also includes implementation of changes to cloud-native layer 3 network configuration items upon request, diagnostic support for connectivity troubleshooting, native Cloud networking logging and retention management, log interrogation and analysis upon request, coordination with remote network operators for real-time diagnostic feedback on interconnectivity support, and external application HTTP status code validation using Pingdom, with monitoring and alerting.</w:t>
      </w:r>
    </w:p>
    <w:p w14:paraId="25FC7C89" w14:textId="77777777" w:rsidR="00491F7E" w:rsidRPr="00491F7E" w:rsidRDefault="00491F7E" w:rsidP="00491F7E">
      <w:pPr>
        <w:widowControl/>
        <w:autoSpaceDE/>
        <w:autoSpaceDN/>
        <w:spacing w:after="160" w:line="259" w:lineRule="auto"/>
        <w:jc w:val="both"/>
        <w:rPr>
          <w:rFonts w:ascii="Avenir Next LT Pro Light" w:eastAsia="Times New Roman" w:hAnsi="Avenir Next LT Pro Light" w:cs="Avenir Next LT Pro Light"/>
          <w:b/>
          <w:bCs/>
          <w:sz w:val="20"/>
          <w:szCs w:val="20"/>
        </w:rPr>
      </w:pPr>
      <w:r w:rsidRPr="00491F7E">
        <w:rPr>
          <w:rFonts w:ascii="Avenir Next LT Pro Light" w:eastAsia="Segoe UI" w:hAnsi="Avenir Next LT Pro Light" w:cs="Avenir Next LT Pro Light"/>
          <w:b/>
          <w:bCs/>
          <w:sz w:val="20"/>
          <w:szCs w:val="20"/>
        </w:rPr>
        <w:t>Target Group Metrics for Load Balancer Monitoring</w:t>
      </w:r>
    </w:p>
    <w:p w14:paraId="62424A8A" w14:textId="77777777" w:rsidR="00491F7E" w:rsidRPr="00491F7E" w:rsidRDefault="00491F7E" w:rsidP="00491F7E">
      <w:pPr>
        <w:widowControl/>
        <w:numPr>
          <w:ilvl w:val="0"/>
          <w:numId w:val="8"/>
        </w:numPr>
        <w:autoSpaceDE/>
        <w:autoSpaceDN/>
        <w:spacing w:after="160" w:line="259" w:lineRule="auto"/>
        <w:contextualSpacing/>
        <w:jc w:val="both"/>
        <w:rPr>
          <w:rFonts w:ascii="Avenir Next LT Pro Light" w:eastAsia="MS Mincho" w:hAnsi="Avenir Next LT Pro Light" w:cs="Avenir Next LT Pro Light"/>
          <w:sz w:val="20"/>
          <w:szCs w:val="20"/>
        </w:rPr>
      </w:pPr>
      <w:r w:rsidRPr="00491F7E">
        <w:rPr>
          <w:rFonts w:ascii="Avenir Next LT Pro Light" w:eastAsia="Segoe UI" w:hAnsi="Avenir Next LT Pro Light" w:cs="Avenir Next LT Pro Light"/>
          <w:sz w:val="20"/>
          <w:szCs w:val="20"/>
        </w:rPr>
        <w:t>Healthy Host Count</w:t>
      </w:r>
    </w:p>
    <w:p w14:paraId="243287DF" w14:textId="77777777" w:rsidR="00491F7E" w:rsidRPr="00491F7E" w:rsidRDefault="00491F7E" w:rsidP="00491F7E">
      <w:pPr>
        <w:widowControl/>
        <w:numPr>
          <w:ilvl w:val="0"/>
          <w:numId w:val="8"/>
        </w:numPr>
        <w:autoSpaceDE/>
        <w:autoSpaceDN/>
        <w:spacing w:after="160" w:line="259" w:lineRule="auto"/>
        <w:contextualSpacing/>
        <w:jc w:val="both"/>
        <w:rPr>
          <w:rFonts w:ascii="Avenir Next LT Pro Light" w:eastAsia="MS Mincho" w:hAnsi="Avenir Next LT Pro Light" w:cs="Avenir Next LT Pro Light"/>
          <w:sz w:val="20"/>
          <w:szCs w:val="20"/>
        </w:rPr>
      </w:pPr>
      <w:r w:rsidRPr="00491F7E">
        <w:rPr>
          <w:rFonts w:ascii="Avenir Next LT Pro Light" w:eastAsia="Segoe UI" w:hAnsi="Avenir Next LT Pro Light" w:cs="Avenir Next LT Pro Light"/>
          <w:sz w:val="20"/>
          <w:szCs w:val="20"/>
        </w:rPr>
        <w:t>Request Count Per Target</w:t>
      </w:r>
    </w:p>
    <w:p w14:paraId="41933387" w14:textId="77777777" w:rsidR="00491F7E" w:rsidRPr="00491F7E" w:rsidRDefault="00491F7E" w:rsidP="00491F7E">
      <w:pPr>
        <w:widowControl/>
        <w:numPr>
          <w:ilvl w:val="0"/>
          <w:numId w:val="8"/>
        </w:numPr>
        <w:autoSpaceDE/>
        <w:autoSpaceDN/>
        <w:spacing w:after="160" w:line="259" w:lineRule="auto"/>
        <w:contextualSpacing/>
        <w:jc w:val="both"/>
        <w:rPr>
          <w:rFonts w:ascii="Avenir Next LT Pro Light" w:eastAsia="MS Mincho" w:hAnsi="Avenir Next LT Pro Light" w:cs="Avenir Next LT Pro Light"/>
          <w:sz w:val="20"/>
          <w:szCs w:val="20"/>
        </w:rPr>
      </w:pPr>
      <w:r w:rsidRPr="00491F7E">
        <w:rPr>
          <w:rFonts w:ascii="Avenir Next LT Pro Light" w:eastAsia="Segoe UI" w:hAnsi="Avenir Next LT Pro Light" w:cs="Avenir Next LT Pro Light"/>
          <w:sz w:val="20"/>
          <w:szCs w:val="20"/>
        </w:rPr>
        <w:t>Request Count</w:t>
      </w:r>
    </w:p>
    <w:p w14:paraId="472CA0C1" w14:textId="77777777" w:rsidR="00491F7E" w:rsidRPr="00491F7E" w:rsidRDefault="00491F7E" w:rsidP="00491F7E">
      <w:pPr>
        <w:widowControl/>
        <w:numPr>
          <w:ilvl w:val="0"/>
          <w:numId w:val="8"/>
        </w:numPr>
        <w:autoSpaceDE/>
        <w:autoSpaceDN/>
        <w:spacing w:after="160" w:line="259" w:lineRule="auto"/>
        <w:contextualSpacing/>
        <w:jc w:val="both"/>
        <w:rPr>
          <w:rFonts w:ascii="Avenir Next LT Pro Light" w:eastAsia="MS Mincho" w:hAnsi="Avenir Next LT Pro Light" w:cs="Avenir Next LT Pro Light"/>
          <w:sz w:val="20"/>
          <w:szCs w:val="20"/>
        </w:rPr>
      </w:pPr>
      <w:r w:rsidRPr="00491F7E">
        <w:rPr>
          <w:rFonts w:ascii="Avenir Next LT Pro Light" w:eastAsia="Segoe UI" w:hAnsi="Avenir Next LT Pro Light" w:cs="Avenir Next LT Pro Light"/>
          <w:sz w:val="20"/>
          <w:szCs w:val="20"/>
        </w:rPr>
        <w:t>Target Response Time</w:t>
      </w:r>
    </w:p>
    <w:p w14:paraId="161FD65F" w14:textId="77777777" w:rsidR="00491F7E" w:rsidRPr="00491F7E" w:rsidRDefault="00491F7E" w:rsidP="00491F7E">
      <w:pPr>
        <w:widowControl/>
        <w:numPr>
          <w:ilvl w:val="0"/>
          <w:numId w:val="8"/>
        </w:numPr>
        <w:autoSpaceDE/>
        <w:autoSpaceDN/>
        <w:spacing w:after="160" w:line="259" w:lineRule="auto"/>
        <w:contextualSpacing/>
        <w:jc w:val="both"/>
        <w:rPr>
          <w:rFonts w:ascii="Avenir Next LT Pro Light" w:eastAsia="MS Mincho" w:hAnsi="Avenir Next LT Pro Light" w:cs="Avenir Next LT Pro Light"/>
          <w:sz w:val="20"/>
          <w:szCs w:val="20"/>
        </w:rPr>
      </w:pPr>
      <w:r w:rsidRPr="00491F7E">
        <w:rPr>
          <w:rFonts w:ascii="Avenir Next LT Pro Light" w:eastAsia="Segoe UI" w:hAnsi="Avenir Next LT Pro Light" w:cs="Avenir Next LT Pro Light"/>
          <w:sz w:val="20"/>
          <w:szCs w:val="20"/>
        </w:rPr>
        <w:t>HTTP 4XX Count</w:t>
      </w:r>
    </w:p>
    <w:p w14:paraId="5E6FAE36" w14:textId="77777777" w:rsidR="00491F7E" w:rsidRPr="00491F7E" w:rsidRDefault="00491F7E" w:rsidP="00491F7E">
      <w:pPr>
        <w:widowControl/>
        <w:numPr>
          <w:ilvl w:val="0"/>
          <w:numId w:val="8"/>
        </w:numPr>
        <w:autoSpaceDE/>
        <w:autoSpaceDN/>
        <w:spacing w:after="160" w:line="259" w:lineRule="auto"/>
        <w:contextualSpacing/>
        <w:jc w:val="both"/>
        <w:rPr>
          <w:rFonts w:ascii="Avenir Next LT Pro Light" w:eastAsia="MS Mincho" w:hAnsi="Avenir Next LT Pro Light" w:cs="Avenir Next LT Pro Light"/>
          <w:sz w:val="20"/>
          <w:szCs w:val="20"/>
        </w:rPr>
      </w:pPr>
      <w:r w:rsidRPr="00491F7E">
        <w:rPr>
          <w:rFonts w:ascii="Avenir Next LT Pro Light" w:eastAsia="Segoe UI" w:hAnsi="Avenir Next LT Pro Light" w:cs="Avenir Next LT Pro Light"/>
          <w:sz w:val="20"/>
          <w:szCs w:val="20"/>
        </w:rPr>
        <w:t>HTTP 2XX Count</w:t>
      </w:r>
    </w:p>
    <w:p w14:paraId="7D7B3431" w14:textId="77777777" w:rsidR="00491F7E" w:rsidRPr="00491F7E" w:rsidRDefault="00491F7E" w:rsidP="00491F7E">
      <w:pPr>
        <w:widowControl/>
        <w:numPr>
          <w:ilvl w:val="0"/>
          <w:numId w:val="8"/>
        </w:numPr>
        <w:autoSpaceDE/>
        <w:autoSpaceDN/>
        <w:spacing w:after="160" w:line="259" w:lineRule="auto"/>
        <w:contextualSpacing/>
        <w:jc w:val="both"/>
        <w:rPr>
          <w:rFonts w:ascii="Avenir Next LT Pro Light" w:eastAsia="MS Mincho" w:hAnsi="Avenir Next LT Pro Light" w:cs="Avenir Next LT Pro Light"/>
          <w:sz w:val="20"/>
          <w:szCs w:val="20"/>
        </w:rPr>
      </w:pPr>
      <w:r w:rsidRPr="00491F7E">
        <w:rPr>
          <w:rFonts w:ascii="Avenir Next LT Pro Light" w:eastAsia="Segoe UI" w:hAnsi="Avenir Next LT Pro Light" w:cs="Avenir Next LT Pro Light"/>
          <w:sz w:val="20"/>
          <w:szCs w:val="20"/>
        </w:rPr>
        <w:t>Unhealthy Host Count</w:t>
      </w:r>
    </w:p>
    <w:p w14:paraId="7A8E2F30" w14:textId="77777777" w:rsidR="00491F7E" w:rsidRPr="00491F7E" w:rsidRDefault="00491F7E" w:rsidP="00491F7E">
      <w:pPr>
        <w:widowControl/>
        <w:numPr>
          <w:ilvl w:val="0"/>
          <w:numId w:val="8"/>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Segoe UI" w:hAnsi="Avenir Next LT Pro Light" w:cs="Times New Roman"/>
          <w:sz w:val="20"/>
          <w:szCs w:val="20"/>
        </w:rPr>
        <w:t>Target Connection Error Count</w:t>
      </w:r>
    </w:p>
    <w:p w14:paraId="3BB53A27" w14:textId="77777777" w:rsidR="00491F7E" w:rsidRPr="00491F7E" w:rsidRDefault="00491F7E" w:rsidP="00491F7E">
      <w:pPr>
        <w:keepNext/>
        <w:keepLines/>
        <w:widowControl/>
        <w:autoSpaceDE/>
        <w:autoSpaceDN/>
        <w:spacing w:before="200" w:after="160" w:line="259" w:lineRule="auto"/>
        <w:ind w:left="1440" w:hanging="720"/>
        <w:jc w:val="both"/>
        <w:outlineLvl w:val="2"/>
        <w:rPr>
          <w:rFonts w:ascii="Arial" w:eastAsia="MS Gothic" w:hAnsi="Arial" w:cs="Times New Roman"/>
          <w:b/>
          <w:bCs/>
          <w:sz w:val="24"/>
          <w:szCs w:val="24"/>
        </w:rPr>
      </w:pPr>
      <w:r w:rsidRPr="00491F7E">
        <w:rPr>
          <w:rFonts w:ascii="Arial" w:eastAsia="MS Gothic" w:hAnsi="Arial" w:cs="Times New Roman"/>
          <w:b/>
          <w:bCs/>
          <w:sz w:val="24"/>
          <w:szCs w:val="24"/>
        </w:rPr>
        <w:t xml:space="preserve">2.1.6 </w:t>
      </w:r>
      <w:bookmarkStart w:id="9" w:name="_Ref130483699"/>
      <w:r w:rsidRPr="00491F7E">
        <w:rPr>
          <w:rFonts w:ascii="Arial" w:eastAsia="MS Gothic" w:hAnsi="Arial" w:cs="Times New Roman"/>
          <w:b/>
          <w:bCs/>
          <w:sz w:val="24"/>
          <w:szCs w:val="24"/>
        </w:rPr>
        <w:t>Infrastructure Provisioning</w:t>
      </w:r>
      <w:bookmarkEnd w:id="9"/>
    </w:p>
    <w:p w14:paraId="3284AB6F"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Infrastructure Provisioning services guarantee consistent and repeatable deployment of native cloud infrastructure into a predefined environment. Customers submit provisioning requests via the customer management portal for any services requiring management. SMX reviews the requests, confirms the requirements, provisions the resources, and configures them to ensure proper integration with Account and Core Services. This includes tagging provisioned resources for Managed Services, potentially through a client-updated CI/CD pipeline script. Provisioning resources not managed under SMX Account and Core services or defining new landing zones or associated network and account definitions, must be supported by an SMX professional services team under a separate statement of work.</w:t>
      </w:r>
    </w:p>
    <w:p w14:paraId="26B17CD2" w14:textId="77777777" w:rsidR="00491F7E" w:rsidRPr="00491F7E" w:rsidRDefault="00491F7E" w:rsidP="00491F7E">
      <w:pPr>
        <w:keepNext/>
        <w:keepLines/>
        <w:widowControl/>
        <w:autoSpaceDE/>
        <w:autoSpaceDN/>
        <w:spacing w:before="200" w:after="160" w:line="259" w:lineRule="auto"/>
        <w:ind w:left="1440" w:hanging="720"/>
        <w:jc w:val="both"/>
        <w:outlineLvl w:val="2"/>
        <w:rPr>
          <w:rFonts w:ascii="Arial" w:eastAsia="MS Gothic" w:hAnsi="Arial" w:cs="Times New Roman"/>
          <w:b/>
          <w:bCs/>
          <w:sz w:val="24"/>
          <w:szCs w:val="24"/>
        </w:rPr>
      </w:pPr>
      <w:bookmarkStart w:id="10" w:name="_Ref130483710"/>
      <w:r w:rsidRPr="00491F7E">
        <w:rPr>
          <w:rFonts w:ascii="Arial" w:eastAsia="MS Gothic" w:hAnsi="Arial" w:cs="Times New Roman"/>
          <w:b/>
          <w:bCs/>
          <w:sz w:val="24"/>
          <w:szCs w:val="24"/>
        </w:rPr>
        <w:t xml:space="preserve">2.1.7 Serverless Compliance, Logging, and Real-Time Monitoring </w:t>
      </w:r>
      <w:bookmarkEnd w:id="10"/>
    </w:p>
    <w:p w14:paraId="020E405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SCLRM is optimized for monitoring CSP Serverless implementations, enforcing, and reporting CIS Benchmark Compliance. Security Benchmarks follow CIS best practices, composed of industry-standard checks. All serverless environments undergo audits to ensure security compliance with relevant standards.</w:t>
      </w:r>
    </w:p>
    <w:p w14:paraId="77C5DD21" w14:textId="77777777" w:rsidR="00491F7E" w:rsidRPr="00491F7E" w:rsidRDefault="00491F7E" w:rsidP="00491F7E">
      <w:pPr>
        <w:widowControl/>
        <w:autoSpaceDE/>
        <w:autoSpaceDN/>
        <w:spacing w:after="160" w:line="259" w:lineRule="auto"/>
        <w:rPr>
          <w:rFonts w:ascii="Avenir Next LT Pro Light" w:eastAsia="MS Mincho" w:hAnsi="Avenir Next LT Pro Light" w:cs="Avenir Next LT Pro Light"/>
          <w:sz w:val="20"/>
          <w:szCs w:val="20"/>
        </w:rPr>
      </w:pPr>
      <w:r w:rsidRPr="00491F7E">
        <w:rPr>
          <w:rFonts w:ascii="Avenir Next LT Pro Light" w:eastAsia="MS Mincho" w:hAnsi="Avenir Next LT Pro Light" w:cs="Avenir Next LT Pro Light"/>
          <w:sz w:val="20"/>
          <w:szCs w:val="20"/>
        </w:rPr>
        <w:t xml:space="preserve">Scope: </w:t>
      </w:r>
    </w:p>
    <w:p w14:paraId="7CC1314D" w14:textId="77777777" w:rsidR="00491F7E" w:rsidRPr="00491F7E" w:rsidRDefault="00491F7E" w:rsidP="00491F7E">
      <w:pPr>
        <w:widowControl/>
        <w:numPr>
          <w:ilvl w:val="0"/>
          <w:numId w:val="11"/>
        </w:numPr>
        <w:autoSpaceDE/>
        <w:autoSpaceDN/>
        <w:spacing w:after="120" w:line="259" w:lineRule="auto"/>
        <w:ind w:left="720"/>
        <w:contextualSpacing/>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Serverless Monitoring and Notification: AWS Lambda, GCP Cloud Functions, Azure Function Apps</w:t>
      </w:r>
    </w:p>
    <w:p w14:paraId="1A8D408D" w14:textId="77777777" w:rsidR="00491F7E" w:rsidRPr="00491F7E" w:rsidRDefault="00491F7E" w:rsidP="00491F7E">
      <w:pPr>
        <w:widowControl/>
        <w:numPr>
          <w:ilvl w:val="0"/>
          <w:numId w:val="11"/>
        </w:numPr>
        <w:autoSpaceDE/>
        <w:autoSpaceDN/>
        <w:spacing w:after="120" w:line="259" w:lineRule="auto"/>
        <w:ind w:left="720"/>
        <w:contextualSpacing/>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AWS/Azure/GCP CIS Benchmark Compliance Implementation/Auditing/Reporting at the Account/Subscription/Project level</w:t>
      </w:r>
    </w:p>
    <w:p w14:paraId="37F21227" w14:textId="77777777" w:rsidR="00491F7E" w:rsidRPr="00491F7E" w:rsidRDefault="00491F7E" w:rsidP="00491F7E">
      <w:pPr>
        <w:widowControl/>
        <w:autoSpaceDE/>
        <w:autoSpaceDN/>
        <w:spacing w:after="160" w:line="259" w:lineRule="auto"/>
        <w:rPr>
          <w:rFonts w:ascii="Avenir Next LT Pro Light" w:eastAsia="MS Mincho" w:hAnsi="Avenir Next LT Pro Light" w:cs="Avenir Next LT Pro Light"/>
          <w:sz w:val="20"/>
          <w:szCs w:val="20"/>
        </w:rPr>
      </w:pPr>
      <w:r w:rsidRPr="00491F7E">
        <w:rPr>
          <w:rFonts w:ascii="Avenir Next LT Pro Light" w:eastAsia="MS Mincho" w:hAnsi="Avenir Next LT Pro Light" w:cs="Avenir Next LT Pro Light"/>
          <w:sz w:val="20"/>
          <w:szCs w:val="20"/>
        </w:rPr>
        <w:t>Serverless Event Monitoring and Notification:</w:t>
      </w:r>
    </w:p>
    <w:p w14:paraId="5CAF2D18" w14:textId="77777777" w:rsidR="00491F7E" w:rsidRPr="00491F7E" w:rsidRDefault="00491F7E" w:rsidP="00491F7E">
      <w:pPr>
        <w:widowControl/>
        <w:numPr>
          <w:ilvl w:val="0"/>
          <w:numId w:val="12"/>
        </w:numPr>
        <w:autoSpaceDE/>
        <w:autoSpaceDN/>
        <w:spacing w:after="120" w:line="259" w:lineRule="auto"/>
        <w:contextualSpacing/>
        <w:jc w:val="both"/>
        <w:rPr>
          <w:rFonts w:ascii="Avenir Next LT Pro Light" w:eastAsia="Times New Roman" w:hAnsi="Avenir Next LT Pro Light" w:cs="Times New Roman"/>
          <w:sz w:val="20"/>
          <w:szCs w:val="20"/>
        </w:rPr>
      </w:pPr>
      <w:r w:rsidRPr="00491F7E">
        <w:rPr>
          <w:rFonts w:ascii="Avenir Next LT Pro Light" w:eastAsia="Times New Roman" w:hAnsi="Avenir Next LT Pro Light" w:cs="Times New Roman"/>
          <w:sz w:val="20"/>
          <w:szCs w:val="20"/>
        </w:rPr>
        <w:t>Captures all (CSP) events, logs, audit information, and monitoring information provided by in-scope services.</w:t>
      </w:r>
    </w:p>
    <w:p w14:paraId="4761E422" w14:textId="77777777" w:rsidR="00491F7E" w:rsidRPr="00491F7E" w:rsidRDefault="00491F7E" w:rsidP="00491F7E">
      <w:pPr>
        <w:widowControl/>
        <w:numPr>
          <w:ilvl w:val="0"/>
          <w:numId w:val="12"/>
        </w:numPr>
        <w:autoSpaceDE/>
        <w:autoSpaceDN/>
        <w:spacing w:after="12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 xml:space="preserve">Alerts are defined for key events within the environment to trigger further analysis or incident response. </w:t>
      </w:r>
    </w:p>
    <w:p w14:paraId="1179D435" w14:textId="77777777" w:rsidR="00491F7E" w:rsidRPr="00491F7E" w:rsidRDefault="00491F7E" w:rsidP="00491F7E">
      <w:pPr>
        <w:widowControl/>
        <w:numPr>
          <w:ilvl w:val="0"/>
          <w:numId w:val="12"/>
        </w:numPr>
        <w:autoSpaceDE/>
        <w:autoSpaceDN/>
        <w:spacing w:after="12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Monitored Metrics include:</w:t>
      </w:r>
    </w:p>
    <w:p w14:paraId="09CE9F4B" w14:textId="77777777" w:rsidR="00491F7E" w:rsidRPr="00491F7E" w:rsidRDefault="00491F7E" w:rsidP="00491F7E">
      <w:pPr>
        <w:widowControl/>
        <w:numPr>
          <w:ilvl w:val="1"/>
          <w:numId w:val="12"/>
        </w:numPr>
        <w:autoSpaceDE/>
        <w:autoSpaceDN/>
        <w:spacing w:after="16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Number of invocations</w:t>
      </w:r>
    </w:p>
    <w:p w14:paraId="56C1AFE6" w14:textId="77777777" w:rsidR="00491F7E" w:rsidRPr="00491F7E" w:rsidRDefault="00491F7E" w:rsidP="00491F7E">
      <w:pPr>
        <w:widowControl/>
        <w:numPr>
          <w:ilvl w:val="1"/>
          <w:numId w:val="12"/>
        </w:numPr>
        <w:autoSpaceDE/>
        <w:autoSpaceDN/>
        <w:spacing w:after="16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lastRenderedPageBreak/>
        <w:t>Failed executions (permissions, timeouts, exceptions)</w:t>
      </w:r>
    </w:p>
    <w:p w14:paraId="5F85F879" w14:textId="77777777" w:rsidR="00491F7E" w:rsidRPr="00491F7E" w:rsidRDefault="00491F7E" w:rsidP="00491F7E">
      <w:pPr>
        <w:widowControl/>
        <w:numPr>
          <w:ilvl w:val="1"/>
          <w:numId w:val="12"/>
        </w:numPr>
        <w:autoSpaceDE/>
        <w:autoSpaceDN/>
        <w:spacing w:after="160" w:line="259" w:lineRule="auto"/>
        <w:contextualSpacing/>
        <w:jc w:val="both"/>
        <w:rPr>
          <w:rFonts w:ascii="Avenir Next LT Pro Light" w:eastAsia="Times New Roman" w:hAnsi="Avenir Next LT Pro Light" w:cs="Avenir Next LT Pro Light"/>
          <w:sz w:val="20"/>
          <w:szCs w:val="20"/>
        </w:rPr>
      </w:pPr>
      <w:r w:rsidRPr="00491F7E">
        <w:rPr>
          <w:rFonts w:ascii="Avenir Next LT Pro Light" w:eastAsia="Times New Roman" w:hAnsi="Avenir Next LT Pro Light" w:cs="Avenir Next LT Pro Light"/>
          <w:sz w:val="20"/>
          <w:szCs w:val="20"/>
        </w:rPr>
        <w:t>Concurrent executions</w:t>
      </w:r>
    </w:p>
    <w:p w14:paraId="319A25B5" w14:textId="77777777" w:rsidR="00491F7E" w:rsidRPr="00491F7E" w:rsidRDefault="00491F7E" w:rsidP="00491F7E">
      <w:pPr>
        <w:widowControl/>
        <w:numPr>
          <w:ilvl w:val="1"/>
          <w:numId w:val="12"/>
        </w:numPr>
        <w:autoSpaceDE/>
        <w:autoSpaceDN/>
        <w:spacing w:after="160" w:line="259" w:lineRule="auto"/>
        <w:contextualSpacing/>
        <w:jc w:val="both"/>
        <w:rPr>
          <w:rFonts w:ascii="Avenir Next LT Pro Light" w:eastAsia="Times New Roman" w:hAnsi="Avenir Next LT Pro Light" w:cs="Times New Roman"/>
        </w:rPr>
      </w:pPr>
      <w:r w:rsidRPr="00491F7E">
        <w:rPr>
          <w:rFonts w:ascii="Avenir Next LT Pro Light" w:eastAsia="Times New Roman" w:hAnsi="Avenir Next LT Pro Light" w:cs="Times New Roman"/>
          <w:sz w:val="20"/>
          <w:szCs w:val="20"/>
        </w:rPr>
        <w:t>Execution throttling</w:t>
      </w:r>
    </w:p>
    <w:p w14:paraId="01A54BE0" w14:textId="77777777" w:rsidR="00491F7E" w:rsidRPr="00491F7E" w:rsidRDefault="00491F7E" w:rsidP="00491F7E">
      <w:pPr>
        <w:widowControl/>
        <w:autoSpaceDE/>
        <w:autoSpaceDN/>
        <w:spacing w:after="160" w:line="259" w:lineRule="auto"/>
        <w:ind w:left="1440"/>
        <w:contextualSpacing/>
        <w:jc w:val="both"/>
        <w:rPr>
          <w:rFonts w:ascii="Avenir Next LT Pro Light" w:eastAsia="Times New Roman" w:hAnsi="Avenir Next LT Pro Light" w:cs="Times New Roman"/>
        </w:rPr>
      </w:pPr>
    </w:p>
    <w:p w14:paraId="3D5C8FEA" w14:textId="77777777" w:rsidR="00491F7E" w:rsidRPr="00491F7E" w:rsidRDefault="00491F7E" w:rsidP="00491F7E">
      <w:pPr>
        <w:keepNext/>
        <w:keepLines/>
        <w:widowControl/>
        <w:numPr>
          <w:ilvl w:val="2"/>
          <w:numId w:val="0"/>
        </w:numPr>
        <w:autoSpaceDE/>
        <w:autoSpaceDN/>
        <w:spacing w:before="200" w:after="160" w:line="259" w:lineRule="auto"/>
        <w:ind w:left="1800" w:hanging="720"/>
        <w:jc w:val="both"/>
        <w:outlineLvl w:val="2"/>
        <w:rPr>
          <w:rFonts w:ascii="Arial" w:eastAsia="MS Gothic" w:hAnsi="Arial" w:cs="Times New Roman"/>
          <w:b/>
          <w:bCs/>
          <w:sz w:val="24"/>
          <w:szCs w:val="24"/>
        </w:rPr>
      </w:pPr>
      <w:r w:rsidRPr="00491F7E">
        <w:rPr>
          <w:rFonts w:ascii="Arial" w:eastAsia="MS Gothic" w:hAnsi="Arial" w:cs="Times New Roman"/>
          <w:b/>
          <w:bCs/>
          <w:sz w:val="24"/>
          <w:szCs w:val="24"/>
        </w:rPr>
        <w:t xml:space="preserve"> </w:t>
      </w:r>
      <w:bookmarkStart w:id="11" w:name="_Ref130483717"/>
      <w:r w:rsidRPr="00491F7E">
        <w:rPr>
          <w:rFonts w:ascii="Arial" w:eastAsia="MS Gothic" w:hAnsi="Arial" w:cs="Times New Roman"/>
          <w:b/>
          <w:bCs/>
          <w:sz w:val="24"/>
          <w:szCs w:val="24"/>
        </w:rPr>
        <w:t>2.1.8 Container Service Monitoring (ECSM)</w:t>
      </w:r>
      <w:bookmarkEnd w:id="11"/>
      <w:r w:rsidRPr="00491F7E">
        <w:rPr>
          <w:rFonts w:ascii="Arial" w:eastAsia="MS Gothic" w:hAnsi="Arial" w:cs="Times New Roman"/>
          <w:b/>
          <w:bCs/>
          <w:sz w:val="24"/>
          <w:szCs w:val="24"/>
        </w:rPr>
        <w:t xml:space="preserve"> </w:t>
      </w:r>
    </w:p>
    <w:p w14:paraId="2309DF0D"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rPr>
        <w:t xml:space="preserve"> </w:t>
      </w:r>
      <w:r w:rsidRPr="00491F7E">
        <w:rPr>
          <w:rFonts w:ascii="Avenir Next LT Pro Light" w:eastAsia="MS Mincho" w:hAnsi="Avenir Next LT Pro Light" w:cs="Times New Roman"/>
          <w:sz w:val="20"/>
          <w:szCs w:val="20"/>
        </w:rPr>
        <w:t>ECSM is a monitoring capability designed specifically for AWS Elastic Container Services.</w:t>
      </w:r>
    </w:p>
    <w:p w14:paraId="4CBEA8E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Monitoring Service (CMS) has been extended to support monitoring of tagged ECS clusters. The following metrics are automatically enabled across the cluster and services:</w:t>
      </w:r>
    </w:p>
    <w:p w14:paraId="49625BB7" w14:textId="77777777" w:rsidR="00491F7E" w:rsidRPr="00491F7E" w:rsidRDefault="00491F7E" w:rsidP="00491F7E">
      <w:pPr>
        <w:widowControl/>
        <w:autoSpaceDE/>
        <w:autoSpaceDN/>
        <w:spacing w:after="160" w:line="259" w:lineRule="auto"/>
        <w:rPr>
          <w:rFonts w:eastAsia="Times New Roman"/>
          <w:color w:val="000000"/>
          <w:sz w:val="20"/>
          <w:szCs w:val="20"/>
        </w:rPr>
      </w:pPr>
      <w:r w:rsidRPr="00491F7E">
        <w:rPr>
          <w:rFonts w:eastAsia="Times New Roman"/>
          <w:b/>
          <w:bCs/>
          <w:color w:val="000000"/>
          <w:sz w:val="20"/>
          <w:szCs w:val="20"/>
        </w:rPr>
        <w:t>ECS Supported Metrics (Dimension)</w:t>
      </w:r>
    </w:p>
    <w:p w14:paraId="5D65655A" w14:textId="77777777" w:rsidR="00491F7E" w:rsidRPr="00491F7E" w:rsidRDefault="00491F7E" w:rsidP="00491F7E">
      <w:pPr>
        <w:widowControl/>
        <w:numPr>
          <w:ilvl w:val="0"/>
          <w:numId w:val="13"/>
        </w:numPr>
        <w:autoSpaceDE/>
        <w:autoSpaceDN/>
        <w:spacing w:after="160" w:line="259" w:lineRule="auto"/>
        <w:contextualSpacing/>
        <w:jc w:val="both"/>
        <w:rPr>
          <w:rFonts w:eastAsia="Times New Roman"/>
          <w:color w:val="000000"/>
          <w:sz w:val="20"/>
          <w:szCs w:val="20"/>
        </w:rPr>
      </w:pPr>
      <w:r w:rsidRPr="00491F7E">
        <w:rPr>
          <w:rFonts w:eastAsia="Times New Roman"/>
          <w:color w:val="000000"/>
          <w:sz w:val="20"/>
          <w:szCs w:val="20"/>
        </w:rPr>
        <w:t>Cluster</w:t>
      </w:r>
    </w:p>
    <w:p w14:paraId="15EE20CA" w14:textId="77777777" w:rsidR="00491F7E" w:rsidRPr="00491F7E" w:rsidRDefault="00491F7E" w:rsidP="00491F7E">
      <w:pPr>
        <w:widowControl/>
        <w:numPr>
          <w:ilvl w:val="1"/>
          <w:numId w:val="13"/>
        </w:numPr>
        <w:autoSpaceDE/>
        <w:autoSpaceDN/>
        <w:spacing w:after="160" w:line="259" w:lineRule="auto"/>
        <w:rPr>
          <w:rFonts w:eastAsia="Times New Roman"/>
          <w:color w:val="000000"/>
          <w:sz w:val="20"/>
          <w:szCs w:val="20"/>
        </w:rPr>
      </w:pPr>
      <w:r w:rsidRPr="00491F7E">
        <w:rPr>
          <w:rFonts w:eastAsia="Times New Roman"/>
          <w:color w:val="000000"/>
          <w:sz w:val="20"/>
          <w:szCs w:val="20"/>
        </w:rPr>
        <w:t>CPU Utilization</w:t>
      </w:r>
    </w:p>
    <w:p w14:paraId="6B6C98DB" w14:textId="77777777" w:rsidR="00491F7E" w:rsidRPr="00491F7E" w:rsidRDefault="00491F7E" w:rsidP="00491F7E">
      <w:pPr>
        <w:widowControl/>
        <w:numPr>
          <w:ilvl w:val="1"/>
          <w:numId w:val="13"/>
        </w:numPr>
        <w:autoSpaceDE/>
        <w:autoSpaceDN/>
        <w:spacing w:after="160" w:line="259" w:lineRule="auto"/>
        <w:rPr>
          <w:rFonts w:eastAsia="Times New Roman"/>
          <w:color w:val="000000"/>
          <w:sz w:val="20"/>
          <w:szCs w:val="20"/>
        </w:rPr>
      </w:pPr>
      <w:r w:rsidRPr="00491F7E">
        <w:rPr>
          <w:rFonts w:eastAsia="Times New Roman"/>
          <w:color w:val="000000"/>
          <w:sz w:val="20"/>
          <w:szCs w:val="20"/>
        </w:rPr>
        <w:t>Memory Utilization</w:t>
      </w:r>
    </w:p>
    <w:p w14:paraId="40310198" w14:textId="77777777" w:rsidR="00491F7E" w:rsidRPr="00491F7E" w:rsidRDefault="00491F7E" w:rsidP="00491F7E">
      <w:pPr>
        <w:widowControl/>
        <w:numPr>
          <w:ilvl w:val="1"/>
          <w:numId w:val="13"/>
        </w:numPr>
        <w:autoSpaceDE/>
        <w:autoSpaceDN/>
        <w:spacing w:after="160" w:line="259" w:lineRule="auto"/>
        <w:rPr>
          <w:rFonts w:eastAsia="Times New Roman"/>
          <w:color w:val="000000"/>
          <w:sz w:val="20"/>
          <w:szCs w:val="20"/>
        </w:rPr>
      </w:pPr>
      <w:r w:rsidRPr="00491F7E">
        <w:rPr>
          <w:rFonts w:eastAsia="Times New Roman"/>
          <w:color w:val="000000"/>
          <w:sz w:val="20"/>
          <w:szCs w:val="20"/>
        </w:rPr>
        <w:t>CPU Reservation</w:t>
      </w:r>
    </w:p>
    <w:p w14:paraId="3316FDC2" w14:textId="77777777" w:rsidR="00491F7E" w:rsidRPr="00491F7E" w:rsidRDefault="00491F7E" w:rsidP="00491F7E">
      <w:pPr>
        <w:widowControl/>
        <w:numPr>
          <w:ilvl w:val="1"/>
          <w:numId w:val="13"/>
        </w:numPr>
        <w:autoSpaceDE/>
        <w:autoSpaceDN/>
        <w:spacing w:after="160" w:line="259" w:lineRule="auto"/>
        <w:rPr>
          <w:rFonts w:eastAsia="Times New Roman"/>
          <w:color w:val="000000"/>
          <w:sz w:val="20"/>
          <w:szCs w:val="20"/>
        </w:rPr>
      </w:pPr>
      <w:r w:rsidRPr="00491F7E">
        <w:rPr>
          <w:rFonts w:eastAsia="Times New Roman"/>
          <w:color w:val="000000"/>
          <w:sz w:val="20"/>
          <w:szCs w:val="20"/>
        </w:rPr>
        <w:t>Memory Reservation</w:t>
      </w:r>
    </w:p>
    <w:p w14:paraId="1411D7A4" w14:textId="77777777" w:rsidR="00491F7E" w:rsidRPr="00491F7E" w:rsidRDefault="00491F7E" w:rsidP="00491F7E">
      <w:pPr>
        <w:widowControl/>
        <w:numPr>
          <w:ilvl w:val="1"/>
          <w:numId w:val="13"/>
        </w:numPr>
        <w:autoSpaceDE/>
        <w:autoSpaceDN/>
        <w:spacing w:after="160" w:line="259" w:lineRule="auto"/>
        <w:rPr>
          <w:rFonts w:eastAsia="Times New Roman"/>
          <w:color w:val="000000"/>
          <w:sz w:val="20"/>
          <w:szCs w:val="20"/>
        </w:rPr>
      </w:pPr>
      <w:proofErr w:type="spellStart"/>
      <w:r w:rsidRPr="00491F7E">
        <w:rPr>
          <w:rFonts w:eastAsia="Times New Roman"/>
          <w:color w:val="000000"/>
          <w:sz w:val="20"/>
          <w:szCs w:val="20"/>
        </w:rPr>
        <w:t>GPUReservation</w:t>
      </w:r>
      <w:proofErr w:type="spellEnd"/>
    </w:p>
    <w:p w14:paraId="0B8A7218" w14:textId="77777777" w:rsidR="00491F7E" w:rsidRPr="00491F7E" w:rsidRDefault="00491F7E" w:rsidP="00491F7E">
      <w:pPr>
        <w:widowControl/>
        <w:numPr>
          <w:ilvl w:val="0"/>
          <w:numId w:val="13"/>
        </w:numPr>
        <w:autoSpaceDE/>
        <w:autoSpaceDN/>
        <w:spacing w:after="160" w:line="259" w:lineRule="auto"/>
        <w:contextualSpacing/>
        <w:jc w:val="both"/>
        <w:rPr>
          <w:rFonts w:eastAsia="Times New Roman"/>
          <w:color w:val="000000"/>
          <w:sz w:val="20"/>
          <w:szCs w:val="20"/>
        </w:rPr>
      </w:pPr>
      <w:r w:rsidRPr="00491F7E">
        <w:rPr>
          <w:rFonts w:eastAsia="Times New Roman"/>
          <w:color w:val="000000"/>
          <w:sz w:val="20"/>
          <w:szCs w:val="20"/>
        </w:rPr>
        <w:t>Service</w:t>
      </w:r>
    </w:p>
    <w:p w14:paraId="5947A915" w14:textId="77777777" w:rsidR="00491F7E" w:rsidRPr="00491F7E" w:rsidRDefault="00491F7E" w:rsidP="00491F7E">
      <w:pPr>
        <w:widowControl/>
        <w:numPr>
          <w:ilvl w:val="1"/>
          <w:numId w:val="13"/>
        </w:numPr>
        <w:autoSpaceDE/>
        <w:autoSpaceDN/>
        <w:spacing w:after="160" w:line="259" w:lineRule="auto"/>
        <w:rPr>
          <w:rFonts w:eastAsia="Times New Roman"/>
          <w:color w:val="000000"/>
          <w:sz w:val="20"/>
          <w:szCs w:val="20"/>
        </w:rPr>
      </w:pPr>
      <w:r w:rsidRPr="00491F7E">
        <w:rPr>
          <w:rFonts w:eastAsia="Times New Roman"/>
          <w:color w:val="000000"/>
          <w:sz w:val="20"/>
          <w:szCs w:val="20"/>
        </w:rPr>
        <w:t>CPU Utilization</w:t>
      </w:r>
    </w:p>
    <w:p w14:paraId="2D2E6478" w14:textId="77777777" w:rsidR="00491F7E" w:rsidRPr="00491F7E" w:rsidRDefault="00491F7E" w:rsidP="00491F7E">
      <w:pPr>
        <w:widowControl/>
        <w:numPr>
          <w:ilvl w:val="1"/>
          <w:numId w:val="13"/>
        </w:numPr>
        <w:autoSpaceDE/>
        <w:autoSpaceDN/>
        <w:spacing w:after="160" w:line="259" w:lineRule="auto"/>
        <w:rPr>
          <w:rFonts w:eastAsia="Times New Roman"/>
          <w:color w:val="000000"/>
          <w:sz w:val="20"/>
          <w:szCs w:val="20"/>
        </w:rPr>
      </w:pPr>
      <w:r w:rsidRPr="00491F7E">
        <w:rPr>
          <w:rFonts w:eastAsia="Times New Roman"/>
          <w:color w:val="000000"/>
          <w:sz w:val="20"/>
          <w:szCs w:val="20"/>
        </w:rPr>
        <w:t>Memory Utilization</w:t>
      </w:r>
    </w:p>
    <w:p w14:paraId="67D12143"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2.2 Core Services for Managed Instances</w:t>
      </w:r>
    </w:p>
    <w:p w14:paraId="5CF60717"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Core services for managed virtual machine instances integrate with the Infrastructure Service Incident Management and ITSM Portal for Service Request Management.</w:t>
      </w:r>
    </w:p>
    <w:p w14:paraId="657AF1F1" w14:textId="77777777" w:rsidR="00491F7E" w:rsidRPr="00491F7E" w:rsidRDefault="00491F7E" w:rsidP="00491F7E">
      <w:pPr>
        <w:keepNext/>
        <w:keepLines/>
        <w:widowControl/>
        <w:numPr>
          <w:ilvl w:val="2"/>
          <w:numId w:val="0"/>
        </w:numPr>
        <w:autoSpaceDE/>
        <w:autoSpaceDN/>
        <w:spacing w:before="200" w:after="160" w:line="259" w:lineRule="auto"/>
        <w:ind w:left="1440" w:hanging="720"/>
        <w:jc w:val="both"/>
        <w:outlineLvl w:val="2"/>
        <w:rPr>
          <w:rFonts w:ascii="Arial" w:eastAsia="MS Gothic" w:hAnsi="Arial" w:cs="Times New Roman"/>
          <w:b/>
          <w:bCs/>
          <w:sz w:val="24"/>
          <w:szCs w:val="24"/>
        </w:rPr>
      </w:pPr>
      <w:r w:rsidRPr="00491F7E">
        <w:rPr>
          <w:rFonts w:ascii="Arial" w:eastAsia="MS Gothic" w:hAnsi="Arial" w:cs="Times New Roman"/>
          <w:b/>
          <w:bCs/>
          <w:sz w:val="24"/>
          <w:szCs w:val="24"/>
        </w:rPr>
        <w:t xml:space="preserve"> </w:t>
      </w:r>
      <w:bookmarkStart w:id="12" w:name="_Ref130483738"/>
      <w:r w:rsidRPr="00491F7E">
        <w:rPr>
          <w:rFonts w:ascii="Arial" w:eastAsia="MS Gothic" w:hAnsi="Arial" w:cs="Times New Roman"/>
          <w:b/>
          <w:bCs/>
          <w:sz w:val="24"/>
          <w:szCs w:val="24"/>
        </w:rPr>
        <w:t>2.2.1 Monitoring and Notification Service</w:t>
      </w:r>
      <w:bookmarkEnd w:id="12"/>
    </w:p>
    <w:p w14:paraId="38A09CAB"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The Monitoring and Notification Service leverages the Intelligent Automation Platform’s Monitoring Solution automation framework. The monitoring platform leverages micro services to detect all assets that are tagged for management and enables a defined set of standardized alarms/alerts. Each alarm can be customized to a tagged instance definition, allowing customer environments to have different defined alarm triggers for specific workloads. The CMS framework leverages web hooks to pull in the alarms/alerts and to automate creation of ITSM tickets. </w:t>
      </w:r>
    </w:p>
    <w:p w14:paraId="04A7181A"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Example Triggers include:</w:t>
      </w:r>
    </w:p>
    <w:tbl>
      <w:tblPr>
        <w:tblStyle w:val="GridTable1Light-Accent11"/>
        <w:tblW w:w="0" w:type="auto"/>
        <w:jc w:val="center"/>
        <w:tblLook w:val="04A0" w:firstRow="1" w:lastRow="0" w:firstColumn="1" w:lastColumn="0" w:noHBand="0" w:noVBand="1"/>
      </w:tblPr>
      <w:tblGrid>
        <w:gridCol w:w="3116"/>
        <w:gridCol w:w="3117"/>
      </w:tblGrid>
      <w:tr w:rsidR="00491F7E" w:rsidRPr="00491F7E" w14:paraId="72B533E4" w14:textId="77777777" w:rsidTr="005E6AC4">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5990FF"/>
              <w:right w:val="single" w:sz="6" w:space="0" w:color="5990FF"/>
            </w:tcBorders>
          </w:tcPr>
          <w:p w14:paraId="195457F8" w14:textId="77777777" w:rsidR="00491F7E" w:rsidRPr="00491F7E" w:rsidRDefault="00491F7E" w:rsidP="00491F7E">
            <w:pPr>
              <w:spacing w:after="120"/>
              <w:rPr>
                <w:rFonts w:eastAsia="MS Mincho" w:cs="Times New Roman"/>
              </w:rPr>
            </w:pPr>
            <w:r w:rsidRPr="00491F7E">
              <w:rPr>
                <w:rFonts w:eastAsia="MS Mincho" w:cs="Times New Roman"/>
              </w:rPr>
              <w:t>High CPU Utilization*</w:t>
            </w:r>
          </w:p>
        </w:tc>
        <w:tc>
          <w:tcPr>
            <w:tcW w:w="3117" w:type="dxa"/>
            <w:tcBorders>
              <w:left w:val="single" w:sz="6" w:space="0" w:color="5990FF"/>
              <w:bottom w:val="single" w:sz="4" w:space="0" w:color="5990FF"/>
              <w:right w:val="single" w:sz="6" w:space="0" w:color="5990FF"/>
            </w:tcBorders>
          </w:tcPr>
          <w:p w14:paraId="53BF7340" w14:textId="77777777" w:rsidR="00491F7E" w:rsidRPr="00491F7E" w:rsidRDefault="00491F7E" w:rsidP="00491F7E">
            <w:pPr>
              <w:spacing w:after="120"/>
              <w:cnfStyle w:val="100000000000" w:firstRow="1" w:lastRow="0" w:firstColumn="0" w:lastColumn="0" w:oddVBand="0" w:evenVBand="0" w:oddHBand="0" w:evenHBand="0" w:firstRowFirstColumn="0" w:firstRowLastColumn="0" w:lastRowFirstColumn="0" w:lastRowLastColumn="0"/>
              <w:rPr>
                <w:rFonts w:eastAsia="MS Mincho" w:cs="Times New Roman"/>
              </w:rPr>
            </w:pPr>
            <w:r w:rsidRPr="00491F7E">
              <w:rPr>
                <w:rFonts w:eastAsia="MS Mincho" w:cs="Times New Roman"/>
              </w:rPr>
              <w:t>Instance failed health check</w:t>
            </w:r>
          </w:p>
        </w:tc>
      </w:tr>
      <w:tr w:rsidR="00491F7E" w:rsidRPr="00491F7E" w14:paraId="3DD28070" w14:textId="77777777" w:rsidTr="005E6AC4">
        <w:trPr>
          <w:trHeight w:val="386"/>
          <w:jc w:val="center"/>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5990FF"/>
            </w:tcBorders>
          </w:tcPr>
          <w:p w14:paraId="2C94A345" w14:textId="77777777" w:rsidR="00491F7E" w:rsidRPr="00491F7E" w:rsidRDefault="00491F7E" w:rsidP="00491F7E">
            <w:pPr>
              <w:spacing w:after="120"/>
              <w:rPr>
                <w:rFonts w:eastAsia="MS Mincho" w:cs="Times New Roman"/>
              </w:rPr>
            </w:pPr>
            <w:r w:rsidRPr="00491F7E">
              <w:rPr>
                <w:rFonts w:eastAsia="MS Mincho" w:cs="Times New Roman"/>
              </w:rPr>
              <w:t>Disk space utilization*</w:t>
            </w:r>
          </w:p>
        </w:tc>
        <w:tc>
          <w:tcPr>
            <w:tcW w:w="3117" w:type="dxa"/>
            <w:tcBorders>
              <w:top w:val="single" w:sz="4" w:space="0" w:color="5990FF"/>
            </w:tcBorders>
          </w:tcPr>
          <w:p w14:paraId="5D486834"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91F7E">
              <w:rPr>
                <w:rFonts w:eastAsia="MS Mincho" w:cs="Times New Roman"/>
              </w:rPr>
              <w:t>Excessive network utilization*</w:t>
            </w:r>
          </w:p>
        </w:tc>
      </w:tr>
      <w:tr w:rsidR="00491F7E" w:rsidRPr="00491F7E" w14:paraId="35C2D895" w14:textId="77777777" w:rsidTr="005E6AC4">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4F961198" w14:textId="77777777" w:rsidR="00491F7E" w:rsidRPr="00491F7E" w:rsidRDefault="00491F7E" w:rsidP="00491F7E">
            <w:pPr>
              <w:spacing w:after="120"/>
              <w:rPr>
                <w:rFonts w:eastAsia="MS Mincho" w:cs="Times New Roman"/>
              </w:rPr>
            </w:pPr>
            <w:r w:rsidRPr="00491F7E">
              <w:rPr>
                <w:rFonts w:eastAsia="MS Mincho" w:cs="Times New Roman"/>
              </w:rPr>
              <w:t>Excessive disk IOPs*</w:t>
            </w:r>
          </w:p>
        </w:tc>
        <w:tc>
          <w:tcPr>
            <w:tcW w:w="3117" w:type="dxa"/>
          </w:tcPr>
          <w:p w14:paraId="4B2DC3F1"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91F7E">
              <w:rPr>
                <w:rFonts w:eastAsia="MS Mincho" w:cs="Times New Roman"/>
              </w:rPr>
              <w:t>High memory usage*</w:t>
            </w:r>
          </w:p>
        </w:tc>
      </w:tr>
      <w:tr w:rsidR="00491F7E" w:rsidRPr="00491F7E" w14:paraId="212FFF22" w14:textId="77777777" w:rsidTr="005E6AC4">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0EFB926A" w14:textId="77777777" w:rsidR="00491F7E" w:rsidRPr="00491F7E" w:rsidRDefault="00491F7E" w:rsidP="00491F7E">
            <w:pPr>
              <w:spacing w:after="120"/>
              <w:rPr>
                <w:rFonts w:eastAsia="MS Mincho" w:cs="Times New Roman"/>
              </w:rPr>
            </w:pPr>
            <w:r w:rsidRPr="00491F7E">
              <w:rPr>
                <w:rFonts w:eastAsia="MS Mincho" w:cs="Times New Roman"/>
              </w:rPr>
              <w:t xml:space="preserve">Excessive </w:t>
            </w:r>
            <w:bookmarkStart w:id="13" w:name="_Int_evhZsW5Z"/>
            <w:proofErr w:type="gramStart"/>
            <w:r w:rsidRPr="00491F7E">
              <w:rPr>
                <w:rFonts w:eastAsia="MS Mincho" w:cs="Times New Roman"/>
              </w:rPr>
              <w:t>disk</w:t>
            </w:r>
            <w:bookmarkEnd w:id="13"/>
            <w:proofErr w:type="gramEnd"/>
            <w:r w:rsidRPr="00491F7E">
              <w:rPr>
                <w:rFonts w:eastAsia="MS Mincho" w:cs="Times New Roman"/>
              </w:rPr>
              <w:t xml:space="preserve"> write queue length*</w:t>
            </w:r>
          </w:p>
        </w:tc>
        <w:tc>
          <w:tcPr>
            <w:tcW w:w="3117" w:type="dxa"/>
          </w:tcPr>
          <w:p w14:paraId="642CAE85"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eastAsia="MS Mincho" w:cs="Times New Roman"/>
              </w:rPr>
            </w:pPr>
          </w:p>
        </w:tc>
      </w:tr>
    </w:tbl>
    <w:p w14:paraId="495B7486" w14:textId="77777777" w:rsidR="00491F7E" w:rsidRPr="00491F7E" w:rsidRDefault="00491F7E" w:rsidP="00491F7E">
      <w:pPr>
        <w:keepNext/>
        <w:keepLines/>
        <w:widowControl/>
        <w:autoSpaceDE/>
        <w:autoSpaceDN/>
        <w:spacing w:before="200" w:after="160" w:line="259" w:lineRule="auto"/>
        <w:ind w:left="1260"/>
        <w:jc w:val="both"/>
        <w:outlineLvl w:val="2"/>
        <w:rPr>
          <w:rFonts w:ascii="Avenir Next LT Pro Light" w:eastAsia="MS Gothic" w:hAnsi="Avenir Next LT Pro Light" w:cs="Avenir Next LT Pro Light"/>
          <w:bCs/>
          <w:sz w:val="20"/>
          <w:szCs w:val="20"/>
        </w:rPr>
      </w:pPr>
      <w:r w:rsidRPr="00491F7E">
        <w:rPr>
          <w:rFonts w:ascii="Avenir Next LT Pro Light" w:eastAsia="MS Gothic" w:hAnsi="Avenir Next LT Pro Light" w:cs="Avenir Next LT Pro Light"/>
          <w:bCs/>
          <w:sz w:val="20"/>
          <w:szCs w:val="20"/>
        </w:rPr>
        <w:lastRenderedPageBreak/>
        <w:t>*Triggers can be customized to customer workloads. Custom event types not identified above can be created/deployed and actioned directly to the customer as a professional services effort.</w:t>
      </w:r>
    </w:p>
    <w:p w14:paraId="549202DC" w14:textId="77777777" w:rsidR="00491F7E" w:rsidRPr="00491F7E" w:rsidRDefault="00491F7E" w:rsidP="00491F7E">
      <w:pPr>
        <w:keepNext/>
        <w:keepLines/>
        <w:widowControl/>
        <w:numPr>
          <w:ilvl w:val="2"/>
          <w:numId w:val="0"/>
        </w:numPr>
        <w:autoSpaceDE/>
        <w:autoSpaceDN/>
        <w:spacing w:before="200" w:after="160" w:line="259" w:lineRule="auto"/>
        <w:ind w:left="1440" w:hanging="720"/>
        <w:jc w:val="both"/>
        <w:outlineLvl w:val="2"/>
        <w:rPr>
          <w:rFonts w:ascii="Arial" w:eastAsia="MS Gothic" w:hAnsi="Arial" w:cs="Times New Roman"/>
          <w:b/>
          <w:bCs/>
          <w:sz w:val="24"/>
          <w:szCs w:val="24"/>
        </w:rPr>
      </w:pPr>
      <w:r w:rsidRPr="00491F7E">
        <w:rPr>
          <w:rFonts w:ascii="Arial" w:eastAsia="MS Gothic" w:hAnsi="Arial" w:cs="Times New Roman"/>
          <w:b/>
          <w:bCs/>
          <w:sz w:val="24"/>
          <w:szCs w:val="24"/>
        </w:rPr>
        <w:t xml:space="preserve"> </w:t>
      </w:r>
      <w:bookmarkStart w:id="14" w:name="_Ref130483766"/>
      <w:r w:rsidRPr="00491F7E">
        <w:rPr>
          <w:rFonts w:ascii="Arial" w:eastAsia="MS Gothic" w:hAnsi="Arial" w:cs="Times New Roman"/>
          <w:b/>
          <w:bCs/>
          <w:sz w:val="24"/>
          <w:szCs w:val="24"/>
        </w:rPr>
        <w:t>2.2.2 Operating System Patch Management</w:t>
      </w:r>
      <w:bookmarkEnd w:id="14"/>
    </w:p>
    <w:p w14:paraId="0084850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Operating System Patch Management Service actively monitors and applies operating system patches and updates. The Elevate team performs monthly patching of guest operating systems based on vendor release schedules, coordinating maintenance and patching windows with customers to minimize disruption. The solution automatically downloads and applies identified patches to the guest OS through a scripted process, while the Intelligent Automation Platform logs applied patches to track system configuration. Critical or security-related patches are quickly escalated to customers for approval during an out-of-cycle maintenance window.</w:t>
      </w:r>
    </w:p>
    <w:p w14:paraId="76EFD52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SMX advises organizations requiring updated source images for container deployments to update their container cluster instance fleet with the latest patches. This process is triggered either through a Set Schedule (time-based Patch Window) or when a new patched cluster host image is verified and published. The process automatically deploys the new cluster image, drains, and removes the old cluster host from service. Notifications are sent upon successful patching, and in case of failure, a rollback to the previous launch configuration occurs. Customers can configure hosts to accept patching and updates via instance tags. Suspending or delaying patch windows may increase vulnerabilities in scan results and impact customer security posture.</w:t>
      </w:r>
    </w:p>
    <w:p w14:paraId="69D105D2"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Supported Operating Systems include:</w:t>
      </w:r>
    </w:p>
    <w:p w14:paraId="12D927C7" w14:textId="77777777" w:rsidR="00491F7E" w:rsidRPr="00491F7E" w:rsidRDefault="00491F7E" w:rsidP="00491F7E">
      <w:pPr>
        <w:widowControl/>
        <w:numPr>
          <w:ilvl w:val="0"/>
          <w:numId w:val="6"/>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Amazon Linux</w:t>
      </w:r>
    </w:p>
    <w:p w14:paraId="2FD7B2A5" w14:textId="77777777" w:rsidR="00491F7E" w:rsidRPr="00491F7E" w:rsidRDefault="00491F7E" w:rsidP="00491F7E">
      <w:pPr>
        <w:widowControl/>
        <w:numPr>
          <w:ilvl w:val="0"/>
          <w:numId w:val="6"/>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Amazon Linux 2</w:t>
      </w:r>
    </w:p>
    <w:p w14:paraId="00ED2402" w14:textId="77777777" w:rsidR="00491F7E" w:rsidRPr="00491F7E" w:rsidRDefault="00491F7E" w:rsidP="00491F7E">
      <w:pPr>
        <w:widowControl/>
        <w:numPr>
          <w:ilvl w:val="0"/>
          <w:numId w:val="6"/>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Amazon Linux 2023</w:t>
      </w:r>
    </w:p>
    <w:p w14:paraId="248B1FD1" w14:textId="77777777" w:rsidR="00491F7E" w:rsidRPr="00491F7E" w:rsidRDefault="00491F7E" w:rsidP="00491F7E">
      <w:pPr>
        <w:widowControl/>
        <w:numPr>
          <w:ilvl w:val="0"/>
          <w:numId w:val="6"/>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CentOS</w:t>
      </w:r>
    </w:p>
    <w:p w14:paraId="08506C86" w14:textId="77777777" w:rsidR="00491F7E" w:rsidRPr="00491F7E" w:rsidRDefault="00491F7E" w:rsidP="00491F7E">
      <w:pPr>
        <w:widowControl/>
        <w:numPr>
          <w:ilvl w:val="0"/>
          <w:numId w:val="6"/>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Debian Server</w:t>
      </w:r>
    </w:p>
    <w:p w14:paraId="105FF642" w14:textId="77777777" w:rsidR="00491F7E" w:rsidRPr="00491F7E" w:rsidRDefault="00491F7E" w:rsidP="00491F7E">
      <w:pPr>
        <w:widowControl/>
        <w:numPr>
          <w:ilvl w:val="0"/>
          <w:numId w:val="6"/>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Oracle Linux</w:t>
      </w:r>
    </w:p>
    <w:p w14:paraId="4C770C31" w14:textId="77777777" w:rsidR="00491F7E" w:rsidRPr="00491F7E" w:rsidRDefault="00491F7E" w:rsidP="00491F7E">
      <w:pPr>
        <w:widowControl/>
        <w:numPr>
          <w:ilvl w:val="0"/>
          <w:numId w:val="6"/>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Red Hat Enterprise Linux (RHEL)</w:t>
      </w:r>
    </w:p>
    <w:p w14:paraId="0E1B9D91" w14:textId="77777777" w:rsidR="00491F7E" w:rsidRPr="00491F7E" w:rsidRDefault="00491F7E" w:rsidP="00491F7E">
      <w:pPr>
        <w:widowControl/>
        <w:numPr>
          <w:ilvl w:val="0"/>
          <w:numId w:val="6"/>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SUSE Linux Enterprise Server (SLES)</w:t>
      </w:r>
    </w:p>
    <w:p w14:paraId="547872BB" w14:textId="77777777" w:rsidR="00491F7E" w:rsidRPr="00491F7E" w:rsidRDefault="00491F7E" w:rsidP="00491F7E">
      <w:pPr>
        <w:widowControl/>
        <w:numPr>
          <w:ilvl w:val="0"/>
          <w:numId w:val="6"/>
        </w:numPr>
        <w:autoSpaceDE/>
        <w:autoSpaceDN/>
        <w:spacing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Ubuntu Server</w:t>
      </w:r>
    </w:p>
    <w:p w14:paraId="2BD64C79" w14:textId="77777777" w:rsidR="00491F7E" w:rsidRPr="00491F7E" w:rsidRDefault="00491F7E" w:rsidP="00491F7E">
      <w:pPr>
        <w:widowControl/>
        <w:numPr>
          <w:ilvl w:val="0"/>
          <w:numId w:val="6"/>
        </w:numPr>
        <w:autoSpaceDE/>
        <w:autoSpaceDN/>
        <w:spacing w:after="12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Windows Server</w:t>
      </w:r>
    </w:p>
    <w:p w14:paraId="57407DF2" w14:textId="77777777" w:rsidR="00491F7E" w:rsidRPr="00491F7E" w:rsidRDefault="00491F7E" w:rsidP="00491F7E">
      <w:pPr>
        <w:keepNext/>
        <w:keepLines/>
        <w:widowControl/>
        <w:numPr>
          <w:ilvl w:val="2"/>
          <w:numId w:val="0"/>
        </w:numPr>
        <w:autoSpaceDE/>
        <w:autoSpaceDN/>
        <w:spacing w:before="200" w:after="160" w:line="259" w:lineRule="auto"/>
        <w:ind w:left="1440" w:hanging="720"/>
        <w:jc w:val="both"/>
        <w:outlineLvl w:val="2"/>
        <w:rPr>
          <w:rFonts w:ascii="Arial" w:eastAsia="MS Gothic" w:hAnsi="Arial" w:cs="Times New Roman"/>
          <w:b/>
          <w:bCs/>
          <w:sz w:val="24"/>
          <w:szCs w:val="24"/>
        </w:rPr>
      </w:pPr>
      <w:r w:rsidRPr="00491F7E">
        <w:rPr>
          <w:rFonts w:ascii="Arial" w:eastAsia="MS Gothic" w:hAnsi="Arial" w:cs="Times New Roman"/>
          <w:b/>
          <w:bCs/>
          <w:sz w:val="24"/>
          <w:szCs w:val="24"/>
        </w:rPr>
        <w:t xml:space="preserve"> </w:t>
      </w:r>
      <w:bookmarkStart w:id="15" w:name="_Ref130483773"/>
      <w:r w:rsidRPr="00491F7E">
        <w:rPr>
          <w:rFonts w:ascii="Arial" w:eastAsia="MS Gothic" w:hAnsi="Arial" w:cs="Times New Roman"/>
          <w:b/>
          <w:bCs/>
          <w:sz w:val="24"/>
          <w:szCs w:val="24"/>
        </w:rPr>
        <w:t>2.2.3 Anti-malware Management Service</w:t>
      </w:r>
      <w:bookmarkEnd w:id="15"/>
    </w:p>
    <w:p w14:paraId="602C8B6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Anti-malware Management Service safeguards managed OS instances from malware by ensuring the -provided anti-malware remains active and current with the latest signatures. Upon malware detection, the host is quarantined, and an incident ticket is generated for remediation. Compliance audits verify server adherence to customer anti-malware policies. The service operates within a unified management framework, supporting multiplatform CSP and on-premises environments using the TrendMicro Deep Security Suite. Protection against file-based threats, such as viruses, trojans, worms, rootkits, spyware, grayware, packers, and keyloggers, is included. Alerts and threats generate service tickets, investigated by SMX experts. Remediation activities follow the shared responsibility model, with same-day SLA for services. Malware definition and virus scan engine updates are provided within 24 hours and 30 days, respectively.</w:t>
      </w:r>
    </w:p>
    <w:p w14:paraId="27ECA3C5"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r w:rsidRPr="00491F7E">
        <w:rPr>
          <w:rFonts w:ascii="Avenir Next LT Pro Light" w:eastAsia="MS Mincho" w:hAnsi="Avenir Next LT Pro Light" w:cs="Times New Roman"/>
          <w:sz w:val="20"/>
          <w:szCs w:val="20"/>
        </w:rPr>
        <w:t xml:space="preserve">SMX will update each managed instance to the current malware definitions under management within 24 hours of their publication by the Original Equipment Manufacturer (OEM) and virus scan engine </w:t>
      </w:r>
      <w:r w:rsidRPr="00491F7E">
        <w:rPr>
          <w:rFonts w:ascii="Avenir Next LT Pro Light" w:eastAsia="MS Mincho" w:hAnsi="Avenir Next LT Pro Light" w:cs="Times New Roman"/>
          <w:sz w:val="20"/>
          <w:szCs w:val="20"/>
        </w:rPr>
        <w:lastRenderedPageBreak/>
        <w:t xml:space="preserve">updates within 30 days of their release unless delayed </w:t>
      </w:r>
      <w:bookmarkStart w:id="16" w:name="_Int_VrctOLfp"/>
      <w:proofErr w:type="gramStart"/>
      <w:r w:rsidRPr="00491F7E">
        <w:rPr>
          <w:rFonts w:ascii="Avenir Next LT Pro Light" w:eastAsia="MS Mincho" w:hAnsi="Avenir Next LT Pro Light" w:cs="Times New Roman"/>
          <w:sz w:val="20"/>
          <w:szCs w:val="20"/>
        </w:rPr>
        <w:t>to comply</w:t>
      </w:r>
      <w:bookmarkEnd w:id="16"/>
      <w:proofErr w:type="gramEnd"/>
      <w:r w:rsidRPr="00491F7E">
        <w:rPr>
          <w:rFonts w:ascii="Avenir Next LT Pro Light" w:eastAsia="MS Mincho" w:hAnsi="Avenir Next LT Pro Light" w:cs="Times New Roman"/>
          <w:sz w:val="20"/>
          <w:szCs w:val="20"/>
        </w:rPr>
        <w:t xml:space="preserve"> with a specific client approved maintenance window.</w:t>
      </w:r>
    </w:p>
    <w:p w14:paraId="3C537CA1" w14:textId="77777777" w:rsidR="00491F7E" w:rsidRPr="00491F7E" w:rsidRDefault="00491F7E" w:rsidP="00491F7E">
      <w:pPr>
        <w:keepNext/>
        <w:keepLines/>
        <w:widowControl/>
        <w:numPr>
          <w:ilvl w:val="2"/>
          <w:numId w:val="0"/>
        </w:numPr>
        <w:autoSpaceDE/>
        <w:autoSpaceDN/>
        <w:spacing w:before="200" w:after="160" w:line="259" w:lineRule="auto"/>
        <w:ind w:left="720"/>
        <w:jc w:val="both"/>
        <w:outlineLvl w:val="2"/>
        <w:rPr>
          <w:rFonts w:ascii="Arial" w:eastAsia="MS Gothic" w:hAnsi="Arial" w:cs="Times New Roman"/>
          <w:b/>
          <w:bCs/>
          <w:sz w:val="24"/>
          <w:szCs w:val="24"/>
        </w:rPr>
      </w:pPr>
      <w:bookmarkStart w:id="17" w:name="_Ref130483780"/>
      <w:r w:rsidRPr="00491F7E">
        <w:rPr>
          <w:rFonts w:ascii="Arial" w:eastAsia="MS Gothic" w:hAnsi="Arial" w:cs="Times New Roman"/>
          <w:b/>
          <w:bCs/>
          <w:sz w:val="24"/>
          <w:szCs w:val="24"/>
        </w:rPr>
        <w:t>2.2.4 Backup Service</w:t>
      </w:r>
      <w:bookmarkEnd w:id="17"/>
      <w:r w:rsidRPr="00491F7E">
        <w:rPr>
          <w:rFonts w:ascii="Arial" w:eastAsia="MS Gothic" w:hAnsi="Arial" w:cs="Times New Roman"/>
          <w:b/>
          <w:bCs/>
          <w:sz w:val="24"/>
          <w:szCs w:val="24"/>
        </w:rPr>
        <w:t xml:space="preserve"> </w:t>
      </w:r>
    </w:p>
    <w:p w14:paraId="69E111F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r w:rsidRPr="00491F7E">
        <w:rPr>
          <w:rFonts w:ascii="Avenir Next LT Pro Light" w:eastAsia="MS Mincho" w:hAnsi="Avenir Next LT Pro Light" w:cs="Times New Roman"/>
          <w:sz w:val="20"/>
          <w:szCs w:val="20"/>
        </w:rPr>
        <w:t>The Backup Service includes scheduled point in time disk volume snapshots to backup iterations of the storage volume. The service can be customized to retain backups for a customer-specified duration. The backup retention duration will impact cloud storage costs. Through the ITSM process, the SMX team can restore system volumes to a customer-specified point-in-time. Prior to restoration of the requested volumes, a new snapshot will be captured to ensure a rollback is available if the restore is unsuccessful</w:t>
      </w:r>
      <w:r w:rsidRPr="00491F7E">
        <w:rPr>
          <w:rFonts w:ascii="Avenir Next LT Pro Light" w:eastAsia="MS Mincho" w:hAnsi="Avenir Next LT Pro Light" w:cs="Times New Roman"/>
        </w:rPr>
        <w:t xml:space="preserve">. </w:t>
      </w:r>
    </w:p>
    <w:p w14:paraId="7A7A2224"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2.3 Optional Services</w:t>
      </w:r>
    </w:p>
    <w:p w14:paraId="3A7CA5E1" w14:textId="77777777" w:rsidR="00491F7E" w:rsidRPr="00491F7E" w:rsidRDefault="00491F7E" w:rsidP="00491F7E">
      <w:pPr>
        <w:keepNext/>
        <w:keepLines/>
        <w:widowControl/>
        <w:numPr>
          <w:ilvl w:val="2"/>
          <w:numId w:val="0"/>
        </w:numPr>
        <w:autoSpaceDE/>
        <w:autoSpaceDN/>
        <w:spacing w:before="200" w:after="160" w:line="259" w:lineRule="auto"/>
        <w:ind w:left="1296" w:hanging="720"/>
        <w:jc w:val="both"/>
        <w:outlineLvl w:val="2"/>
        <w:rPr>
          <w:rFonts w:ascii="Arial" w:eastAsia="MS Gothic" w:hAnsi="Arial" w:cs="Times New Roman"/>
          <w:b/>
          <w:bCs/>
          <w:sz w:val="24"/>
          <w:szCs w:val="24"/>
        </w:rPr>
      </w:pPr>
      <w:r w:rsidRPr="00491F7E">
        <w:rPr>
          <w:rFonts w:ascii="Arial" w:eastAsia="MS Gothic" w:hAnsi="Arial" w:cs="Times New Roman"/>
          <w:b/>
          <w:bCs/>
          <w:sz w:val="24"/>
          <w:szCs w:val="24"/>
        </w:rPr>
        <w:t xml:space="preserve"> </w:t>
      </w:r>
      <w:bookmarkStart w:id="18" w:name="_Ref130483804"/>
      <w:r w:rsidRPr="00491F7E">
        <w:rPr>
          <w:rFonts w:ascii="Arial" w:eastAsia="MS Gothic" w:hAnsi="Arial" w:cs="Times New Roman"/>
          <w:b/>
          <w:bCs/>
          <w:sz w:val="24"/>
          <w:szCs w:val="24"/>
        </w:rPr>
        <w:t>2.3.1 Cloud Service Expense Management Advisory</w:t>
      </w:r>
      <w:bookmarkEnd w:id="18"/>
    </w:p>
    <w:p w14:paraId="5AF48AAB"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Cloud Service Expense Management Advisory Service promotes cost optimization by analyzing aggregated usage data and correlations. Recommendations stem from actual data analysis, advanced toolsets modeling future spend based on utilization, "what-if" scenarios, knowledge of customer workloads and environments, and experience across various cloud environments. This Advisory Service is an integrated component of the Cloud Resale and Consolidated Billing Service.</w:t>
      </w:r>
    </w:p>
    <w:p w14:paraId="7278AB78"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Examples of cost optimization opportunities include:</w:t>
      </w:r>
    </w:p>
    <w:p w14:paraId="1A570345" w14:textId="77777777" w:rsidR="00491F7E" w:rsidRPr="00491F7E" w:rsidRDefault="00491F7E" w:rsidP="00491F7E">
      <w:pPr>
        <w:widowControl/>
        <w:numPr>
          <w:ilvl w:val="0"/>
          <w:numId w:val="6"/>
        </w:numPr>
        <w:autoSpaceDE/>
        <w:autoSpaceDN/>
        <w:spacing w:after="12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Resource utilization (Throttling under-utilized instances; Parking off-period resources)</w:t>
      </w:r>
    </w:p>
    <w:p w14:paraId="17253E78" w14:textId="77777777" w:rsidR="00491F7E" w:rsidRPr="00491F7E" w:rsidRDefault="00491F7E" w:rsidP="00491F7E">
      <w:pPr>
        <w:widowControl/>
        <w:numPr>
          <w:ilvl w:val="0"/>
          <w:numId w:val="6"/>
        </w:numPr>
        <w:autoSpaceDE/>
        <w:autoSpaceDN/>
        <w:spacing w:after="12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Right-sizing instance type</w:t>
      </w:r>
    </w:p>
    <w:p w14:paraId="0ADA3140" w14:textId="77777777" w:rsidR="00491F7E" w:rsidRPr="00491F7E" w:rsidRDefault="00491F7E" w:rsidP="00491F7E">
      <w:pPr>
        <w:widowControl/>
        <w:numPr>
          <w:ilvl w:val="0"/>
          <w:numId w:val="6"/>
        </w:numPr>
        <w:autoSpaceDE/>
        <w:autoSpaceDN/>
        <w:spacing w:after="12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Selection of workload-appropriate pricing models</w:t>
      </w:r>
    </w:p>
    <w:p w14:paraId="6FA02BCE" w14:textId="77777777" w:rsidR="00491F7E" w:rsidRPr="00491F7E" w:rsidRDefault="00491F7E" w:rsidP="00491F7E">
      <w:pPr>
        <w:widowControl/>
        <w:numPr>
          <w:ilvl w:val="0"/>
          <w:numId w:val="6"/>
        </w:numPr>
        <w:autoSpaceDE/>
        <w:autoSpaceDN/>
        <w:spacing w:after="12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Resource tagging </w:t>
      </w:r>
    </w:p>
    <w:p w14:paraId="6EBD6995" w14:textId="77777777" w:rsidR="00491F7E" w:rsidRPr="00491F7E" w:rsidRDefault="00491F7E" w:rsidP="00491F7E">
      <w:pPr>
        <w:widowControl/>
        <w:numPr>
          <w:ilvl w:val="0"/>
          <w:numId w:val="6"/>
        </w:numPr>
        <w:autoSpaceDE/>
        <w:autoSpaceDN/>
        <w:spacing w:after="12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Reclamation of orphaned resources</w:t>
      </w:r>
    </w:p>
    <w:p w14:paraId="73885AC2" w14:textId="77777777" w:rsidR="00491F7E" w:rsidRPr="00491F7E" w:rsidRDefault="00491F7E" w:rsidP="00491F7E">
      <w:pPr>
        <w:widowControl/>
        <w:numPr>
          <w:ilvl w:val="0"/>
          <w:numId w:val="6"/>
        </w:numPr>
        <w:autoSpaceDE/>
        <w:autoSpaceDN/>
        <w:spacing w:after="12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Optimization of BYOL (Bring-your-own-license)</w:t>
      </w:r>
    </w:p>
    <w:p w14:paraId="510EB864" w14:textId="77777777" w:rsidR="00491F7E" w:rsidRPr="00491F7E" w:rsidRDefault="00491F7E" w:rsidP="00491F7E">
      <w:pPr>
        <w:widowControl/>
        <w:numPr>
          <w:ilvl w:val="0"/>
          <w:numId w:val="6"/>
        </w:numPr>
        <w:autoSpaceDE/>
        <w:autoSpaceDN/>
        <w:spacing w:after="12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Storage life-cycle management</w:t>
      </w:r>
    </w:p>
    <w:p w14:paraId="3CC4AE2B" w14:textId="77777777" w:rsidR="00491F7E" w:rsidRPr="00491F7E" w:rsidRDefault="00491F7E" w:rsidP="00491F7E">
      <w:pPr>
        <w:widowControl/>
        <w:numPr>
          <w:ilvl w:val="0"/>
          <w:numId w:val="6"/>
        </w:numPr>
        <w:autoSpaceDE/>
        <w:autoSpaceDN/>
        <w:spacing w:after="12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Cost Monitoring and Alerting</w:t>
      </w:r>
    </w:p>
    <w:p w14:paraId="605A794B" w14:textId="77777777" w:rsidR="00491F7E" w:rsidRPr="00491F7E" w:rsidRDefault="00491F7E" w:rsidP="00491F7E">
      <w:pPr>
        <w:widowControl/>
        <w:autoSpaceDE/>
        <w:autoSpaceDN/>
        <w:spacing w:after="120" w:line="259" w:lineRule="auto"/>
        <w:ind w:left="720"/>
        <w:contextualSpacing/>
        <w:jc w:val="both"/>
        <w:rPr>
          <w:rFonts w:ascii="Avenir Next LT Pro Light" w:eastAsia="MS Mincho" w:hAnsi="Avenir Next LT Pro Light" w:cs="Times New Roman"/>
          <w:sz w:val="20"/>
          <w:szCs w:val="20"/>
        </w:rPr>
      </w:pPr>
    </w:p>
    <w:p w14:paraId="09EC0BA4"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This service requires deployment of the Cloud Service Expense Management Advisory tool which requires read only access to the CSP billing data and optional read only access to performance data (for service utilization optimization.)</w:t>
      </w:r>
    </w:p>
    <w:p w14:paraId="3F873A71"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For maximum utilization of the Cloud Service Expense Management Advisory tool additional configuration is required including all linked accounts will need credentialed for asset meta data ingestion, CloudWatch or collection agent of the client's choice is required to gather memory and disk metrics to generate accurate Right Sizing reports.</w:t>
      </w:r>
    </w:p>
    <w:p w14:paraId="41D9CCCE"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p>
    <w:p w14:paraId="5B92C6D0" w14:textId="77777777" w:rsidR="00491F7E" w:rsidRPr="00491F7E" w:rsidRDefault="00491F7E" w:rsidP="00491F7E">
      <w:pPr>
        <w:keepNext/>
        <w:keepLines/>
        <w:widowControl/>
        <w:autoSpaceDE/>
        <w:autoSpaceDN/>
        <w:spacing w:before="200" w:after="160" w:line="259" w:lineRule="auto"/>
        <w:ind w:left="1440" w:hanging="720"/>
        <w:jc w:val="both"/>
        <w:outlineLvl w:val="2"/>
        <w:rPr>
          <w:rFonts w:ascii="Arial" w:eastAsia="MS Gothic" w:hAnsi="Arial" w:cs="Times New Roman"/>
          <w:b/>
          <w:bCs/>
          <w:sz w:val="24"/>
          <w:szCs w:val="24"/>
        </w:rPr>
      </w:pPr>
      <w:bookmarkStart w:id="19" w:name="_Ref130483819"/>
      <w:r w:rsidRPr="00491F7E">
        <w:rPr>
          <w:rFonts w:ascii="Arial" w:eastAsia="MS Gothic" w:hAnsi="Arial" w:cs="Times New Roman"/>
          <w:b/>
          <w:bCs/>
          <w:sz w:val="24"/>
          <w:szCs w:val="24"/>
        </w:rPr>
        <w:t>2.3.2 Infrastructure Advisory</w:t>
      </w:r>
      <w:bookmarkEnd w:id="19"/>
    </w:p>
    <w:p w14:paraId="28E1FA72"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Infrastructure Advisory Services offer prescriptive guidance on cloud services optimization, encompassing capacity management reviews, architectural evaluations, best practices reviews, auto-scaling tuning, and migration paths for on-premises workloads. These reviews utilize our Well Architected guidelines and ITSM processes.</w:t>
      </w:r>
    </w:p>
    <w:p w14:paraId="0051BBF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lastRenderedPageBreak/>
        <w:t>The Well Architected Review is an in-depth analysis of your infrastructure, comprehensive review of security practices, application integration architectures, and resource sizing. This review empowers the SMX team to guarantee that customers utilize cloud services according to CSP best practices, ensuring cost-effective and secure service delivery.</w:t>
      </w:r>
    </w:p>
    <w:p w14:paraId="5AA39577" w14:textId="77777777" w:rsidR="00491F7E" w:rsidRPr="00491F7E" w:rsidRDefault="00491F7E" w:rsidP="00491F7E">
      <w:pPr>
        <w:keepNext/>
        <w:keepLines/>
        <w:widowControl/>
        <w:autoSpaceDE/>
        <w:autoSpaceDN/>
        <w:spacing w:before="200" w:after="160" w:line="259" w:lineRule="auto"/>
        <w:ind w:left="1440" w:hanging="720"/>
        <w:jc w:val="both"/>
        <w:outlineLvl w:val="2"/>
        <w:rPr>
          <w:rFonts w:ascii="Arial" w:eastAsia="MS Gothic" w:hAnsi="Arial" w:cs="Times New Roman"/>
          <w:b/>
          <w:bCs/>
          <w:sz w:val="24"/>
          <w:szCs w:val="24"/>
        </w:rPr>
      </w:pPr>
      <w:bookmarkStart w:id="20" w:name="_Ref130483827"/>
      <w:r w:rsidRPr="00491F7E">
        <w:rPr>
          <w:rFonts w:ascii="Arial" w:eastAsia="MS Gothic" w:hAnsi="Arial" w:cs="Times New Roman"/>
          <w:b/>
          <w:bCs/>
          <w:sz w:val="24"/>
          <w:szCs w:val="24"/>
        </w:rPr>
        <w:t xml:space="preserve">2.3.3 Workspaces Management </w:t>
      </w:r>
      <w:bookmarkEnd w:id="20"/>
    </w:p>
    <w:p w14:paraId="50A9E7AC" w14:textId="77777777" w:rsidR="00491F7E" w:rsidRPr="00491F7E" w:rsidRDefault="00491F7E" w:rsidP="00491F7E">
      <w:pPr>
        <w:widowControl/>
        <w:autoSpaceDE/>
        <w:autoSpaceDN/>
        <w:spacing w:after="160" w:line="259" w:lineRule="auto"/>
        <w:rPr>
          <w:sz w:val="20"/>
          <w:szCs w:val="20"/>
        </w:rPr>
      </w:pPr>
      <w:r w:rsidRPr="00491F7E">
        <w:rPr>
          <w:rFonts w:ascii="Avenir Next LT Pro Light" w:eastAsia="MS Mincho" w:hAnsi="Avenir Next LT Pro Light" w:cs="Times New Roman"/>
          <w:sz w:val="20"/>
          <w:szCs w:val="20"/>
        </w:rPr>
        <w:t xml:space="preserve">The Workspaces Managed Services (WMS) provides comprehensive management and assurance for virtual desktop users, including operating system patch and update management, software packaging, and software lifecycle management. Backups are also included with the option to choose a Recovery Point Objective (RPO) that suits your organization’s needs, ensuring protection of virtual workstation data. The service also includes antivirus and antimalware protection. Integration with your existing directory service allows for seamless application of organizational configurations, policies, and controls to your Workspaces, managed by SMX WMS just like your servers. </w:t>
      </w:r>
      <w:r w:rsidRPr="00491F7E">
        <w:rPr>
          <w:rFonts w:ascii="Segoe UI" w:eastAsia="Segoe UI" w:hAnsi="Segoe UI" w:cs="Segoe UI"/>
          <w:color w:val="333333"/>
          <w:sz w:val="20"/>
          <w:szCs w:val="20"/>
        </w:rPr>
        <w:t>This service includes core management of workspaces with optional security services available to meet customer specific regulatory compliance requirements.</w:t>
      </w:r>
    </w:p>
    <w:p w14:paraId="212999DD" w14:textId="77777777" w:rsidR="00491F7E" w:rsidRPr="00491F7E" w:rsidRDefault="00491F7E" w:rsidP="00491F7E">
      <w:pPr>
        <w:keepNext/>
        <w:keepLines/>
        <w:widowControl/>
        <w:numPr>
          <w:ilvl w:val="2"/>
          <w:numId w:val="0"/>
        </w:numPr>
        <w:autoSpaceDE/>
        <w:autoSpaceDN/>
        <w:spacing w:before="200" w:after="160" w:line="259" w:lineRule="auto"/>
        <w:ind w:left="720" w:hanging="720"/>
        <w:jc w:val="both"/>
        <w:outlineLvl w:val="2"/>
        <w:rPr>
          <w:rFonts w:ascii="Arial" w:eastAsia="MS Gothic" w:hAnsi="Arial" w:cs="Times New Roman"/>
          <w:b/>
          <w:bCs/>
          <w:sz w:val="24"/>
          <w:szCs w:val="24"/>
        </w:rPr>
      </w:pPr>
      <w:bookmarkStart w:id="21" w:name="_Ref130483834"/>
      <w:r w:rsidRPr="00491F7E">
        <w:rPr>
          <w:rFonts w:ascii="Arial" w:eastAsia="MS Gothic" w:hAnsi="Arial" w:cs="Times New Roman"/>
          <w:b/>
          <w:bCs/>
          <w:sz w:val="24"/>
          <w:szCs w:val="24"/>
        </w:rPr>
        <w:t>2.3.4 Database Monitoring</w:t>
      </w:r>
      <w:bookmarkEnd w:id="21"/>
    </w:p>
    <w:p w14:paraId="540067BC"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Database Monitoring Service enables automated monitoring of cloud native Relational Database Services. This includes performance and availability monitoring, backup and restore, and patching. The DBMS currently supports Oracle, MySQL, Microsoft SQL, and PostgreSQL. </w:t>
      </w:r>
    </w:p>
    <w:p w14:paraId="2E9876D5"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Tasks:</w:t>
      </w:r>
    </w:p>
    <w:p w14:paraId="2A13938F" w14:textId="77777777" w:rsidR="00491F7E" w:rsidRPr="00491F7E" w:rsidRDefault="00491F7E" w:rsidP="00491F7E">
      <w:pPr>
        <w:widowControl/>
        <w:numPr>
          <w:ilvl w:val="0"/>
          <w:numId w:val="17"/>
        </w:numPr>
        <w:autoSpaceDE/>
        <w:autoSpaceDN/>
        <w:spacing w:before="120"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Monitoring</w:t>
      </w:r>
    </w:p>
    <w:p w14:paraId="4C10A80B" w14:textId="77777777" w:rsidR="00491F7E" w:rsidRPr="00491F7E" w:rsidRDefault="00491F7E" w:rsidP="00491F7E">
      <w:pPr>
        <w:widowControl/>
        <w:numPr>
          <w:ilvl w:val="1"/>
          <w:numId w:val="19"/>
        </w:numPr>
        <w:autoSpaceDE/>
        <w:autoSpaceDN/>
        <w:spacing w:before="120"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Resource consumption monitoring:</w:t>
      </w:r>
    </w:p>
    <w:tbl>
      <w:tblPr>
        <w:tblStyle w:val="GridTable1Light-Accent11"/>
        <w:tblW w:w="0" w:type="auto"/>
        <w:jc w:val="center"/>
        <w:tblLook w:val="04A0" w:firstRow="1" w:lastRow="0" w:firstColumn="1" w:lastColumn="0" w:noHBand="0" w:noVBand="1"/>
      </w:tblPr>
      <w:tblGrid>
        <w:gridCol w:w="3116"/>
        <w:gridCol w:w="3117"/>
      </w:tblGrid>
      <w:tr w:rsidR="00491F7E" w:rsidRPr="00491F7E" w14:paraId="3AB8434C" w14:textId="77777777" w:rsidTr="005E6AC4">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5990FF"/>
              <w:right w:val="single" w:sz="6" w:space="0" w:color="5990FF"/>
            </w:tcBorders>
          </w:tcPr>
          <w:p w14:paraId="360B98B2" w14:textId="77777777" w:rsidR="00491F7E" w:rsidRPr="00491F7E" w:rsidRDefault="00491F7E" w:rsidP="00491F7E">
            <w:pPr>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CPU Utilization</w:t>
            </w:r>
          </w:p>
        </w:tc>
        <w:tc>
          <w:tcPr>
            <w:tcW w:w="3117" w:type="dxa"/>
            <w:tcBorders>
              <w:left w:val="single" w:sz="6" w:space="0" w:color="5990FF"/>
              <w:bottom w:val="single" w:sz="4" w:space="0" w:color="5990FF"/>
              <w:right w:val="single" w:sz="6" w:space="0" w:color="5990FF"/>
            </w:tcBorders>
          </w:tcPr>
          <w:p w14:paraId="75EDB150" w14:textId="77777777" w:rsidR="00491F7E" w:rsidRPr="00491F7E" w:rsidRDefault="00491F7E" w:rsidP="00491F7E">
            <w:pPr>
              <w:spacing w:after="120"/>
              <w:cnfStyle w:val="100000000000" w:firstRow="1"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Disk Queue Depth</w:t>
            </w:r>
          </w:p>
        </w:tc>
      </w:tr>
      <w:tr w:rsidR="00491F7E" w:rsidRPr="00491F7E" w14:paraId="05AB7FDB" w14:textId="77777777" w:rsidTr="005E6AC4">
        <w:trPr>
          <w:trHeight w:val="386"/>
          <w:jc w:val="center"/>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5990FF"/>
            </w:tcBorders>
          </w:tcPr>
          <w:p w14:paraId="49FA908D" w14:textId="77777777" w:rsidR="00491F7E" w:rsidRPr="00491F7E" w:rsidRDefault="00491F7E" w:rsidP="00491F7E">
            <w:pPr>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Read Latency</w:t>
            </w:r>
          </w:p>
        </w:tc>
        <w:tc>
          <w:tcPr>
            <w:tcW w:w="3117" w:type="dxa"/>
            <w:tcBorders>
              <w:top w:val="single" w:sz="4" w:space="0" w:color="5990FF"/>
            </w:tcBorders>
          </w:tcPr>
          <w:p w14:paraId="2C88582D"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roofErr w:type="spellStart"/>
            <w:r w:rsidRPr="00491F7E">
              <w:rPr>
                <w:rFonts w:ascii="Avenir Next LT Pro Light" w:eastAsia="MS Mincho" w:hAnsi="Avenir Next LT Pro Light" w:cs="Times New Roman"/>
              </w:rPr>
              <w:t>Freeable</w:t>
            </w:r>
            <w:proofErr w:type="spellEnd"/>
            <w:r w:rsidRPr="00491F7E">
              <w:rPr>
                <w:rFonts w:ascii="Avenir Next LT Pro Light" w:eastAsia="MS Mincho" w:hAnsi="Avenir Next LT Pro Light" w:cs="Times New Roman"/>
              </w:rPr>
              <w:t xml:space="preserve"> Memory</w:t>
            </w:r>
          </w:p>
        </w:tc>
      </w:tr>
      <w:tr w:rsidR="00491F7E" w:rsidRPr="00491F7E" w14:paraId="43C04056" w14:textId="77777777" w:rsidTr="005E6AC4">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1F54AF4E" w14:textId="77777777" w:rsidR="00491F7E" w:rsidRPr="00491F7E" w:rsidRDefault="00491F7E" w:rsidP="00491F7E">
            <w:pPr>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Write Latency</w:t>
            </w:r>
          </w:p>
        </w:tc>
        <w:tc>
          <w:tcPr>
            <w:tcW w:w="3117" w:type="dxa"/>
          </w:tcPr>
          <w:p w14:paraId="0ED60666"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Free Storage Space</w:t>
            </w:r>
          </w:p>
        </w:tc>
      </w:tr>
      <w:tr w:rsidR="00491F7E" w:rsidRPr="00491F7E" w14:paraId="77FF7B42" w14:textId="77777777" w:rsidTr="005E6AC4">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4170EF72" w14:textId="77777777" w:rsidR="00491F7E" w:rsidRPr="00491F7E" w:rsidRDefault="00491F7E" w:rsidP="00491F7E">
            <w:pPr>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Database Connections</w:t>
            </w:r>
          </w:p>
        </w:tc>
        <w:tc>
          <w:tcPr>
            <w:tcW w:w="3117" w:type="dxa"/>
          </w:tcPr>
          <w:p w14:paraId="249EB7D7"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bl>
    <w:p w14:paraId="1F28901C" w14:textId="77777777" w:rsidR="00491F7E" w:rsidRPr="00491F7E" w:rsidRDefault="00491F7E" w:rsidP="00491F7E">
      <w:pPr>
        <w:widowControl/>
        <w:numPr>
          <w:ilvl w:val="0"/>
          <w:numId w:val="20"/>
        </w:numPr>
        <w:autoSpaceDE/>
        <w:autoSpaceDN/>
        <w:spacing w:before="120"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Backup/Restore</w:t>
      </w:r>
    </w:p>
    <w:p w14:paraId="722D42D5" w14:textId="77777777" w:rsidR="00491F7E" w:rsidRPr="00491F7E" w:rsidRDefault="00491F7E" w:rsidP="00491F7E">
      <w:pPr>
        <w:widowControl/>
        <w:numPr>
          <w:ilvl w:val="1"/>
          <w:numId w:val="21"/>
        </w:numPr>
        <w:autoSpaceDE/>
        <w:autoSpaceDN/>
        <w:spacing w:before="120" w:after="160" w:line="259"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Perform scheduled Database backups and restorations of backups (per customer request)</w:t>
      </w:r>
    </w:p>
    <w:p w14:paraId="4D69DC37" w14:textId="77777777" w:rsidR="00491F7E" w:rsidRPr="00491F7E" w:rsidRDefault="00491F7E" w:rsidP="00491F7E">
      <w:pPr>
        <w:widowControl/>
        <w:autoSpaceDE/>
        <w:autoSpaceDN/>
        <w:spacing w:after="160" w:line="259" w:lineRule="auto"/>
        <w:rPr>
          <w:rFonts w:ascii="Arial" w:eastAsia="Times New Roman" w:hAnsi="Arial" w:cs="Arial"/>
          <w:b/>
          <w:bCs/>
          <w:caps/>
          <w:sz w:val="24"/>
          <w:szCs w:val="24"/>
        </w:rPr>
      </w:pPr>
    </w:p>
    <w:p w14:paraId="7132071D" w14:textId="77777777" w:rsidR="00491F7E" w:rsidRPr="00491F7E" w:rsidRDefault="00491F7E" w:rsidP="00491F7E">
      <w:pPr>
        <w:keepNext/>
        <w:widowControl/>
        <w:autoSpaceDE/>
        <w:autoSpaceDN/>
        <w:spacing w:before="240" w:after="160" w:line="259" w:lineRule="auto"/>
        <w:ind w:left="576" w:hanging="576"/>
        <w:jc w:val="both"/>
        <w:outlineLvl w:val="1"/>
        <w:rPr>
          <w:rFonts w:ascii="Arial" w:eastAsia="Times New Roman" w:hAnsi="Arial" w:cs="Arial"/>
          <w:b/>
          <w:bCs/>
          <w:caps/>
          <w:kern w:val="32"/>
          <w:sz w:val="24"/>
          <w:szCs w:val="24"/>
        </w:rPr>
      </w:pPr>
      <w:bookmarkStart w:id="22" w:name="_Ref130483839"/>
      <w:r w:rsidRPr="00491F7E">
        <w:rPr>
          <w:rFonts w:ascii="Arial" w:eastAsia="Times New Roman" w:hAnsi="Arial" w:cs="Arial"/>
          <w:b/>
          <w:bCs/>
          <w:caps/>
          <w:kern w:val="32"/>
          <w:sz w:val="24"/>
          <w:szCs w:val="24"/>
        </w:rPr>
        <w:t>2.4 SITE Reliability Engineering (SRE)</w:t>
      </w:r>
      <w:bookmarkEnd w:id="22"/>
    </w:p>
    <w:p w14:paraId="2747DB4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The Site Reliability Engineering (SRE) services cater to customers seeking team members with specialized </w:t>
      </w:r>
      <w:proofErr w:type="spellStart"/>
      <w:r w:rsidRPr="00491F7E">
        <w:rPr>
          <w:rFonts w:ascii="Avenir Next LT Pro Light" w:eastAsia="MS Mincho" w:hAnsi="Avenir Next LT Pro Light" w:cs="Times New Roman"/>
          <w:sz w:val="20"/>
          <w:szCs w:val="20"/>
        </w:rPr>
        <w:t>DevSecOps</w:t>
      </w:r>
      <w:proofErr w:type="spellEnd"/>
      <w:r w:rsidRPr="00491F7E">
        <w:rPr>
          <w:rFonts w:ascii="Avenir Next LT Pro Light" w:eastAsia="MS Mincho" w:hAnsi="Avenir Next LT Pro Light" w:cs="Times New Roman"/>
          <w:sz w:val="20"/>
          <w:szCs w:val="20"/>
        </w:rPr>
        <w:t xml:space="preserve"> skillsets to be embedded within their platform or application teams, typically for extended engagements. The SRE model's value proposition lies in customers receiving an advanced level of build and support functions through the intrinsic knowledge of the SRE team members who have helped develop the systems. The SRE team focuses on building </w:t>
      </w:r>
      <w:bookmarkStart w:id="23" w:name="_Int_TCIp7jmN"/>
      <w:r w:rsidRPr="00491F7E">
        <w:rPr>
          <w:rFonts w:ascii="Avenir Next LT Pro Light" w:eastAsia="MS Mincho" w:hAnsi="Avenir Next LT Pro Light" w:cs="Times New Roman"/>
          <w:sz w:val="20"/>
          <w:szCs w:val="20"/>
        </w:rPr>
        <w:t>highly reliable</w:t>
      </w:r>
      <w:bookmarkEnd w:id="23"/>
      <w:r w:rsidRPr="00491F7E">
        <w:rPr>
          <w:rFonts w:ascii="Avenir Next LT Pro Light" w:eastAsia="MS Mincho" w:hAnsi="Avenir Next LT Pro Light" w:cs="Times New Roman"/>
          <w:sz w:val="20"/>
          <w:szCs w:val="20"/>
        </w:rPr>
        <w:t xml:space="preserve"> and resilient systems, automating deployment processes, and continuously improving the systems they manage. SRE resources are expected to allocate time to operational support tasks while balancing developmental tasks that enhance the system. SREs identify suitable fixes, including runbooks and automation, develop monitoring and observability capabilities, and integrate with service catalogs and ITSM systems. The SRE model's essence is "you build it, you run it, you own it" concerning the systems they manage.</w:t>
      </w:r>
    </w:p>
    <w:p w14:paraId="0AB3CA19" w14:textId="77777777" w:rsidR="00491F7E" w:rsidRPr="00491F7E" w:rsidRDefault="00491F7E" w:rsidP="00491F7E">
      <w:pPr>
        <w:keepNext/>
        <w:widowControl/>
        <w:autoSpaceDE/>
        <w:autoSpaceDN/>
        <w:spacing w:before="240" w:after="160" w:line="259" w:lineRule="auto"/>
        <w:ind w:left="576" w:hanging="576"/>
        <w:jc w:val="both"/>
        <w:outlineLvl w:val="1"/>
        <w:rPr>
          <w:rFonts w:ascii="Arial" w:eastAsia="Times New Roman" w:hAnsi="Arial" w:cs="Arial"/>
          <w:b/>
          <w:bCs/>
          <w:caps/>
          <w:kern w:val="32"/>
          <w:sz w:val="24"/>
          <w:szCs w:val="24"/>
        </w:rPr>
      </w:pPr>
      <w:bookmarkStart w:id="24" w:name="_Ref130483846"/>
      <w:r w:rsidRPr="00491F7E">
        <w:rPr>
          <w:rFonts w:ascii="Arial" w:eastAsia="Times New Roman" w:hAnsi="Arial" w:cs="Arial"/>
          <w:b/>
          <w:bCs/>
          <w:caps/>
          <w:kern w:val="32"/>
          <w:sz w:val="24"/>
          <w:szCs w:val="24"/>
        </w:rPr>
        <w:lastRenderedPageBreak/>
        <w:t>2.5 Pods and Squads Support</w:t>
      </w:r>
      <w:bookmarkEnd w:id="24"/>
      <w:r w:rsidRPr="00491F7E">
        <w:rPr>
          <w:rFonts w:ascii="Arial" w:eastAsia="Times New Roman" w:hAnsi="Arial" w:cs="Arial"/>
          <w:b/>
          <w:bCs/>
          <w:caps/>
          <w:kern w:val="32"/>
          <w:sz w:val="24"/>
          <w:szCs w:val="24"/>
        </w:rPr>
        <w:t xml:space="preserve"> </w:t>
      </w:r>
    </w:p>
    <w:p w14:paraId="2E5CE75E"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Pods and Squads have increasingly become popular staffing models and are closely aligned with Site Reliability Engineering (SRE). The Pod and Squad teams have distinct objectives and are not connected or necessarily dependent on each other. The Pod team is a cross-functional group consisting of a mix of resources, typically organized to support specific, shorter-term engagements. These resources are usually packaged and billed at a fixed monthly rate, rather than traditional Time &amp; Materials invoicing. The Pod team composition is adaptable and may include Project Management, Architectural, Development, Engineering, Operations, Database Operations Administration Security, and FinOps resources. In the example below, the collection of resources would be suitable for supporting a customer's rapid onboarding into our managed services environment and initial professional services engagements.</w:t>
      </w:r>
    </w:p>
    <w:p w14:paraId="54D10A99" w14:textId="77777777" w:rsid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p>
    <w:p w14:paraId="2D3C96F6" w14:textId="77777777" w:rsid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p>
    <w:p w14:paraId="3D24C329" w14:textId="7290849E"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Example Pod Team:</w:t>
      </w:r>
    </w:p>
    <w:tbl>
      <w:tblPr>
        <w:tblStyle w:val="TableGrid1"/>
        <w:tblW w:w="0" w:type="auto"/>
        <w:jc w:val="center"/>
        <w:tblLook w:val="04A0" w:firstRow="1" w:lastRow="0" w:firstColumn="1" w:lastColumn="0" w:noHBand="0" w:noVBand="1"/>
      </w:tblPr>
      <w:tblGrid>
        <w:gridCol w:w="4315"/>
      </w:tblGrid>
      <w:tr w:rsidR="00491F7E" w:rsidRPr="00491F7E" w14:paraId="65BCBD49" w14:textId="77777777" w:rsidTr="005E6AC4">
        <w:trPr>
          <w:jc w:val="center"/>
        </w:trPr>
        <w:tc>
          <w:tcPr>
            <w:tcW w:w="4315" w:type="dxa"/>
          </w:tcPr>
          <w:p w14:paraId="465FD6B5" w14:textId="77777777" w:rsidR="00491F7E" w:rsidRPr="00491F7E" w:rsidRDefault="00491F7E" w:rsidP="00491F7E">
            <w:pPr>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Role</w:t>
            </w:r>
          </w:p>
        </w:tc>
      </w:tr>
      <w:tr w:rsidR="00491F7E" w:rsidRPr="00491F7E" w14:paraId="39DB5AE9" w14:textId="77777777" w:rsidTr="005E6AC4">
        <w:trPr>
          <w:jc w:val="center"/>
        </w:trPr>
        <w:tc>
          <w:tcPr>
            <w:tcW w:w="4315" w:type="dxa"/>
          </w:tcPr>
          <w:p w14:paraId="14B68A11"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Project Manager</w:t>
            </w:r>
          </w:p>
        </w:tc>
      </w:tr>
      <w:tr w:rsidR="00491F7E" w:rsidRPr="00491F7E" w14:paraId="140449D7" w14:textId="77777777" w:rsidTr="005E6AC4">
        <w:trPr>
          <w:jc w:val="center"/>
        </w:trPr>
        <w:tc>
          <w:tcPr>
            <w:tcW w:w="4315" w:type="dxa"/>
          </w:tcPr>
          <w:p w14:paraId="2F3B60FB"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FinOps Analyst</w:t>
            </w:r>
          </w:p>
        </w:tc>
      </w:tr>
      <w:tr w:rsidR="00491F7E" w:rsidRPr="00491F7E" w14:paraId="7C8D81D3" w14:textId="77777777" w:rsidTr="005E6AC4">
        <w:trPr>
          <w:jc w:val="center"/>
        </w:trPr>
        <w:tc>
          <w:tcPr>
            <w:tcW w:w="4315" w:type="dxa"/>
          </w:tcPr>
          <w:p w14:paraId="0391699E"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Sr SA</w:t>
            </w:r>
          </w:p>
        </w:tc>
      </w:tr>
      <w:tr w:rsidR="00491F7E" w:rsidRPr="00491F7E" w14:paraId="1C0EB3A8" w14:textId="77777777" w:rsidTr="005E6AC4">
        <w:trPr>
          <w:jc w:val="center"/>
        </w:trPr>
        <w:tc>
          <w:tcPr>
            <w:tcW w:w="4315" w:type="dxa"/>
          </w:tcPr>
          <w:p w14:paraId="5BBA7B07"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SA</w:t>
            </w:r>
          </w:p>
        </w:tc>
      </w:tr>
      <w:tr w:rsidR="00491F7E" w:rsidRPr="00491F7E" w14:paraId="06CE4CA7" w14:textId="77777777" w:rsidTr="005E6AC4">
        <w:trPr>
          <w:jc w:val="center"/>
        </w:trPr>
        <w:tc>
          <w:tcPr>
            <w:tcW w:w="4315" w:type="dxa"/>
          </w:tcPr>
          <w:p w14:paraId="7B0EEE06"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Operations Engineer</w:t>
            </w:r>
          </w:p>
        </w:tc>
      </w:tr>
      <w:tr w:rsidR="00491F7E" w:rsidRPr="00491F7E" w14:paraId="696D72A6" w14:textId="77777777" w:rsidTr="005E6AC4">
        <w:trPr>
          <w:jc w:val="center"/>
        </w:trPr>
        <w:tc>
          <w:tcPr>
            <w:tcW w:w="4315" w:type="dxa"/>
          </w:tcPr>
          <w:p w14:paraId="335F4882"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Security Engineer</w:t>
            </w:r>
          </w:p>
        </w:tc>
      </w:tr>
    </w:tbl>
    <w:p w14:paraId="26D438D3" w14:textId="77777777" w:rsidR="00491F7E" w:rsidRPr="00491F7E" w:rsidRDefault="00491F7E" w:rsidP="00491F7E">
      <w:pPr>
        <w:widowControl/>
        <w:autoSpaceDE/>
        <w:autoSpaceDN/>
        <w:spacing w:before="120"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Squads are groups of similar resources brought together to address customer requirements in a specific area of focus. Squads can be considered a surge capability to help customers augment their teams or scale when a particular skillset is required for a defined initiative. Scenarios requiring a specialized Squad are often long-term in nature, lasting from 90-180 days or longer. Examples of Squads include Site Reliability Engineers, Migration Teams, Application Development, Serverless/Container Development, Security Resources, and ATO Support Teams.</w:t>
      </w:r>
    </w:p>
    <w:p w14:paraId="3694CD6C"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Example of SRE Squad</w:t>
      </w:r>
    </w:p>
    <w:tbl>
      <w:tblPr>
        <w:tblStyle w:val="TableGrid1"/>
        <w:tblW w:w="0" w:type="auto"/>
        <w:jc w:val="center"/>
        <w:tblLook w:val="04A0" w:firstRow="1" w:lastRow="0" w:firstColumn="1" w:lastColumn="0" w:noHBand="0" w:noVBand="1"/>
      </w:tblPr>
      <w:tblGrid>
        <w:gridCol w:w="4315"/>
      </w:tblGrid>
      <w:tr w:rsidR="00491F7E" w:rsidRPr="00491F7E" w14:paraId="69545049" w14:textId="77777777" w:rsidTr="005E6AC4">
        <w:trPr>
          <w:jc w:val="center"/>
        </w:trPr>
        <w:tc>
          <w:tcPr>
            <w:tcW w:w="4315" w:type="dxa"/>
          </w:tcPr>
          <w:p w14:paraId="059968C0" w14:textId="77777777" w:rsidR="00491F7E" w:rsidRPr="00491F7E" w:rsidRDefault="00491F7E" w:rsidP="00491F7E">
            <w:pPr>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Role</w:t>
            </w:r>
          </w:p>
        </w:tc>
      </w:tr>
      <w:tr w:rsidR="00491F7E" w:rsidRPr="00491F7E" w14:paraId="1EB2B970" w14:textId="77777777" w:rsidTr="005E6AC4">
        <w:trPr>
          <w:jc w:val="center"/>
        </w:trPr>
        <w:tc>
          <w:tcPr>
            <w:tcW w:w="4315" w:type="dxa"/>
          </w:tcPr>
          <w:p w14:paraId="6298E5BF"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Project Manager</w:t>
            </w:r>
          </w:p>
        </w:tc>
      </w:tr>
      <w:tr w:rsidR="00491F7E" w:rsidRPr="00491F7E" w14:paraId="6CE4FE37" w14:textId="77777777" w:rsidTr="005E6AC4">
        <w:trPr>
          <w:jc w:val="center"/>
        </w:trPr>
        <w:tc>
          <w:tcPr>
            <w:tcW w:w="4315" w:type="dxa"/>
          </w:tcPr>
          <w:p w14:paraId="4980CA7D"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Sr DevOps Architect</w:t>
            </w:r>
          </w:p>
        </w:tc>
      </w:tr>
      <w:tr w:rsidR="00491F7E" w:rsidRPr="00491F7E" w14:paraId="28796608" w14:textId="77777777" w:rsidTr="005E6AC4">
        <w:trPr>
          <w:jc w:val="center"/>
        </w:trPr>
        <w:tc>
          <w:tcPr>
            <w:tcW w:w="4315" w:type="dxa"/>
          </w:tcPr>
          <w:p w14:paraId="27F977E5"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Developer</w:t>
            </w:r>
          </w:p>
        </w:tc>
      </w:tr>
      <w:tr w:rsidR="00491F7E" w:rsidRPr="00491F7E" w14:paraId="05719129" w14:textId="77777777" w:rsidTr="005E6AC4">
        <w:trPr>
          <w:jc w:val="center"/>
        </w:trPr>
        <w:tc>
          <w:tcPr>
            <w:tcW w:w="4315" w:type="dxa"/>
          </w:tcPr>
          <w:p w14:paraId="544C1294"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SRE x 3</w:t>
            </w:r>
          </w:p>
        </w:tc>
      </w:tr>
    </w:tbl>
    <w:p w14:paraId="70DA79C1" w14:textId="77777777" w:rsidR="00491F7E" w:rsidRPr="00491F7E" w:rsidRDefault="00491F7E" w:rsidP="00491F7E">
      <w:pPr>
        <w:keepNext/>
        <w:widowControl/>
        <w:autoSpaceDE/>
        <w:autoSpaceDN/>
        <w:spacing w:before="240" w:after="160" w:line="259" w:lineRule="auto"/>
        <w:ind w:left="576" w:hanging="576"/>
        <w:jc w:val="both"/>
        <w:outlineLvl w:val="1"/>
        <w:rPr>
          <w:rFonts w:ascii="Arial" w:eastAsia="Times New Roman" w:hAnsi="Arial" w:cs="Arial"/>
          <w:b/>
          <w:bCs/>
          <w:caps/>
          <w:kern w:val="32"/>
          <w:sz w:val="24"/>
          <w:szCs w:val="24"/>
        </w:rPr>
      </w:pPr>
      <w:bookmarkStart w:id="25" w:name="_Ref130483855"/>
      <w:r w:rsidRPr="00491F7E">
        <w:rPr>
          <w:rFonts w:ascii="Arial" w:eastAsia="Times New Roman" w:hAnsi="Arial" w:cs="Arial"/>
          <w:b/>
          <w:bCs/>
          <w:caps/>
          <w:kern w:val="32"/>
          <w:sz w:val="24"/>
          <w:szCs w:val="24"/>
        </w:rPr>
        <w:t xml:space="preserve">2.6 AWS Managed Services from SMX </w:t>
      </w:r>
      <w:bookmarkEnd w:id="25"/>
    </w:p>
    <w:p w14:paraId="087DD33C"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AWS Managed Services (AMS) helps you operate your AWS infrastructure more efficiently and securely. Leveraging AWS services and a growing library of automations, configurations, and run books, AMS can augment and optimize your operational capabilities in both new and existing AWS environments. AMS provides a consistent operating model for your entire AWS fleet leveraging detective guardrails, monitoring, security, and incident management best practices for both traditional and modernized workloads. </w:t>
      </w:r>
    </w:p>
    <w:p w14:paraId="5E1D4A7C" w14:textId="77777777" w:rsidR="00491F7E" w:rsidRPr="00491F7E" w:rsidRDefault="00491F7E" w:rsidP="00491F7E">
      <w:pPr>
        <w:keepNext/>
        <w:keepLines/>
        <w:widowControl/>
        <w:autoSpaceDE/>
        <w:autoSpaceDN/>
        <w:spacing w:before="200" w:after="160" w:line="259" w:lineRule="auto"/>
        <w:ind w:left="720" w:hanging="720"/>
        <w:jc w:val="both"/>
        <w:outlineLvl w:val="2"/>
        <w:rPr>
          <w:rFonts w:ascii="Arial" w:eastAsia="MS Gothic" w:hAnsi="Arial" w:cs="Times New Roman"/>
          <w:b/>
          <w:bCs/>
          <w:sz w:val="20"/>
          <w:szCs w:val="20"/>
        </w:rPr>
      </w:pPr>
      <w:r w:rsidRPr="00491F7E">
        <w:rPr>
          <w:rFonts w:ascii="Arial" w:eastAsia="MS Gothic" w:hAnsi="Arial" w:cs="Times New Roman"/>
          <w:b/>
          <w:bCs/>
          <w:sz w:val="20"/>
          <w:szCs w:val="20"/>
        </w:rPr>
        <w:lastRenderedPageBreak/>
        <w:t>Advanced</w:t>
      </w:r>
    </w:p>
    <w:p w14:paraId="24BF5EE6" w14:textId="77777777" w:rsidR="00491F7E" w:rsidRPr="00491F7E" w:rsidRDefault="00491F7E" w:rsidP="00491F7E">
      <w:pPr>
        <w:widowControl/>
        <w:autoSpaceDE/>
        <w:autoSpaceDN/>
        <w:spacing w:after="160" w:line="259" w:lineRule="auto"/>
        <w:rPr>
          <w:rFonts w:ascii="Arial" w:eastAsia="Times New Roman" w:hAnsi="Arial" w:cs="Arial"/>
          <w:b/>
          <w:bCs/>
          <w:caps/>
          <w:sz w:val="20"/>
          <w:szCs w:val="20"/>
        </w:rPr>
      </w:pPr>
      <w:r w:rsidRPr="00491F7E">
        <w:rPr>
          <w:rFonts w:ascii="Avenir Next LT Pro Light" w:eastAsia="MS Mincho" w:hAnsi="Avenir Next LT Pro Light" w:cs="Times New Roman"/>
          <w:sz w:val="20"/>
          <w:szCs w:val="20"/>
        </w:rPr>
        <w:t xml:space="preserve">AWS Managed Services Advanced operations plan with preventative controls via a change management system within an AWS managed landing zone, which provides a full operational solution and trades some flexibility for increased operational rigor to protect Client critical business applications. Additional details available at </w:t>
      </w:r>
      <w:hyperlink r:id="rId25">
        <w:r w:rsidRPr="00491F7E">
          <w:rPr>
            <w:rFonts w:ascii="Avenir Next LT Pro Light" w:eastAsia="MS Mincho" w:hAnsi="Avenir Next LT Pro Light" w:cs="Times New Roman"/>
            <w:color w:val="0000FF"/>
            <w:sz w:val="20"/>
            <w:szCs w:val="20"/>
            <w:u w:val="single"/>
          </w:rPr>
          <w:t>https://aws.amazon.com/managed-services/features/advanced-operations-plan/</w:t>
        </w:r>
      </w:hyperlink>
      <w:r w:rsidRPr="00491F7E">
        <w:rPr>
          <w:rFonts w:ascii="Avenir Next LT Pro Light" w:eastAsia="MS Mincho" w:hAnsi="Avenir Next LT Pro Light" w:cs="Times New Roman"/>
          <w:sz w:val="20"/>
          <w:szCs w:val="20"/>
        </w:rPr>
        <w:t xml:space="preserve"> </w:t>
      </w:r>
    </w:p>
    <w:p w14:paraId="5CA86DF4" w14:textId="77777777" w:rsidR="00491F7E" w:rsidRPr="00491F7E" w:rsidRDefault="00491F7E" w:rsidP="00491F7E">
      <w:pPr>
        <w:keepNext/>
        <w:keepLines/>
        <w:widowControl/>
        <w:numPr>
          <w:ilvl w:val="2"/>
          <w:numId w:val="0"/>
        </w:numPr>
        <w:autoSpaceDE/>
        <w:autoSpaceDN/>
        <w:spacing w:before="200" w:after="160" w:line="259" w:lineRule="auto"/>
        <w:ind w:left="720" w:hanging="720"/>
        <w:jc w:val="both"/>
        <w:outlineLvl w:val="2"/>
        <w:rPr>
          <w:rFonts w:ascii="Arial" w:eastAsia="MS Gothic" w:hAnsi="Arial" w:cs="Times New Roman"/>
          <w:b/>
          <w:bCs/>
          <w:sz w:val="20"/>
          <w:szCs w:val="20"/>
        </w:rPr>
      </w:pPr>
      <w:r w:rsidRPr="00491F7E">
        <w:rPr>
          <w:rFonts w:ascii="Arial" w:eastAsia="MS Gothic" w:hAnsi="Arial" w:cs="Times New Roman"/>
          <w:b/>
          <w:bCs/>
          <w:sz w:val="20"/>
          <w:szCs w:val="20"/>
        </w:rPr>
        <w:t xml:space="preserve">Accelerate </w:t>
      </w:r>
    </w:p>
    <w:p w14:paraId="448EFFA9"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r w:rsidRPr="00491F7E">
        <w:rPr>
          <w:rFonts w:ascii="Avenir Next LT Pro Light" w:eastAsia="MS Mincho" w:hAnsi="Avenir Next LT Pro Light" w:cs="Times New Roman"/>
          <w:sz w:val="20"/>
          <w:szCs w:val="20"/>
        </w:rPr>
        <w:t xml:space="preserve">AWS Managed Services Accelerate operations plan augments Client capabilities for operating AWS workloads. Clients then have the flexibility to choose the level of operational support that meets support needs and long-term goals. Additional details available at </w:t>
      </w:r>
      <w:hyperlink r:id="rId26" w:history="1">
        <w:r w:rsidRPr="00491F7E">
          <w:rPr>
            <w:rFonts w:ascii="Avenir Next LT Pro Light" w:eastAsia="MS Mincho" w:hAnsi="Avenir Next LT Pro Light" w:cs="Times New Roman"/>
            <w:color w:val="0000FF"/>
            <w:sz w:val="20"/>
            <w:szCs w:val="20"/>
            <w:u w:val="single"/>
          </w:rPr>
          <w:t>https://aws.amazon.com/managed-services/features/accelerate-operations-plan/</w:t>
        </w:r>
      </w:hyperlink>
    </w:p>
    <w:p w14:paraId="3CF2BDF4"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2.7 Managed Security Services</w:t>
      </w:r>
    </w:p>
    <w:p w14:paraId="476DFF06" w14:textId="77777777" w:rsidR="00491F7E" w:rsidRPr="00491F7E" w:rsidRDefault="00491F7E" w:rsidP="00491F7E">
      <w:pPr>
        <w:keepNext/>
        <w:keepLines/>
        <w:widowControl/>
        <w:numPr>
          <w:ilvl w:val="2"/>
          <w:numId w:val="0"/>
        </w:numPr>
        <w:autoSpaceDE/>
        <w:autoSpaceDN/>
        <w:spacing w:before="200" w:after="160" w:line="259" w:lineRule="auto"/>
        <w:ind w:left="1296" w:hanging="720"/>
        <w:jc w:val="both"/>
        <w:outlineLvl w:val="2"/>
        <w:rPr>
          <w:rFonts w:ascii="Arial" w:eastAsia="MS Gothic" w:hAnsi="Arial" w:cs="Times New Roman"/>
          <w:b/>
          <w:bCs/>
          <w:sz w:val="24"/>
          <w:szCs w:val="24"/>
        </w:rPr>
      </w:pPr>
      <w:bookmarkStart w:id="26" w:name="_Ref118906694"/>
      <w:r w:rsidRPr="00491F7E">
        <w:rPr>
          <w:rFonts w:ascii="Arial" w:eastAsia="MS Gothic" w:hAnsi="Arial" w:cs="Times New Roman"/>
          <w:b/>
          <w:bCs/>
          <w:sz w:val="24"/>
          <w:szCs w:val="24"/>
        </w:rPr>
        <w:t>2.7.1 Security Incident Response</w:t>
      </w:r>
      <w:bookmarkEnd w:id="26"/>
    </w:p>
    <w:p w14:paraId="61DD6AA9"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Security Incident Response Service aligns with the NIST 800-61 Computer Incident Handling Guide, defining scope, roles, and responsibilities during the contracting process. The process covers seven major areas: Preparation, Detection and Analysis, Incident Analysis, Incident Response, Containment, Eradication, and Recovery, Post-Incident Activity, and Coordination and Information Sharing.</w:t>
      </w:r>
    </w:p>
    <w:p w14:paraId="0651BB4D" w14:textId="77777777" w:rsidR="00491F7E" w:rsidRPr="00491F7E" w:rsidRDefault="00491F7E" w:rsidP="00491F7E">
      <w:pPr>
        <w:widowControl/>
        <w:numPr>
          <w:ilvl w:val="0"/>
          <w:numId w:val="23"/>
        </w:numPr>
        <w:autoSpaceDE/>
        <w:autoSpaceDN/>
        <w:spacing w:after="160" w:line="259" w:lineRule="auto"/>
        <w:contextualSpacing/>
        <w:jc w:val="both"/>
        <w:rPr>
          <w:rFonts w:ascii="Avenir Next LT Pro Light" w:eastAsia="Times New Roman" w:hAnsi="Avenir Next LT Pro Light" w:cs="Times New Roman"/>
          <w:sz w:val="20"/>
          <w:szCs w:val="20"/>
        </w:rPr>
      </w:pPr>
      <w:r w:rsidRPr="00491F7E">
        <w:rPr>
          <w:rFonts w:ascii="Avenir Next LT Pro Light" w:eastAsia="Times New Roman" w:hAnsi="Avenir Next LT Pro Light" w:cs="Times New Roman"/>
          <w:b/>
          <w:bCs/>
          <w:sz w:val="20"/>
          <w:szCs w:val="20"/>
        </w:rPr>
        <w:t xml:space="preserve">Preparation: </w:t>
      </w:r>
      <w:r w:rsidRPr="00491F7E">
        <w:rPr>
          <w:rFonts w:ascii="Avenir Next LT Pro Light" w:eastAsia="Times New Roman" w:hAnsi="Avenir Next LT Pro Light" w:cs="Times New Roman"/>
          <w:sz w:val="20"/>
          <w:szCs w:val="20"/>
        </w:rPr>
        <w:t>Emphasizes continuous preparation by ensuring secure systems, networks, and applications, and establishing practices to manage incidents within set SLAs.</w:t>
      </w:r>
    </w:p>
    <w:p w14:paraId="088B2DA7" w14:textId="77777777" w:rsidR="00491F7E" w:rsidRPr="00491F7E" w:rsidRDefault="00491F7E" w:rsidP="00491F7E">
      <w:pPr>
        <w:widowControl/>
        <w:numPr>
          <w:ilvl w:val="0"/>
          <w:numId w:val="23"/>
        </w:numPr>
        <w:autoSpaceDE/>
        <w:autoSpaceDN/>
        <w:spacing w:after="160" w:line="259" w:lineRule="auto"/>
        <w:contextualSpacing/>
        <w:jc w:val="both"/>
        <w:rPr>
          <w:rFonts w:ascii="Avenir Next LT Pro Light" w:eastAsia="Times New Roman" w:hAnsi="Avenir Next LT Pro Light" w:cs="Times New Roman"/>
          <w:sz w:val="20"/>
          <w:szCs w:val="20"/>
        </w:rPr>
      </w:pPr>
      <w:r w:rsidRPr="00491F7E">
        <w:rPr>
          <w:rFonts w:ascii="Avenir Next LT Pro Light" w:eastAsia="Times New Roman" w:hAnsi="Avenir Next LT Pro Light" w:cs="Times New Roman"/>
          <w:b/>
          <w:bCs/>
          <w:sz w:val="20"/>
          <w:szCs w:val="20"/>
        </w:rPr>
        <w:t>Detection and Analysis:</w:t>
      </w:r>
      <w:r w:rsidRPr="00491F7E">
        <w:rPr>
          <w:rFonts w:ascii="Arial" w:eastAsia="Times New Roman" w:hAnsi="Arial" w:cs="Times New Roman"/>
          <w:sz w:val="20"/>
          <w:szCs w:val="20"/>
        </w:rPr>
        <w:t xml:space="preserve"> </w:t>
      </w:r>
      <w:r w:rsidRPr="00491F7E">
        <w:rPr>
          <w:rFonts w:ascii="Avenir Next LT Pro Light" w:eastAsia="MS Mincho" w:hAnsi="Avenir Next LT Pro Light" w:cs="Times New Roman"/>
          <w:sz w:val="20"/>
          <w:szCs w:val="20"/>
        </w:rPr>
        <w:t xml:space="preserve">SMX works </w:t>
      </w:r>
      <w:r w:rsidRPr="00491F7E">
        <w:rPr>
          <w:rFonts w:ascii="Avenir Next LT Pro Light" w:eastAsia="Times New Roman" w:hAnsi="Avenir Next LT Pro Light" w:cs="Times New Roman"/>
          <w:sz w:val="20"/>
          <w:szCs w:val="20"/>
        </w:rPr>
        <w:t>with clients to identify attack vectors and provide definitive incident classification, using various sources to identify precursors and indicators.</w:t>
      </w:r>
    </w:p>
    <w:p w14:paraId="5E630761" w14:textId="77777777" w:rsidR="00491F7E" w:rsidRPr="00491F7E" w:rsidRDefault="00491F7E" w:rsidP="00491F7E">
      <w:pPr>
        <w:widowControl/>
        <w:numPr>
          <w:ilvl w:val="0"/>
          <w:numId w:val="23"/>
        </w:numPr>
        <w:autoSpaceDE/>
        <w:autoSpaceDN/>
        <w:spacing w:after="160" w:line="259" w:lineRule="auto"/>
        <w:contextualSpacing/>
        <w:jc w:val="both"/>
        <w:rPr>
          <w:rFonts w:ascii="Arial" w:eastAsia="Times New Roman" w:hAnsi="Arial" w:cs="Times New Roman"/>
          <w:sz w:val="20"/>
          <w:szCs w:val="20"/>
        </w:rPr>
      </w:pPr>
      <w:r w:rsidRPr="00491F7E">
        <w:rPr>
          <w:rFonts w:ascii="Avenir Next LT Pro Light" w:eastAsia="Times New Roman" w:hAnsi="Avenir Next LT Pro Light" w:cs="Times New Roman"/>
          <w:b/>
          <w:bCs/>
          <w:sz w:val="20"/>
          <w:szCs w:val="20"/>
        </w:rPr>
        <w:t>Incident Analysis:</w:t>
      </w:r>
      <w:r w:rsidRPr="00491F7E">
        <w:rPr>
          <w:rFonts w:ascii="Avenir Next LT Pro Light" w:eastAsia="Times New Roman" w:hAnsi="Avenir Next LT Pro Light" w:cs="Times New Roman"/>
          <w:sz w:val="20"/>
          <w:szCs w:val="20"/>
        </w:rPr>
        <w:t xml:space="preserve"> SMX analyzes client-prioritized incidents, utilizing multiple data sources to assess indicators of compromise, document, prioritize, and invoke notification processes.</w:t>
      </w:r>
    </w:p>
    <w:p w14:paraId="181EF86C" w14:textId="77777777" w:rsidR="00491F7E" w:rsidRPr="00491F7E" w:rsidRDefault="00491F7E" w:rsidP="00491F7E">
      <w:pPr>
        <w:widowControl/>
        <w:numPr>
          <w:ilvl w:val="0"/>
          <w:numId w:val="23"/>
        </w:numPr>
        <w:autoSpaceDE/>
        <w:autoSpaceDN/>
        <w:spacing w:after="160" w:line="259" w:lineRule="auto"/>
        <w:contextualSpacing/>
        <w:jc w:val="both"/>
        <w:rPr>
          <w:rFonts w:ascii="Arial" w:eastAsia="Times New Roman" w:hAnsi="Arial" w:cs="Times New Roman"/>
          <w:sz w:val="20"/>
          <w:szCs w:val="20"/>
        </w:rPr>
      </w:pPr>
      <w:r w:rsidRPr="00491F7E">
        <w:rPr>
          <w:rFonts w:ascii="Avenir Next LT Pro Light" w:eastAsia="Times New Roman" w:hAnsi="Avenir Next LT Pro Light" w:cs="Times New Roman"/>
          <w:b/>
          <w:bCs/>
          <w:sz w:val="20"/>
          <w:szCs w:val="20"/>
        </w:rPr>
        <w:t>Incident Response:</w:t>
      </w:r>
      <w:r w:rsidRPr="00491F7E">
        <w:rPr>
          <w:rFonts w:ascii="Avenir Next LT Pro Light" w:eastAsia="Times New Roman" w:hAnsi="Avenir Next LT Pro Light" w:cs="Times New Roman"/>
          <w:sz w:val="20"/>
          <w:szCs w:val="20"/>
        </w:rPr>
        <w:t xml:space="preserve"> The SMX team supports incident response processes through escalation, break/fix remediation, disaster recovery, system restore, and event information reporting.</w:t>
      </w:r>
    </w:p>
    <w:p w14:paraId="772CF516" w14:textId="77777777" w:rsidR="00491F7E" w:rsidRPr="00491F7E" w:rsidRDefault="00491F7E" w:rsidP="00491F7E">
      <w:pPr>
        <w:widowControl/>
        <w:numPr>
          <w:ilvl w:val="0"/>
          <w:numId w:val="23"/>
        </w:numPr>
        <w:autoSpaceDE/>
        <w:autoSpaceDN/>
        <w:spacing w:after="160" w:line="259" w:lineRule="auto"/>
        <w:contextualSpacing/>
        <w:jc w:val="both"/>
        <w:rPr>
          <w:rFonts w:ascii="Arial" w:eastAsia="Times New Roman" w:hAnsi="Arial" w:cs="Times New Roman"/>
          <w:sz w:val="20"/>
          <w:szCs w:val="20"/>
        </w:rPr>
      </w:pPr>
      <w:r w:rsidRPr="00491F7E">
        <w:rPr>
          <w:rFonts w:ascii="Avenir Next LT Pro Light" w:eastAsia="Times New Roman" w:hAnsi="Avenir Next LT Pro Light" w:cs="Times New Roman"/>
          <w:b/>
          <w:bCs/>
          <w:sz w:val="20"/>
          <w:szCs w:val="20"/>
        </w:rPr>
        <w:t>Containment, Eradication, and Recovery:</w:t>
      </w:r>
      <w:r w:rsidRPr="00491F7E">
        <w:rPr>
          <w:rFonts w:ascii="Avenir Next LT Pro Light" w:eastAsia="Times New Roman" w:hAnsi="Avenir Next LT Pro Light" w:cs="Times New Roman"/>
          <w:sz w:val="20"/>
          <w:szCs w:val="20"/>
        </w:rPr>
        <w:t xml:space="preserve"> SMX collaborates with clients to develop containment strategies for each major incident type and determine appropriate risk thresholds. Proprietary </w:t>
      </w:r>
      <w:proofErr w:type="spellStart"/>
      <w:r w:rsidRPr="00491F7E">
        <w:rPr>
          <w:rFonts w:ascii="Avenir Next LT Pro Light" w:eastAsia="Times New Roman" w:hAnsi="Avenir Next LT Pro Light" w:cs="Times New Roman"/>
          <w:sz w:val="20"/>
          <w:szCs w:val="20"/>
        </w:rPr>
        <w:t>CyberHunter</w:t>
      </w:r>
      <w:proofErr w:type="spellEnd"/>
      <w:r w:rsidRPr="00491F7E">
        <w:rPr>
          <w:rFonts w:ascii="Avenir Next LT Pro Light" w:eastAsia="Times New Roman" w:hAnsi="Avenir Next LT Pro Light" w:cs="Times New Roman"/>
          <w:sz w:val="20"/>
          <w:szCs w:val="20"/>
        </w:rPr>
        <w:t>® tools assist with isolation, containment, and eradication.</w:t>
      </w:r>
    </w:p>
    <w:p w14:paraId="12C3537E" w14:textId="77777777" w:rsidR="00491F7E" w:rsidRPr="00491F7E" w:rsidRDefault="00491F7E" w:rsidP="00491F7E">
      <w:pPr>
        <w:widowControl/>
        <w:numPr>
          <w:ilvl w:val="0"/>
          <w:numId w:val="23"/>
        </w:numPr>
        <w:autoSpaceDE/>
        <w:autoSpaceDN/>
        <w:spacing w:after="160" w:line="259" w:lineRule="auto"/>
        <w:contextualSpacing/>
        <w:jc w:val="both"/>
        <w:rPr>
          <w:rFonts w:ascii="Arial" w:eastAsia="Times New Roman" w:hAnsi="Arial" w:cs="Times New Roman"/>
          <w:sz w:val="20"/>
          <w:szCs w:val="20"/>
        </w:rPr>
      </w:pPr>
      <w:r w:rsidRPr="00491F7E">
        <w:rPr>
          <w:rFonts w:ascii="Avenir Next LT Pro Light" w:eastAsia="Times New Roman" w:hAnsi="Avenir Next LT Pro Light" w:cs="Times New Roman"/>
          <w:b/>
          <w:bCs/>
          <w:sz w:val="20"/>
          <w:szCs w:val="20"/>
        </w:rPr>
        <w:t>Post-Incident Activity:</w:t>
      </w:r>
      <w:r w:rsidRPr="00491F7E">
        <w:rPr>
          <w:rFonts w:ascii="Avenir Next LT Pro Light" w:eastAsia="Times New Roman" w:hAnsi="Avenir Next LT Pro Light" w:cs="Times New Roman"/>
          <w:sz w:val="20"/>
          <w:szCs w:val="20"/>
        </w:rPr>
        <w:t xml:space="preserve"> SMX documents incidents and shares findings in a formal Incident Review and Lessons Learned report, updating incident handling guidance and checklists accordingly.</w:t>
      </w:r>
    </w:p>
    <w:p w14:paraId="6A66BE0C" w14:textId="77777777" w:rsidR="00491F7E" w:rsidRPr="00491F7E" w:rsidRDefault="00491F7E" w:rsidP="00491F7E">
      <w:pPr>
        <w:widowControl/>
        <w:numPr>
          <w:ilvl w:val="0"/>
          <w:numId w:val="23"/>
        </w:numPr>
        <w:autoSpaceDE/>
        <w:autoSpaceDN/>
        <w:spacing w:after="160" w:line="259" w:lineRule="auto"/>
        <w:contextualSpacing/>
        <w:jc w:val="both"/>
        <w:rPr>
          <w:rFonts w:ascii="Arial" w:eastAsia="Times New Roman" w:hAnsi="Arial" w:cs="Times New Roman"/>
          <w:sz w:val="20"/>
          <w:szCs w:val="20"/>
        </w:rPr>
      </w:pPr>
      <w:r w:rsidRPr="00491F7E">
        <w:rPr>
          <w:rFonts w:ascii="Avenir Next LT Pro Light" w:eastAsia="Times New Roman" w:hAnsi="Avenir Next LT Pro Light" w:cs="Times New Roman"/>
          <w:b/>
          <w:bCs/>
          <w:sz w:val="20"/>
          <w:szCs w:val="20"/>
        </w:rPr>
        <w:t>Coordination and Information Sharing:</w:t>
      </w:r>
      <w:r w:rsidRPr="00491F7E">
        <w:rPr>
          <w:rFonts w:ascii="Avenir Next LT Pro Light" w:eastAsia="Times New Roman" w:hAnsi="Avenir Next LT Pro Light" w:cs="Times New Roman"/>
          <w:sz w:val="20"/>
          <w:szCs w:val="20"/>
        </w:rPr>
        <w:t xml:space="preserve"> SMX coordinates with external parties as needed, discussing information sharing with clients before incidents occur to establish policies and procedures. Clients are responsible for notifying law enforcement and handling external media communications.</w:t>
      </w:r>
    </w:p>
    <w:p w14:paraId="0295B1D2" w14:textId="77777777" w:rsidR="00491F7E" w:rsidRPr="00491F7E" w:rsidRDefault="00491F7E" w:rsidP="00491F7E">
      <w:pPr>
        <w:keepNext/>
        <w:keepLines/>
        <w:widowControl/>
        <w:autoSpaceDE/>
        <w:autoSpaceDN/>
        <w:spacing w:before="200" w:after="160" w:line="259" w:lineRule="auto"/>
        <w:ind w:left="1080" w:hanging="720"/>
        <w:jc w:val="both"/>
        <w:outlineLvl w:val="2"/>
        <w:rPr>
          <w:rFonts w:ascii="Arial" w:eastAsia="MS Gothic" w:hAnsi="Arial" w:cs="Times New Roman"/>
          <w:b/>
          <w:bCs/>
          <w:sz w:val="24"/>
          <w:szCs w:val="24"/>
        </w:rPr>
      </w:pPr>
      <w:bookmarkStart w:id="27" w:name="_Ref120882982"/>
      <w:bookmarkStart w:id="28" w:name="_Ref130483885"/>
      <w:r w:rsidRPr="00491F7E">
        <w:rPr>
          <w:rFonts w:ascii="Arial" w:eastAsia="MS Gothic" w:hAnsi="Arial" w:cs="Times New Roman"/>
          <w:b/>
          <w:bCs/>
          <w:sz w:val="24"/>
          <w:szCs w:val="24"/>
        </w:rPr>
        <w:t>2.7.2 Enhanced Log Aggregation and Analysis</w:t>
      </w:r>
      <w:bookmarkEnd w:id="27"/>
      <w:bookmarkEnd w:id="28"/>
    </w:p>
    <w:p w14:paraId="43D3888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Enhanced Log Aggregation and Analysis Service (compliant with SOC 2, ISO 9001, ISO 20000, ISO 27001, and FedRAMP Moderate) ingests and monitors logs such as event logs, audit information, and monitoring data from operating systems, platforms, networks, and infrastructure 24/7. Security alerts for key events and activity patterns are defined to trigger further analysis or incident response. ELAA team members continuously refine and tune alerts to eliminate false positives. ELAA Security Monitoring is separate from the Security Incident Response service described in section 2.4.1.</w:t>
      </w:r>
    </w:p>
    <w:p w14:paraId="25286DB9"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Core Log Aggregation vs ELAA:</w:t>
      </w:r>
    </w:p>
    <w:p w14:paraId="1B0606CF"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lastRenderedPageBreak/>
        <w:t>Core Log Aggregation service captures and stores core CSP log events for ad hoc search using CSP native capabilities. No security alerting is provided by Log Aggregation. ELAA extends Core Log Aggregation by integrating search capabilities, custom security alerting, threat hunting, trend analysis, proactive log review analysis, and monthly security monitoring reporting. ELAA's security analysis capability enables correlation of events across multiple log sources, improving incident identification for customer security stakeholders.</w:t>
      </w:r>
    </w:p>
    <w:p w14:paraId="513FFA4E"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AI and ML in ELAA:</w:t>
      </w:r>
    </w:p>
    <w:p w14:paraId="1E726AA3"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Our monitoring process uses AI and ML to identify patterns, anomalies, and issues requiring security analyst attention. Detection patterns are optimized based on intel and emerging threats. ELAA security analysts continuously refine and tune AI and ML-based alerts to eliminate false positives.</w:t>
      </w:r>
    </w:p>
    <w:p w14:paraId="2671C31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ELAA and Regulatory Requirements:</w:t>
      </w:r>
    </w:p>
    <w:p w14:paraId="7554FA1A"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ELAA adopts a risk-based, governance approach to determine required log ingestion to meet compliance requirements, considering relevant audit and security policies and NIST guidance. ELAA handles both regulated and non-regulated customers.</w:t>
      </w:r>
    </w:p>
    <w:p w14:paraId="580BA79D"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ELAA Triage:</w:t>
      </w:r>
    </w:p>
    <w:p w14:paraId="522A08BA"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ELAA Triage follows defined processes according to severity levels. Security analysts review alert data, perform secondary log searches and data gathering, and develop recommendations if appropriate before notifying appropriate stakeholders for awareness and follow on actions.</w:t>
      </w:r>
    </w:p>
    <w:p w14:paraId="319DA77B"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ELAA Alert Notification Workflow:</w:t>
      </w:r>
    </w:p>
    <w:p w14:paraId="082EE058"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Below is the ELAA alert notification process that is followed when an alert is triggered. </w:t>
      </w:r>
    </w:p>
    <w:p w14:paraId="09614E76" w14:textId="77777777" w:rsidR="00491F7E" w:rsidRPr="00491F7E" w:rsidRDefault="00491F7E" w:rsidP="00491F7E">
      <w:pPr>
        <w:widowControl/>
        <w:autoSpaceDE/>
        <w:autoSpaceDN/>
        <w:spacing w:after="160" w:line="257" w:lineRule="auto"/>
        <w:rPr>
          <w:rFonts w:ascii="Avenir Next LT Pro Light" w:eastAsia="MS Mincho" w:hAnsi="Avenir Next LT Pro Light" w:cs="Times New Roman"/>
        </w:rPr>
      </w:pPr>
    </w:p>
    <w:p w14:paraId="750BCB12" w14:textId="77777777" w:rsidR="00491F7E" w:rsidRPr="00491F7E" w:rsidRDefault="00491F7E" w:rsidP="00491F7E">
      <w:pPr>
        <w:keepNext/>
        <w:widowControl/>
        <w:autoSpaceDE/>
        <w:autoSpaceDN/>
        <w:spacing w:after="160" w:line="259" w:lineRule="auto"/>
        <w:rPr>
          <w:rFonts w:ascii="Avenir Next LT Pro Light" w:eastAsia="MS Mincho" w:hAnsi="Avenir Next LT Pro Light" w:cs="Times New Roman"/>
        </w:rPr>
      </w:pPr>
      <w:r w:rsidRPr="00491F7E">
        <w:rPr>
          <w:rFonts w:ascii="Avenir Next LT Pro Light" w:eastAsia="MS Mincho" w:hAnsi="Avenir Next LT Pro Light" w:cs="Times New Roman"/>
          <w:noProof/>
        </w:rPr>
        <w:drawing>
          <wp:inline distT="0" distB="0" distL="0" distR="0" wp14:anchorId="01386B56" wp14:editId="79CD53FB">
            <wp:extent cx="4572000" cy="1743075"/>
            <wp:effectExtent l="0" t="0" r="0" b="0"/>
            <wp:docPr id="250208221" name="Picture 250208221" descr="A diagram of a security ope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08221" name="Picture 250208221" descr="A diagram of a security operation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p>
    <w:p w14:paraId="607A794F" w14:textId="3E712A5B" w:rsidR="00491F7E" w:rsidRPr="00491F7E" w:rsidRDefault="00491F7E" w:rsidP="00491F7E">
      <w:pPr>
        <w:widowControl/>
        <w:autoSpaceDE/>
        <w:autoSpaceDN/>
        <w:spacing w:after="120" w:line="259" w:lineRule="auto"/>
        <w:jc w:val="center"/>
        <w:rPr>
          <w:rFonts w:eastAsia="SimSun" w:cs="Times New Roman"/>
          <w:b/>
          <w:bCs/>
          <w:color w:val="4F81BD"/>
          <w:sz w:val="18"/>
          <w:szCs w:val="18"/>
        </w:rPr>
      </w:pPr>
      <w:r w:rsidRPr="00491F7E">
        <w:rPr>
          <w:rFonts w:eastAsia="SimSun" w:cs="Times New Roman"/>
          <w:b/>
          <w:bCs/>
          <w:color w:val="4F81BD"/>
          <w:sz w:val="18"/>
          <w:szCs w:val="18"/>
        </w:rPr>
        <w:t xml:space="preserve">Figure </w:t>
      </w:r>
      <w:r w:rsidRPr="00491F7E">
        <w:rPr>
          <w:rFonts w:eastAsia="SimSun" w:cs="Times New Roman"/>
          <w:b/>
          <w:bCs/>
          <w:color w:val="4F81BD"/>
          <w:sz w:val="18"/>
          <w:szCs w:val="18"/>
        </w:rPr>
        <w:fldChar w:fldCharType="begin"/>
      </w:r>
      <w:r w:rsidRPr="00491F7E">
        <w:rPr>
          <w:rFonts w:eastAsia="SimSun" w:cs="Times New Roman"/>
          <w:b/>
          <w:bCs/>
          <w:color w:val="4F81BD"/>
          <w:sz w:val="18"/>
          <w:szCs w:val="18"/>
        </w:rPr>
        <w:instrText>SEQ Figure \* ARABIC</w:instrText>
      </w:r>
      <w:r w:rsidRPr="00491F7E">
        <w:rPr>
          <w:rFonts w:eastAsia="SimSun" w:cs="Times New Roman"/>
          <w:b/>
          <w:bCs/>
          <w:color w:val="4F81BD"/>
          <w:sz w:val="18"/>
          <w:szCs w:val="18"/>
        </w:rPr>
        <w:fldChar w:fldCharType="separate"/>
      </w:r>
      <w:r w:rsidR="00A56B90">
        <w:rPr>
          <w:rFonts w:eastAsia="SimSun" w:cs="Times New Roman"/>
          <w:b/>
          <w:bCs/>
          <w:noProof/>
          <w:color w:val="4F81BD"/>
          <w:sz w:val="18"/>
          <w:szCs w:val="18"/>
        </w:rPr>
        <w:t>1</w:t>
      </w:r>
      <w:r w:rsidRPr="00491F7E">
        <w:rPr>
          <w:rFonts w:eastAsia="SimSun" w:cs="Times New Roman"/>
          <w:b/>
          <w:bCs/>
          <w:color w:val="4F81BD"/>
          <w:sz w:val="18"/>
          <w:szCs w:val="18"/>
        </w:rPr>
        <w:fldChar w:fldCharType="end"/>
      </w:r>
    </w:p>
    <w:p w14:paraId="558CAAA2"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p>
    <w:p w14:paraId="107AE804"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ELAA includes the customer in the process to ensure we meet their requirements and our own. </w:t>
      </w:r>
      <w:r w:rsidRPr="00491F7E">
        <w:rPr>
          <w:rFonts w:ascii="Avenir Next LT Pro Light" w:eastAsia="MS Mincho" w:hAnsi="Avenir Next LT Pro Light" w:cs="Times New Roman"/>
          <w:sz w:val="20"/>
          <w:szCs w:val="20"/>
        </w:rPr>
        <w:br/>
      </w:r>
    </w:p>
    <w:p w14:paraId="562388CA"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ELAA Monthly Reporting and Meeting:</w:t>
      </w:r>
    </w:p>
    <w:p w14:paraId="2C43951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The ELAA service offers a monthly report, detailing trends and analyses based on data from triggered alerts and non-alert generating events. This report serves as the foundation for a monthly meeting </w:t>
      </w:r>
      <w:r w:rsidRPr="00491F7E">
        <w:rPr>
          <w:rFonts w:ascii="Avenir Next LT Pro Light" w:eastAsia="MS Mincho" w:hAnsi="Avenir Next LT Pro Light" w:cs="Times New Roman"/>
          <w:sz w:val="20"/>
          <w:szCs w:val="20"/>
        </w:rPr>
        <w:lastRenderedPageBreak/>
        <w:t>between the client and their primary analyst to review findings and discuss any relevant issues, such as customer concerns or new threat use cases.</w:t>
      </w:r>
    </w:p>
    <w:p w14:paraId="37BB2F74"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ELAA Threat Hunting:</w:t>
      </w:r>
    </w:p>
    <w:p w14:paraId="23185367"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ELAA Analysts are US based and perform threat hunting in the environments as a part of their normal activities, these activities are done by looking at the data with a critical eye and running custom hunting queries devised by the team. </w:t>
      </w:r>
    </w:p>
    <w:p w14:paraId="77445D39"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 Notes:</w:t>
      </w:r>
    </w:p>
    <w:p w14:paraId="14B94680" w14:textId="77777777" w:rsidR="00491F7E" w:rsidRPr="00491F7E" w:rsidRDefault="00491F7E" w:rsidP="00491F7E">
      <w:pPr>
        <w:widowControl/>
        <w:numPr>
          <w:ilvl w:val="0"/>
          <w:numId w:val="3"/>
        </w:numPr>
        <w:autoSpaceDE/>
        <w:autoSpaceDN/>
        <w:spacing w:after="160" w:line="257"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All the ELAA services are administered remotely. </w:t>
      </w:r>
    </w:p>
    <w:p w14:paraId="22D25A78" w14:textId="77777777" w:rsidR="00491F7E" w:rsidRPr="00491F7E" w:rsidRDefault="00491F7E" w:rsidP="00491F7E">
      <w:pPr>
        <w:widowControl/>
        <w:numPr>
          <w:ilvl w:val="0"/>
          <w:numId w:val="3"/>
        </w:numPr>
        <w:autoSpaceDE/>
        <w:autoSpaceDN/>
        <w:spacing w:after="160" w:line="257"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ELAA recommends, when starting out, providing as much logging as possible, if any of the logs are not needed the customer will be advised to stop sending those logs.</w:t>
      </w:r>
    </w:p>
    <w:p w14:paraId="7AE56962" w14:textId="77777777" w:rsidR="00491F7E" w:rsidRPr="00491F7E" w:rsidRDefault="00491F7E" w:rsidP="00491F7E">
      <w:pPr>
        <w:widowControl/>
        <w:numPr>
          <w:ilvl w:val="0"/>
          <w:numId w:val="3"/>
        </w:numPr>
        <w:autoSpaceDE/>
        <w:autoSpaceDN/>
        <w:spacing w:after="160" w:line="257"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ELAA also provides ad-hoc queries upon request from the customer.</w:t>
      </w:r>
    </w:p>
    <w:p w14:paraId="4E08D2DB" w14:textId="77777777" w:rsidR="00491F7E" w:rsidRPr="00491F7E" w:rsidRDefault="00491F7E" w:rsidP="00491F7E">
      <w:pPr>
        <w:widowControl/>
        <w:numPr>
          <w:ilvl w:val="0"/>
          <w:numId w:val="3"/>
        </w:numPr>
        <w:autoSpaceDE/>
        <w:autoSpaceDN/>
        <w:spacing w:after="160" w:line="257"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ELAA prefers to have independent logging with logs forwarded to the Elevate framework, however, client Security Information and Event Management tools can be integrated into the Elevate framework for an additional cost. Summary monthly reporting is provided. </w:t>
      </w:r>
    </w:p>
    <w:p w14:paraId="438DF7F2" w14:textId="77777777" w:rsidR="00491F7E" w:rsidRPr="00491F7E" w:rsidRDefault="00491F7E" w:rsidP="00491F7E">
      <w:pPr>
        <w:widowControl/>
        <w:numPr>
          <w:ilvl w:val="0"/>
          <w:numId w:val="3"/>
        </w:numPr>
        <w:autoSpaceDE/>
        <w:autoSpaceDN/>
        <w:spacing w:after="160" w:line="257" w:lineRule="auto"/>
        <w:contextualSpacing/>
        <w:jc w:val="both"/>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The shared responsibility model governs remediation actions. Elevate services that clients have subscribed to will be remediated by the SMX team. Elevate Services not subscribed to will be the client's responsibility. SMX will still provide recommendations for identified patterns, anomalies, and issues. </w:t>
      </w:r>
    </w:p>
    <w:p w14:paraId="386DD755"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p>
    <w:p w14:paraId="68EA983D" w14:textId="77777777" w:rsidR="00491F7E" w:rsidRPr="00491F7E" w:rsidRDefault="00491F7E" w:rsidP="00491F7E">
      <w:pPr>
        <w:keepNext/>
        <w:keepLines/>
        <w:widowControl/>
        <w:numPr>
          <w:ilvl w:val="2"/>
          <w:numId w:val="0"/>
        </w:numPr>
        <w:autoSpaceDE/>
        <w:autoSpaceDN/>
        <w:spacing w:before="200" w:after="160" w:line="259" w:lineRule="auto"/>
        <w:ind w:left="1080" w:hanging="720"/>
        <w:jc w:val="both"/>
        <w:outlineLvl w:val="2"/>
        <w:rPr>
          <w:rFonts w:ascii="Arial" w:eastAsia="MS Gothic" w:hAnsi="Arial" w:cs="Times New Roman"/>
          <w:b/>
          <w:bCs/>
          <w:sz w:val="24"/>
          <w:szCs w:val="24"/>
        </w:rPr>
      </w:pPr>
      <w:bookmarkStart w:id="29" w:name="_Ref130483893"/>
      <w:r w:rsidRPr="00491F7E">
        <w:rPr>
          <w:rFonts w:ascii="Arial" w:eastAsia="MS Gothic" w:hAnsi="Arial" w:cs="Times New Roman"/>
          <w:b/>
          <w:bCs/>
          <w:sz w:val="24"/>
          <w:szCs w:val="24"/>
        </w:rPr>
        <w:t>2.7.3 Host Intrusion Detection/Prevention</w:t>
      </w:r>
      <w:bookmarkEnd w:id="29"/>
    </w:p>
    <w:p w14:paraId="0ADF5D7D"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Host Intrusion Detection Systems (IDS) and Intrusion Prevention Systems (IPS) service offers 24/7 security event alerting, investigation, and response to potential security incidents detected by our endpoint HIDS/HIPS solutions. SMX’s Host Intrusion Detection/Prevention service utilizes industry and partner-maintained signature sets, which are updated regularly. Our security team ensures that the most appropriate signature sets are applied to customer endpoints.</w:t>
      </w:r>
    </w:p>
    <w:p w14:paraId="36124B85"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We operate the system in detect mode for a minimum of one month and switch to prevent mode only upon mutual agreement with our clients. When significant changes to the service occur, clients must submit ServiceNow tickets to initiate system transitions between detect and prevent modes. IPS events are sent to our Multi-tenant Security Information and Event Management systems, followed by ticket logging in the ServiceNow Portal, where notifications and escalations are activated based on severity.</w:t>
      </w:r>
    </w:p>
    <w:p w14:paraId="76E7EF4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Remediation actions follow the shared responsibility model. Elevate services that clients subscribe to will be handled by SMX, while the client is responsible for services not covered under Elevate. Nevertheless, SMX will continue to offer recommendations for intrusion incidents to aid clients in remediation. Our systems and security managed services engineers provide 24x7x365 support, extending the IT security capabilities of your team.</w:t>
      </w:r>
    </w:p>
    <w:p w14:paraId="3AD26475" w14:textId="77777777" w:rsidR="00491F7E" w:rsidRPr="00491F7E" w:rsidRDefault="00491F7E" w:rsidP="00491F7E">
      <w:pPr>
        <w:keepNext/>
        <w:keepLines/>
        <w:widowControl/>
        <w:numPr>
          <w:ilvl w:val="2"/>
          <w:numId w:val="0"/>
        </w:numPr>
        <w:autoSpaceDE/>
        <w:autoSpaceDN/>
        <w:spacing w:before="200" w:after="160" w:line="259" w:lineRule="auto"/>
        <w:ind w:left="1440" w:hanging="720"/>
        <w:jc w:val="both"/>
        <w:outlineLvl w:val="2"/>
        <w:rPr>
          <w:rFonts w:ascii="Arial" w:eastAsia="MS Gothic" w:hAnsi="Arial" w:cs="Times New Roman"/>
          <w:b/>
          <w:bCs/>
          <w:sz w:val="24"/>
          <w:szCs w:val="24"/>
        </w:rPr>
      </w:pPr>
      <w:bookmarkStart w:id="30" w:name="_Ref130483898"/>
      <w:r w:rsidRPr="00491F7E">
        <w:rPr>
          <w:rFonts w:ascii="Arial" w:eastAsia="MS Gothic" w:hAnsi="Arial" w:cs="Times New Roman"/>
          <w:b/>
          <w:bCs/>
          <w:sz w:val="24"/>
          <w:szCs w:val="24"/>
        </w:rPr>
        <w:t>2.7.4 Host File Integrity Monitoring</w:t>
      </w:r>
      <w:bookmarkEnd w:id="30"/>
    </w:p>
    <w:p w14:paraId="3464C03C"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Host File Integrity Monitoring Service alerts you to changes in critical operating system and application files, as well as vital processes and ports. This integrity monitoring detects unauthorized changes that pose operational and security risks by identifying system incompatibilities and potential indicators of compromise.</w:t>
      </w:r>
    </w:p>
    <w:p w14:paraId="182F8E93"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lastRenderedPageBreak/>
        <w:t>Our FIM capability enables the service to deliver 24/7 alerts and responses to identified events. The identification of protected files can be tailored to address customer security concerns. Host File Integrity Monitoring Service necessitates the use of Elevate reporting services.</w:t>
      </w:r>
    </w:p>
    <w:p w14:paraId="737D4988"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r w:rsidRPr="00491F7E">
        <w:rPr>
          <w:rFonts w:ascii="Avenir Next LT Pro Light" w:eastAsia="MS Mincho" w:hAnsi="Avenir Next LT Pro Light" w:cs="Times New Roman"/>
          <w:sz w:val="20"/>
          <w:szCs w:val="20"/>
        </w:rPr>
        <w:t>This service requires installation on a dedicated Trend Micro Deep Security tenant within Elevate. In environments lacking maturity or high stability, advisory professional services may be needed to collaborate with client workload and application owners to manage and approve changes, which may incur additional costs.</w:t>
      </w:r>
    </w:p>
    <w:p w14:paraId="287AE616" w14:textId="77777777" w:rsidR="00491F7E" w:rsidRPr="00491F7E" w:rsidRDefault="00491F7E" w:rsidP="00491F7E">
      <w:pPr>
        <w:keepNext/>
        <w:keepLines/>
        <w:widowControl/>
        <w:numPr>
          <w:ilvl w:val="2"/>
          <w:numId w:val="0"/>
        </w:numPr>
        <w:autoSpaceDE/>
        <w:autoSpaceDN/>
        <w:spacing w:before="200" w:after="160" w:line="259" w:lineRule="auto"/>
        <w:ind w:left="1440" w:hanging="720"/>
        <w:jc w:val="both"/>
        <w:outlineLvl w:val="2"/>
        <w:rPr>
          <w:rFonts w:ascii="Arial" w:eastAsia="MS Gothic" w:hAnsi="Arial" w:cs="Times New Roman"/>
          <w:b/>
          <w:bCs/>
          <w:sz w:val="24"/>
          <w:szCs w:val="24"/>
        </w:rPr>
      </w:pPr>
      <w:bookmarkStart w:id="31" w:name="_Ref130483904"/>
      <w:r w:rsidRPr="00491F7E">
        <w:rPr>
          <w:rFonts w:ascii="Arial" w:eastAsia="MS Gothic" w:hAnsi="Arial" w:cs="Times New Roman"/>
          <w:b/>
          <w:bCs/>
          <w:sz w:val="24"/>
          <w:szCs w:val="24"/>
        </w:rPr>
        <w:t>2.7.5 Application Control</w:t>
      </w:r>
      <w:bookmarkEnd w:id="31"/>
      <w:r w:rsidRPr="00491F7E">
        <w:rPr>
          <w:rFonts w:ascii="Arial" w:eastAsia="MS Gothic" w:hAnsi="Arial" w:cs="Times New Roman"/>
          <w:b/>
          <w:bCs/>
          <w:sz w:val="24"/>
          <w:szCs w:val="24"/>
        </w:rPr>
        <w:t> </w:t>
      </w:r>
    </w:p>
    <w:p w14:paraId="0DD9A141"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Application Control Monitoring Service alerts you to changes in key software on your protected servers. Based on your policy configuration, the service either prevents unauthorized software from running until explicitly allowed or permits unauthorized software until explicitly blocked.</w:t>
      </w:r>
    </w:p>
    <w:p w14:paraId="710BE41F"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This system operates in Maintenance or Enforcement modes. Maintenance mode enables the development and updating of the application inventory, while Enforcement mode actively blocks access and prevents unauthorized changes. Effective application control requires close collaboration with client workload and application owners to manage and approve changes smoothly.</w:t>
      </w:r>
    </w:p>
    <w:p w14:paraId="703B6B3A"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In environments lacking maturity or high stability, advisory professional services may be needed to assist with mode changes from Maintenance to Enforcement at an additional cost. For complex environments and use cases, clients may need to incorporate mode changes as part of their CI/CD pipeline.</w:t>
      </w:r>
    </w:p>
    <w:p w14:paraId="328D748D"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Autoscaling environments and workloads must be identified and declared, so additional instances that are scaled up utilize a shared and approved software inventory.</w:t>
      </w:r>
    </w:p>
    <w:p w14:paraId="77BD0F0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r w:rsidRPr="00491F7E">
        <w:rPr>
          <w:rFonts w:ascii="Avenir Next LT Pro Light" w:eastAsia="MS Mincho" w:hAnsi="Avenir Next LT Pro Light" w:cs="Times New Roman"/>
          <w:sz w:val="20"/>
          <w:szCs w:val="20"/>
        </w:rPr>
        <w:t>Our Application Control capability allows the service to provide 24/7 alerts and responses to identified events. The identification of protected files can be tailored to address customer security concerns.</w:t>
      </w:r>
    </w:p>
    <w:p w14:paraId="2AF65629" w14:textId="77777777" w:rsidR="00491F7E" w:rsidRPr="00491F7E" w:rsidRDefault="00491F7E" w:rsidP="00491F7E">
      <w:pPr>
        <w:keepNext/>
        <w:keepLines/>
        <w:widowControl/>
        <w:autoSpaceDE/>
        <w:autoSpaceDN/>
        <w:spacing w:before="200" w:after="160" w:line="259" w:lineRule="auto"/>
        <w:ind w:left="1440" w:hanging="720"/>
        <w:jc w:val="both"/>
        <w:outlineLvl w:val="2"/>
        <w:rPr>
          <w:rFonts w:ascii="Arial" w:eastAsia="MS Gothic" w:hAnsi="Arial" w:cs="Times New Roman"/>
          <w:b/>
          <w:bCs/>
          <w:sz w:val="24"/>
          <w:szCs w:val="24"/>
        </w:rPr>
      </w:pPr>
      <w:bookmarkStart w:id="32" w:name="_Ref130483912"/>
      <w:r w:rsidRPr="00491F7E">
        <w:rPr>
          <w:rFonts w:ascii="Arial" w:eastAsia="MS Gothic" w:hAnsi="Arial" w:cs="Times New Roman"/>
          <w:b/>
          <w:bCs/>
          <w:sz w:val="24"/>
          <w:szCs w:val="24"/>
        </w:rPr>
        <w:t>2.7.6 Systems Vulnerability Scanning</w:t>
      </w:r>
      <w:bookmarkEnd w:id="32"/>
    </w:p>
    <w:p w14:paraId="47543BD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Systems Vulnerability Scanning Service facilitates assessments of networks and connected IT systems against regulatory compliance standards, identifying any known vulnerabilities. This solution offers automated network vulnerability scanning, configuration assessment, application vulnerability scanning, device configuration assessment, and network discovery.</w:t>
      </w:r>
    </w:p>
    <w:p w14:paraId="05884B8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Monthly systems vulnerability scanning is conducted, with scan outputs analyzed by Security Compliance specialists to identify and remove false positive findings. Any identified vulnerabilities trigger the opening of a ticket in the ServiceNow Portal to initiate ITSM practices and are immediately reported to system and application owners for remediation. Findings are reported separately for impacted teams at the OS and application levels.</w:t>
      </w:r>
    </w:p>
    <w:p w14:paraId="58C611CB"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Clients can subscribe to, or request on a one-off basis, more frequent scans for all or select workloads at an additional cost, which is a multiple of the standard monthly per-instance fees.</w:t>
      </w:r>
    </w:p>
    <w:p w14:paraId="41A588D7"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b/>
          <w:bCs/>
          <w:sz w:val="20"/>
          <w:szCs w:val="20"/>
        </w:rPr>
        <w:t>Note:</w:t>
      </w:r>
      <w:r w:rsidRPr="00491F7E">
        <w:rPr>
          <w:rFonts w:ascii="Avenir Next LT Pro Light" w:eastAsia="MS Mincho" w:hAnsi="Avenir Next LT Pro Light" w:cs="Times New Roman"/>
          <w:sz w:val="20"/>
          <w:szCs w:val="20"/>
        </w:rPr>
        <w:t xml:space="preserve"> The standard template supported by the vulnerability scanning service is based on the Center for Internet Security (CIS) benchmarks. Additional standards and templates may be supported according to customer regulatory requirements.</w:t>
      </w:r>
    </w:p>
    <w:p w14:paraId="067F6FC2" w14:textId="77777777" w:rsidR="00491F7E" w:rsidRPr="00491F7E" w:rsidRDefault="00491F7E" w:rsidP="00491F7E">
      <w:pPr>
        <w:keepNext/>
        <w:keepLines/>
        <w:widowControl/>
        <w:autoSpaceDE/>
        <w:autoSpaceDN/>
        <w:spacing w:before="200" w:after="160" w:line="259" w:lineRule="auto"/>
        <w:ind w:left="1440" w:hanging="720"/>
        <w:jc w:val="both"/>
        <w:outlineLvl w:val="2"/>
        <w:rPr>
          <w:rFonts w:ascii="Arial" w:eastAsia="MS Gothic" w:hAnsi="Arial" w:cs="Times New Roman"/>
          <w:b/>
          <w:bCs/>
          <w:sz w:val="24"/>
          <w:szCs w:val="24"/>
        </w:rPr>
      </w:pPr>
      <w:bookmarkStart w:id="33" w:name="_Ref130483923"/>
      <w:r w:rsidRPr="00491F7E">
        <w:rPr>
          <w:rFonts w:ascii="Arial" w:eastAsia="MS Gothic" w:hAnsi="Arial" w:cs="Times New Roman"/>
          <w:b/>
          <w:bCs/>
          <w:sz w:val="24"/>
          <w:szCs w:val="24"/>
        </w:rPr>
        <w:lastRenderedPageBreak/>
        <w:t>2.7.7 Continuous Monitoring Security and Regulatory Compliance Support Services</w:t>
      </w:r>
      <w:bookmarkEnd w:id="33"/>
    </w:p>
    <w:p w14:paraId="61EF1C2C"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Security and Regulatory Compliance Advisory Service utilizes SMX's security compliance experts to guide clients in meeting regulatory requirements and recommend mitigations for threats that could impact client-specific environments as they emerge and evolve. This professional service assists in documenting and updating control documentation to maintain customer regulatory compliance.</w:t>
      </w:r>
    </w:p>
    <w:p w14:paraId="2D18B4C1"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Examples of compliance activities include:</w:t>
      </w:r>
    </w:p>
    <w:p w14:paraId="27DB11C1"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Creating System Security Plans</w:t>
      </w:r>
    </w:p>
    <w:p w14:paraId="1A44D11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Supporting internal compliance audits</w:t>
      </w:r>
    </w:p>
    <w:p w14:paraId="5D1606C4"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Tracking Plans of Action and Milestones (POAMs)</w:t>
      </w:r>
    </w:p>
    <w:p w14:paraId="310E7BE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Conducting risk assessments and planning</w:t>
      </w:r>
    </w:p>
    <w:p w14:paraId="13B2FEB8"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Monitoring and responding to industry regulatory changes</w:t>
      </w:r>
    </w:p>
    <w:p w14:paraId="54E2911D"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Analyzing vulnerability scanning results</w:t>
      </w:r>
    </w:p>
    <w:p w14:paraId="12E5EF3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Elevate supports numerous compliance frameworks, such as NIST, FedRAMP, </w:t>
      </w:r>
      <w:proofErr w:type="spellStart"/>
      <w:r w:rsidRPr="00491F7E">
        <w:rPr>
          <w:rFonts w:ascii="Avenir Next LT Pro Light" w:eastAsia="MS Mincho" w:hAnsi="Avenir Next LT Pro Light" w:cs="Times New Roman"/>
          <w:sz w:val="20"/>
          <w:szCs w:val="20"/>
        </w:rPr>
        <w:t>StateRAMP</w:t>
      </w:r>
      <w:proofErr w:type="spellEnd"/>
      <w:r w:rsidRPr="00491F7E">
        <w:rPr>
          <w:rFonts w:ascii="Avenir Next LT Pro Light" w:eastAsia="MS Mincho" w:hAnsi="Avenir Next LT Pro Light" w:cs="Times New Roman"/>
          <w:sz w:val="20"/>
          <w:szCs w:val="20"/>
        </w:rPr>
        <w:t xml:space="preserve">, HIPAA, </w:t>
      </w:r>
      <w:proofErr w:type="spellStart"/>
      <w:r w:rsidRPr="00491F7E">
        <w:rPr>
          <w:rFonts w:ascii="Avenir Next LT Pro Light" w:eastAsia="MS Mincho" w:hAnsi="Avenir Next LT Pro Light" w:cs="Times New Roman"/>
          <w:sz w:val="20"/>
          <w:szCs w:val="20"/>
        </w:rPr>
        <w:t>HiTrust</w:t>
      </w:r>
      <w:proofErr w:type="spellEnd"/>
      <w:r w:rsidRPr="00491F7E">
        <w:rPr>
          <w:rFonts w:ascii="Avenir Next LT Pro Light" w:eastAsia="MS Mincho" w:hAnsi="Avenir Next LT Pro Light" w:cs="Times New Roman"/>
          <w:sz w:val="20"/>
          <w:szCs w:val="20"/>
        </w:rPr>
        <w:t>, PCI, MARS-E, GDPR, DOD RMF, SSAE-16, SAS-70, SOC2 Type x, and others.</w:t>
      </w:r>
    </w:p>
    <w:p w14:paraId="1A15BC43" w14:textId="77777777" w:rsidR="00491F7E" w:rsidRPr="00491F7E" w:rsidRDefault="00491F7E" w:rsidP="00491F7E">
      <w:pPr>
        <w:keepNext/>
        <w:widowControl/>
        <w:autoSpaceDE/>
        <w:autoSpaceDN/>
        <w:spacing w:before="240" w:after="160" w:line="259" w:lineRule="auto"/>
        <w:ind w:left="432" w:hanging="432"/>
        <w:jc w:val="both"/>
        <w:outlineLvl w:val="0"/>
        <w:rPr>
          <w:rFonts w:ascii="Arial" w:eastAsia="Times New Roman" w:hAnsi="Arial" w:cs="Arial"/>
          <w:b/>
          <w:bCs/>
          <w:caps/>
          <w:kern w:val="32"/>
          <w:sz w:val="24"/>
          <w:szCs w:val="24"/>
        </w:rPr>
      </w:pPr>
      <w:bookmarkStart w:id="34" w:name="_Ref120882875"/>
      <w:r w:rsidRPr="00491F7E">
        <w:rPr>
          <w:rFonts w:ascii="Arial" w:eastAsia="Times New Roman" w:hAnsi="Arial" w:cs="Arial"/>
          <w:b/>
          <w:bCs/>
          <w:caps/>
          <w:kern w:val="32"/>
          <w:sz w:val="24"/>
          <w:szCs w:val="24"/>
        </w:rPr>
        <w:t>3 Service Level Agreements</w:t>
      </w:r>
      <w:bookmarkEnd w:id="34"/>
    </w:p>
    <w:p w14:paraId="4EE4162E"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3.1 SLA 1: System Availability</w:t>
      </w:r>
    </w:p>
    <w:tbl>
      <w:tblPr>
        <w:tblW w:w="5000" w:type="pct"/>
        <w:tblLook w:val="04A0" w:firstRow="1" w:lastRow="0" w:firstColumn="1" w:lastColumn="0" w:noHBand="0" w:noVBand="1"/>
      </w:tblPr>
      <w:tblGrid>
        <w:gridCol w:w="2370"/>
        <w:gridCol w:w="6980"/>
      </w:tblGrid>
      <w:tr w:rsidR="00491F7E" w:rsidRPr="00491F7E" w14:paraId="1D70CEEF" w14:textId="77777777" w:rsidTr="00491F7E">
        <w:trPr>
          <w:trHeight w:val="30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44546A"/>
            <w:noWrap/>
            <w:hideMark/>
          </w:tcPr>
          <w:p w14:paraId="1F33B343"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color w:val="FFFFFF"/>
                <w:sz w:val="20"/>
                <w:szCs w:val="20"/>
              </w:rPr>
            </w:pPr>
            <w:r w:rsidRPr="00491F7E">
              <w:rPr>
                <w:rFonts w:ascii="Avenir Next LT Pro Light" w:eastAsia="MS Mincho" w:hAnsi="Avenir Next LT Pro Light" w:cs="Times New Roman"/>
                <w:color w:val="FFFFFF"/>
                <w:sz w:val="20"/>
                <w:szCs w:val="20"/>
              </w:rPr>
              <w:t>SLA 1: “System” Availability</w:t>
            </w:r>
          </w:p>
        </w:tc>
      </w:tr>
      <w:tr w:rsidR="00491F7E" w:rsidRPr="00491F7E" w14:paraId="2CAD1293" w14:textId="77777777" w:rsidTr="00491F7E">
        <w:trPr>
          <w:trHeight w:val="701"/>
        </w:trPr>
        <w:tc>
          <w:tcPr>
            <w:tcW w:w="1056" w:type="pct"/>
            <w:tcBorders>
              <w:top w:val="nil"/>
              <w:left w:val="single" w:sz="4" w:space="0" w:color="auto"/>
              <w:bottom w:val="single" w:sz="4" w:space="0" w:color="auto"/>
              <w:right w:val="single" w:sz="4" w:space="0" w:color="auto"/>
            </w:tcBorders>
            <w:noWrap/>
            <w:hideMark/>
          </w:tcPr>
          <w:p w14:paraId="0BBF6624"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Description</w:t>
            </w:r>
          </w:p>
        </w:tc>
        <w:tc>
          <w:tcPr>
            <w:tcW w:w="3944" w:type="pct"/>
            <w:tcBorders>
              <w:top w:val="single" w:sz="4" w:space="0" w:color="auto"/>
              <w:left w:val="nil"/>
              <w:bottom w:val="single" w:sz="4" w:space="0" w:color="auto"/>
              <w:right w:val="single" w:sz="4" w:space="0" w:color="000000"/>
            </w:tcBorders>
            <w:hideMark/>
          </w:tcPr>
          <w:p w14:paraId="48BE3936"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This SLA applies to “system availability” of a service. A system is considered a series of components that make up the infrastructure service that hosts and provides the </w:t>
            </w:r>
            <w:bookmarkStart w:id="35" w:name="_Int_SLZtj2jS"/>
            <w:r w:rsidRPr="00491F7E">
              <w:rPr>
                <w:rFonts w:ascii="Avenir Next LT Pro Light" w:eastAsia="MS Mincho" w:hAnsi="Avenir Next LT Pro Light" w:cs="Times New Roman"/>
                <w:sz w:val="20"/>
                <w:szCs w:val="20"/>
              </w:rPr>
              <w:t>compute</w:t>
            </w:r>
            <w:bookmarkEnd w:id="35"/>
            <w:r w:rsidRPr="00491F7E">
              <w:rPr>
                <w:rFonts w:ascii="Avenir Next LT Pro Light" w:eastAsia="MS Mincho" w:hAnsi="Avenir Next LT Pro Light" w:cs="Times New Roman"/>
                <w:sz w:val="20"/>
                <w:szCs w:val="20"/>
              </w:rPr>
              <w:t xml:space="preserve"> and storage capabilities consumed by the customer applications and services. </w:t>
            </w:r>
          </w:p>
          <w:p w14:paraId="44A5A70E"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System availability applies to the following products and services:</w:t>
            </w:r>
          </w:p>
          <w:p w14:paraId="2206A72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Virtual Compute Instances (AWS EC2 and Azure Virtual Machines deployed in the same availability set) Block Storage (AWS EBS, Azure System/Data Disks)</w:t>
            </w:r>
          </w:p>
          <w:p w14:paraId="7446EEDC"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SMX SLA incorporates the AWS and Azure SLA terms defined below which are subject to change in accordance with the AWS and Azure Agreements.</w:t>
            </w:r>
          </w:p>
          <w:p w14:paraId="60466581"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AWS Compute SLA: </w:t>
            </w:r>
            <w:hyperlink r:id="rId28" w:history="1">
              <w:r w:rsidRPr="00491F7E">
                <w:rPr>
                  <w:rFonts w:ascii="Avenir Next LT Pro Light" w:eastAsia="MS Mincho" w:hAnsi="Avenir Next LT Pro Light" w:cs="Times New Roman"/>
                  <w:sz w:val="20"/>
                  <w:szCs w:val="20"/>
                </w:rPr>
                <w:t>https://aws.amazon.com/ec2/sla/</w:t>
              </w:r>
            </w:hyperlink>
          </w:p>
          <w:p w14:paraId="07B1022C"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Microsoft Azure Compute SLA: </w:t>
            </w:r>
            <w:hyperlink r:id="rId29">
              <w:r w:rsidRPr="00491F7E">
                <w:rPr>
                  <w:rFonts w:ascii="Avenir Next LT Pro Light" w:eastAsia="MS Mincho" w:hAnsi="Avenir Next LT Pro Light" w:cs="Times New Roman"/>
                  <w:sz w:val="20"/>
                  <w:szCs w:val="20"/>
                </w:rPr>
                <w:t>https://azure.microsoft.com/en-us/support/legal/sla/virtual-machines/v1_6/</w:t>
              </w:r>
            </w:hyperlink>
          </w:p>
        </w:tc>
      </w:tr>
      <w:tr w:rsidR="00491F7E" w:rsidRPr="00491F7E" w14:paraId="2B3F5A64" w14:textId="77777777" w:rsidTr="00491F7E">
        <w:trPr>
          <w:trHeight w:val="431"/>
        </w:trPr>
        <w:tc>
          <w:tcPr>
            <w:tcW w:w="1056" w:type="pct"/>
            <w:tcBorders>
              <w:top w:val="nil"/>
              <w:left w:val="single" w:sz="4" w:space="0" w:color="auto"/>
              <w:bottom w:val="single" w:sz="4" w:space="0" w:color="auto"/>
              <w:right w:val="single" w:sz="4" w:space="0" w:color="auto"/>
            </w:tcBorders>
            <w:noWrap/>
            <w:hideMark/>
          </w:tcPr>
          <w:p w14:paraId="06AE5AE9"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Measurement</w:t>
            </w:r>
          </w:p>
        </w:tc>
        <w:tc>
          <w:tcPr>
            <w:tcW w:w="3944" w:type="pct"/>
            <w:tcBorders>
              <w:top w:val="single" w:sz="4" w:space="0" w:color="auto"/>
              <w:left w:val="nil"/>
              <w:bottom w:val="single" w:sz="4" w:space="0" w:color="auto"/>
              <w:right w:val="single" w:sz="4" w:space="0" w:color="000000"/>
            </w:tcBorders>
            <w:hideMark/>
          </w:tcPr>
          <w:p w14:paraId="69E25763"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SMX will measure system infrastructure availability by using tools that will access the cloud infrastructure </w:t>
            </w:r>
            <w:bookmarkStart w:id="36" w:name="_Int_mP9UT9GU"/>
            <w:r w:rsidRPr="00491F7E">
              <w:rPr>
                <w:rFonts w:ascii="Avenir Next LT Pro Light" w:eastAsia="MS Mincho" w:hAnsi="Avenir Next LT Pro Light" w:cs="Times New Roman"/>
                <w:sz w:val="20"/>
                <w:szCs w:val="20"/>
              </w:rPr>
              <w:t>compute</w:t>
            </w:r>
            <w:bookmarkEnd w:id="36"/>
            <w:r w:rsidRPr="00491F7E">
              <w:rPr>
                <w:rFonts w:ascii="Avenir Next LT Pro Light" w:eastAsia="MS Mincho" w:hAnsi="Avenir Next LT Pro Light" w:cs="Times New Roman"/>
                <w:sz w:val="20"/>
                <w:szCs w:val="20"/>
              </w:rPr>
              <w:t xml:space="preserve"> availability at 5-minute intervals to analyze cloud IaaS regional compute availability. </w:t>
            </w:r>
          </w:p>
        </w:tc>
      </w:tr>
      <w:tr w:rsidR="00491F7E" w:rsidRPr="00491F7E" w14:paraId="59883FA1" w14:textId="77777777" w:rsidTr="00491F7E">
        <w:trPr>
          <w:trHeight w:val="872"/>
        </w:trPr>
        <w:tc>
          <w:tcPr>
            <w:tcW w:w="1056" w:type="pct"/>
            <w:tcBorders>
              <w:top w:val="nil"/>
              <w:left w:val="single" w:sz="4" w:space="0" w:color="auto"/>
              <w:bottom w:val="single" w:sz="4" w:space="0" w:color="auto"/>
              <w:right w:val="single" w:sz="4" w:space="0" w:color="auto"/>
            </w:tcBorders>
            <w:noWrap/>
            <w:hideMark/>
          </w:tcPr>
          <w:p w14:paraId="387B779C"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Calculation</w:t>
            </w:r>
          </w:p>
        </w:tc>
        <w:tc>
          <w:tcPr>
            <w:tcW w:w="3944" w:type="pct"/>
            <w:tcBorders>
              <w:top w:val="single" w:sz="4" w:space="0" w:color="auto"/>
              <w:left w:val="nil"/>
              <w:bottom w:val="single" w:sz="4" w:space="0" w:color="auto"/>
              <w:right w:val="single" w:sz="4" w:space="0" w:color="000000"/>
            </w:tcBorders>
            <w:hideMark/>
          </w:tcPr>
          <w:p w14:paraId="73A867DF"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NUMERATOR Uptime (Seconds) ÷</w:t>
            </w:r>
          </w:p>
          <w:p w14:paraId="1EA5CBCD"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lastRenderedPageBreak/>
              <w:t xml:space="preserve">DENOMINATOR= Total amount of time (seconds) for the monitoring period = RESULT Service Level (%) Attained. </w:t>
            </w:r>
          </w:p>
        </w:tc>
      </w:tr>
      <w:tr w:rsidR="00491F7E" w:rsidRPr="00491F7E" w14:paraId="4FF3624F" w14:textId="77777777" w:rsidTr="00491F7E">
        <w:trPr>
          <w:trHeight w:val="584"/>
        </w:trPr>
        <w:tc>
          <w:tcPr>
            <w:tcW w:w="1056" w:type="pct"/>
            <w:tcBorders>
              <w:top w:val="single" w:sz="4" w:space="0" w:color="auto"/>
              <w:left w:val="single" w:sz="4" w:space="0" w:color="auto"/>
              <w:bottom w:val="single" w:sz="4" w:space="0" w:color="auto"/>
              <w:right w:val="single" w:sz="4" w:space="0" w:color="auto"/>
            </w:tcBorders>
            <w:noWrap/>
            <w:hideMark/>
          </w:tcPr>
          <w:p w14:paraId="5AFDDA41"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lastRenderedPageBreak/>
              <w:t>Success Criteria</w:t>
            </w:r>
          </w:p>
        </w:tc>
        <w:tc>
          <w:tcPr>
            <w:tcW w:w="3944" w:type="pct"/>
            <w:tcBorders>
              <w:top w:val="single" w:sz="4" w:space="0" w:color="auto"/>
              <w:left w:val="single" w:sz="4" w:space="0" w:color="auto"/>
              <w:bottom w:val="single" w:sz="4" w:space="0" w:color="auto"/>
              <w:right w:val="single" w:sz="4" w:space="0" w:color="000000"/>
            </w:tcBorders>
            <w:hideMark/>
          </w:tcPr>
          <w:p w14:paraId="57AAD67D"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SMX will be considered successful if the system is fully available for use 99.95% of the time.</w:t>
            </w:r>
          </w:p>
        </w:tc>
      </w:tr>
      <w:tr w:rsidR="00491F7E" w:rsidRPr="00491F7E" w14:paraId="4EE58733" w14:textId="77777777" w:rsidTr="00491F7E">
        <w:trPr>
          <w:trHeight w:val="728"/>
        </w:trPr>
        <w:tc>
          <w:tcPr>
            <w:tcW w:w="1056" w:type="pct"/>
            <w:tcBorders>
              <w:top w:val="single" w:sz="4" w:space="0" w:color="auto"/>
              <w:left w:val="single" w:sz="4" w:space="0" w:color="auto"/>
              <w:bottom w:val="single" w:sz="4" w:space="0" w:color="auto"/>
              <w:right w:val="single" w:sz="4" w:space="0" w:color="auto"/>
            </w:tcBorders>
            <w:noWrap/>
            <w:hideMark/>
          </w:tcPr>
          <w:p w14:paraId="470F55ED"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Exceptions / Conditions</w:t>
            </w:r>
          </w:p>
        </w:tc>
        <w:tc>
          <w:tcPr>
            <w:tcW w:w="3944" w:type="pct"/>
            <w:tcBorders>
              <w:top w:val="single" w:sz="4" w:space="0" w:color="auto"/>
              <w:left w:val="single" w:sz="4" w:space="0" w:color="auto"/>
              <w:bottom w:val="single" w:sz="4" w:space="0" w:color="auto"/>
              <w:right w:val="single" w:sz="4" w:space="0" w:color="000000"/>
            </w:tcBorders>
            <w:hideMark/>
          </w:tcPr>
          <w:p w14:paraId="32604E2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Instances scheduled to occur during the following periods are excluded from the Numerator and Denominator for calculation purposes:</w:t>
            </w:r>
          </w:p>
          <w:p w14:paraId="33A2D49B"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Downtime approved by customer; and</w:t>
            </w:r>
          </w:p>
          <w:p w14:paraId="08C31F1F"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Downtime due to events outside SMX control and approved as such by customer. Examples of these type of exception events include: </w:t>
            </w:r>
          </w:p>
          <w:p w14:paraId="408D8F73"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Force majeure events: and Outages determined to be caused by customer or customer contractor-developed application code provided by customer.</w:t>
            </w:r>
          </w:p>
          <w:p w14:paraId="11C5088B"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Systems must be implemented in a functional high availability configuration. </w:t>
            </w:r>
          </w:p>
        </w:tc>
      </w:tr>
    </w:tbl>
    <w:p w14:paraId="56808D09"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3.2 SLA 2: Backup and Restoration</w:t>
      </w:r>
    </w:p>
    <w:tbl>
      <w:tblPr>
        <w:tblW w:w="5000" w:type="pct"/>
        <w:tblCellMar>
          <w:left w:w="0" w:type="dxa"/>
          <w:right w:w="0" w:type="dxa"/>
        </w:tblCellMar>
        <w:tblLook w:val="04A0" w:firstRow="1" w:lastRow="0" w:firstColumn="1" w:lastColumn="0" w:noHBand="0" w:noVBand="1"/>
      </w:tblPr>
      <w:tblGrid>
        <w:gridCol w:w="2370"/>
        <w:gridCol w:w="6970"/>
      </w:tblGrid>
      <w:tr w:rsidR="00491F7E" w:rsidRPr="00491F7E" w14:paraId="14C71253" w14:textId="77777777" w:rsidTr="00491F7E">
        <w:trPr>
          <w:trHeight w:val="300"/>
          <w:tblHeader/>
        </w:trPr>
        <w:tc>
          <w:tcPr>
            <w:tcW w:w="5000" w:type="pct"/>
            <w:gridSpan w:val="2"/>
            <w:tcBorders>
              <w:top w:val="single" w:sz="8" w:space="0" w:color="auto"/>
              <w:left w:val="single" w:sz="8" w:space="0" w:color="auto"/>
              <w:bottom w:val="single" w:sz="8" w:space="0" w:color="auto"/>
              <w:right w:val="single" w:sz="8" w:space="0" w:color="auto"/>
            </w:tcBorders>
            <w:shd w:val="clear" w:color="auto" w:fill="44546A"/>
            <w:noWrap/>
            <w:tcMar>
              <w:top w:w="0" w:type="dxa"/>
              <w:left w:w="108" w:type="dxa"/>
              <w:bottom w:w="0" w:type="dxa"/>
              <w:right w:w="108" w:type="dxa"/>
            </w:tcMar>
            <w:hideMark/>
          </w:tcPr>
          <w:p w14:paraId="1CAF867C"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color w:val="FFFFFF"/>
                <w:sz w:val="20"/>
                <w:szCs w:val="20"/>
              </w:rPr>
            </w:pPr>
            <w:r w:rsidRPr="00491F7E">
              <w:rPr>
                <w:rFonts w:ascii="Avenir Next LT Pro Light" w:eastAsia="MS Mincho" w:hAnsi="Avenir Next LT Pro Light" w:cs="Times New Roman"/>
                <w:color w:val="FFFFFF"/>
                <w:sz w:val="20"/>
                <w:szCs w:val="20"/>
              </w:rPr>
              <w:t>SLA 2: Backup and Restoration</w:t>
            </w:r>
          </w:p>
        </w:tc>
      </w:tr>
      <w:tr w:rsidR="00491F7E" w:rsidRPr="00491F7E" w14:paraId="6EB2F771" w14:textId="77777777" w:rsidTr="00491F7E">
        <w:trPr>
          <w:trHeight w:val="863"/>
        </w:trPr>
        <w:tc>
          <w:tcPr>
            <w:tcW w:w="105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16B45F"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Description</w:t>
            </w:r>
          </w:p>
        </w:tc>
        <w:tc>
          <w:tcPr>
            <w:tcW w:w="3947" w:type="pct"/>
            <w:tcBorders>
              <w:top w:val="nil"/>
              <w:left w:val="nil"/>
              <w:bottom w:val="single" w:sz="8" w:space="0" w:color="auto"/>
              <w:right w:val="single" w:sz="8" w:space="0" w:color="000000"/>
            </w:tcBorders>
            <w:tcMar>
              <w:top w:w="0" w:type="dxa"/>
              <w:left w:w="108" w:type="dxa"/>
              <w:bottom w:w="0" w:type="dxa"/>
              <w:right w:w="108" w:type="dxa"/>
            </w:tcMar>
            <w:hideMark/>
          </w:tcPr>
          <w:p w14:paraId="66127F8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This SLA measures the percentage of times that the platform is restored to the last agreed and documented state and last transactional dataset after failure, data loss or user request for restoration.</w:t>
            </w:r>
          </w:p>
        </w:tc>
      </w:tr>
      <w:tr w:rsidR="00491F7E" w:rsidRPr="00491F7E" w14:paraId="519A2EA6" w14:textId="77777777" w:rsidTr="00491F7E">
        <w:trPr>
          <w:trHeight w:val="386"/>
        </w:trPr>
        <w:tc>
          <w:tcPr>
            <w:tcW w:w="105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CB99FE"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Measurement</w:t>
            </w:r>
          </w:p>
        </w:tc>
        <w:tc>
          <w:tcPr>
            <w:tcW w:w="3947" w:type="pct"/>
            <w:tcBorders>
              <w:top w:val="nil"/>
              <w:left w:val="nil"/>
              <w:bottom w:val="single" w:sz="8" w:space="0" w:color="auto"/>
              <w:right w:val="single" w:sz="8" w:space="0" w:color="000000"/>
            </w:tcBorders>
            <w:tcMar>
              <w:top w:w="0" w:type="dxa"/>
              <w:left w:w="108" w:type="dxa"/>
              <w:bottom w:w="0" w:type="dxa"/>
              <w:right w:w="108" w:type="dxa"/>
            </w:tcMar>
            <w:hideMark/>
          </w:tcPr>
          <w:p w14:paraId="37DF8D80"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Initiation of restore for individual file or database requests within 8 hours of receipt of request or notification of failure. </w:t>
            </w:r>
          </w:p>
          <w:p w14:paraId="16443461"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Backup retention periods are defined by Client.</w:t>
            </w:r>
          </w:p>
        </w:tc>
      </w:tr>
      <w:tr w:rsidR="00491F7E" w:rsidRPr="00491F7E" w14:paraId="2D8F1FBC" w14:textId="77777777" w:rsidTr="00491F7E">
        <w:trPr>
          <w:trHeight w:val="872"/>
        </w:trPr>
        <w:tc>
          <w:tcPr>
            <w:tcW w:w="105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FC861A"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Calculation</w:t>
            </w:r>
          </w:p>
        </w:tc>
        <w:tc>
          <w:tcPr>
            <w:tcW w:w="3947" w:type="pct"/>
            <w:tcBorders>
              <w:top w:val="nil"/>
              <w:left w:val="nil"/>
              <w:bottom w:val="single" w:sz="8" w:space="0" w:color="auto"/>
              <w:right w:val="single" w:sz="8" w:space="0" w:color="000000"/>
            </w:tcBorders>
            <w:tcMar>
              <w:top w:w="0" w:type="dxa"/>
              <w:left w:w="108" w:type="dxa"/>
              <w:bottom w:w="0" w:type="dxa"/>
              <w:right w:w="108" w:type="dxa"/>
            </w:tcMar>
            <w:hideMark/>
          </w:tcPr>
          <w:p w14:paraId="4CB14738"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NUMERATOR: Number of successful restore initiations within 8 hours or Number of full restorations within 48 hours ÷</w:t>
            </w:r>
            <w:r w:rsidRPr="00491F7E">
              <w:rPr>
                <w:rFonts w:ascii="Avenir Next LT Pro Light" w:eastAsia="MS Mincho" w:hAnsi="Avenir Next LT Pro Light" w:cs="Times New Roman"/>
                <w:sz w:val="20"/>
                <w:szCs w:val="20"/>
              </w:rPr>
              <w:br/>
              <w:t>DENOMINATOR: Number of Requests for Restores =</w:t>
            </w:r>
          </w:p>
          <w:p w14:paraId="48061CE4"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RESULT Service Level (%) Attained. </w:t>
            </w:r>
          </w:p>
        </w:tc>
      </w:tr>
      <w:tr w:rsidR="00491F7E" w:rsidRPr="00491F7E" w14:paraId="4F90F91D" w14:textId="77777777" w:rsidTr="00491F7E">
        <w:trPr>
          <w:trHeight w:val="737"/>
        </w:trPr>
        <w:tc>
          <w:tcPr>
            <w:tcW w:w="105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C13F0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Success Criteria</w:t>
            </w:r>
          </w:p>
        </w:tc>
        <w:tc>
          <w:tcPr>
            <w:tcW w:w="3947" w:type="pct"/>
            <w:tcBorders>
              <w:top w:val="nil"/>
              <w:left w:val="nil"/>
              <w:bottom w:val="single" w:sz="8" w:space="0" w:color="auto"/>
              <w:right w:val="single" w:sz="8" w:space="0" w:color="000000"/>
            </w:tcBorders>
            <w:tcMar>
              <w:top w:w="0" w:type="dxa"/>
              <w:left w:w="108" w:type="dxa"/>
              <w:bottom w:w="0" w:type="dxa"/>
              <w:right w:w="108" w:type="dxa"/>
            </w:tcMar>
            <w:hideMark/>
          </w:tcPr>
          <w:p w14:paraId="1E9B86D9"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SMX will be considered successful if successfully restored 95% of the time as measured on a Monthly basis.</w:t>
            </w:r>
          </w:p>
        </w:tc>
      </w:tr>
      <w:tr w:rsidR="00491F7E" w:rsidRPr="00491F7E" w14:paraId="5ADF1609" w14:textId="77777777" w:rsidTr="00491F7E">
        <w:trPr>
          <w:trHeight w:val="314"/>
        </w:trPr>
        <w:tc>
          <w:tcPr>
            <w:tcW w:w="1053" w:type="pct"/>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14:paraId="07B1B5EA"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Exceptions / Conditions</w:t>
            </w:r>
          </w:p>
        </w:tc>
        <w:tc>
          <w:tcPr>
            <w:tcW w:w="3947" w:type="pct"/>
            <w:tcBorders>
              <w:top w:val="nil"/>
              <w:left w:val="nil"/>
              <w:bottom w:val="single" w:sz="4" w:space="0" w:color="auto"/>
              <w:right w:val="single" w:sz="8" w:space="0" w:color="000000"/>
            </w:tcBorders>
            <w:tcMar>
              <w:top w:w="0" w:type="dxa"/>
              <w:left w:w="108" w:type="dxa"/>
              <w:bottom w:w="0" w:type="dxa"/>
              <w:right w:w="108" w:type="dxa"/>
            </w:tcMar>
            <w:hideMark/>
          </w:tcPr>
          <w:p w14:paraId="479C867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 SLA’s may not be met during Client Disaster Recovery and Client Disaster Recovery exercises, during those periods </w:t>
            </w:r>
            <w:bookmarkStart w:id="37" w:name="_Int_d7rL9Ypw"/>
            <w:r w:rsidRPr="00491F7E">
              <w:rPr>
                <w:rFonts w:ascii="Avenir Next LT Pro Light" w:eastAsia="MS Mincho" w:hAnsi="Avenir Next LT Pro Light" w:cs="Times New Roman"/>
                <w:sz w:val="20"/>
                <w:szCs w:val="20"/>
              </w:rPr>
              <w:t>best</w:t>
            </w:r>
            <w:bookmarkEnd w:id="37"/>
            <w:r w:rsidRPr="00491F7E">
              <w:rPr>
                <w:rFonts w:ascii="Avenir Next LT Pro Light" w:eastAsia="MS Mincho" w:hAnsi="Avenir Next LT Pro Light" w:cs="Times New Roman"/>
                <w:sz w:val="20"/>
                <w:szCs w:val="20"/>
              </w:rPr>
              <w:t xml:space="preserve"> effort will replace the SLA.</w:t>
            </w:r>
          </w:p>
        </w:tc>
      </w:tr>
    </w:tbl>
    <w:p w14:paraId="3B5D47D0"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3.3 SLA 3: Operational Event Response</w:t>
      </w:r>
    </w:p>
    <w:tbl>
      <w:tblPr>
        <w:tblW w:w="5000" w:type="pct"/>
        <w:tblLook w:val="04A0" w:firstRow="1" w:lastRow="0" w:firstColumn="1" w:lastColumn="0" w:noHBand="0" w:noVBand="1"/>
      </w:tblPr>
      <w:tblGrid>
        <w:gridCol w:w="2370"/>
        <w:gridCol w:w="6980"/>
      </w:tblGrid>
      <w:tr w:rsidR="00491F7E" w:rsidRPr="00491F7E" w14:paraId="747D1CBA" w14:textId="77777777" w:rsidTr="00491F7E">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44546A"/>
            <w:noWrap/>
            <w:hideMark/>
          </w:tcPr>
          <w:p w14:paraId="0498C9A9"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color w:val="FFFFFF"/>
                <w:sz w:val="20"/>
                <w:szCs w:val="20"/>
              </w:rPr>
            </w:pPr>
            <w:r w:rsidRPr="00491F7E">
              <w:rPr>
                <w:rFonts w:ascii="Avenir Next LT Pro Light" w:eastAsia="MS Mincho" w:hAnsi="Avenir Next LT Pro Light" w:cs="Times New Roman"/>
                <w:color w:val="FFFFFF"/>
                <w:sz w:val="20"/>
                <w:szCs w:val="20"/>
              </w:rPr>
              <w:t>SLA 3: Operational Event Response Time</w:t>
            </w:r>
          </w:p>
        </w:tc>
      </w:tr>
      <w:tr w:rsidR="00491F7E" w:rsidRPr="00491F7E" w14:paraId="70C70C85" w14:textId="77777777" w:rsidTr="00491F7E">
        <w:tc>
          <w:tcPr>
            <w:tcW w:w="1056" w:type="pct"/>
            <w:tcBorders>
              <w:top w:val="nil"/>
              <w:left w:val="single" w:sz="4" w:space="0" w:color="auto"/>
              <w:bottom w:val="single" w:sz="4" w:space="0" w:color="auto"/>
              <w:right w:val="single" w:sz="4" w:space="0" w:color="auto"/>
            </w:tcBorders>
            <w:noWrap/>
            <w:hideMark/>
          </w:tcPr>
          <w:p w14:paraId="7EC3FE9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Description</w:t>
            </w:r>
          </w:p>
        </w:tc>
        <w:tc>
          <w:tcPr>
            <w:tcW w:w="3944" w:type="pct"/>
            <w:tcBorders>
              <w:top w:val="single" w:sz="4" w:space="0" w:color="auto"/>
              <w:left w:val="nil"/>
              <w:bottom w:val="single" w:sz="4" w:space="0" w:color="auto"/>
              <w:right w:val="single" w:sz="4" w:space="0" w:color="000000"/>
            </w:tcBorders>
            <w:hideMark/>
          </w:tcPr>
          <w:p w14:paraId="400A9370"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This SLA measures SMX’ response time, per the Exceptions/Conditions in this SLA, following issue identification. </w:t>
            </w:r>
          </w:p>
        </w:tc>
      </w:tr>
      <w:tr w:rsidR="00491F7E" w:rsidRPr="00491F7E" w14:paraId="3BB92B17" w14:textId="77777777" w:rsidTr="00491F7E">
        <w:tc>
          <w:tcPr>
            <w:tcW w:w="1056" w:type="pct"/>
            <w:tcBorders>
              <w:top w:val="nil"/>
              <w:left w:val="single" w:sz="4" w:space="0" w:color="auto"/>
              <w:bottom w:val="single" w:sz="4" w:space="0" w:color="auto"/>
              <w:right w:val="single" w:sz="4" w:space="0" w:color="auto"/>
            </w:tcBorders>
            <w:noWrap/>
            <w:hideMark/>
          </w:tcPr>
          <w:p w14:paraId="1F384C8B"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lastRenderedPageBreak/>
              <w:t>Measurement</w:t>
            </w:r>
          </w:p>
        </w:tc>
        <w:tc>
          <w:tcPr>
            <w:tcW w:w="3944" w:type="pct"/>
            <w:tcBorders>
              <w:top w:val="single" w:sz="4" w:space="0" w:color="auto"/>
              <w:left w:val="nil"/>
              <w:bottom w:val="single" w:sz="4" w:space="0" w:color="auto"/>
              <w:right w:val="single" w:sz="4" w:space="0" w:color="000000"/>
            </w:tcBorders>
            <w:hideMark/>
          </w:tcPr>
          <w:p w14:paraId="4DDD3EA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SLA attainment is validated by 100% inspection of reporting documentation.</w:t>
            </w:r>
          </w:p>
        </w:tc>
      </w:tr>
      <w:tr w:rsidR="00491F7E" w:rsidRPr="00491F7E" w14:paraId="38DE128D" w14:textId="77777777" w:rsidTr="00491F7E">
        <w:tc>
          <w:tcPr>
            <w:tcW w:w="1056" w:type="pct"/>
            <w:tcBorders>
              <w:top w:val="single" w:sz="4" w:space="0" w:color="auto"/>
              <w:left w:val="single" w:sz="4" w:space="0" w:color="auto"/>
              <w:bottom w:val="single" w:sz="4" w:space="0" w:color="auto"/>
              <w:right w:val="single" w:sz="4" w:space="0" w:color="auto"/>
            </w:tcBorders>
            <w:noWrap/>
            <w:hideMark/>
          </w:tcPr>
          <w:p w14:paraId="49B6E174"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Calculation</w:t>
            </w:r>
          </w:p>
        </w:tc>
        <w:tc>
          <w:tcPr>
            <w:tcW w:w="3944" w:type="pct"/>
            <w:tcBorders>
              <w:top w:val="single" w:sz="4" w:space="0" w:color="auto"/>
              <w:left w:val="nil"/>
              <w:bottom w:val="single" w:sz="4" w:space="0" w:color="auto"/>
              <w:right w:val="single" w:sz="4" w:space="0" w:color="000000"/>
            </w:tcBorders>
            <w:hideMark/>
          </w:tcPr>
          <w:p w14:paraId="07F3FFA7"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NUMERATOR: Number of incidents receiving response within time for given severity level ÷</w:t>
            </w:r>
          </w:p>
          <w:p w14:paraId="36A35B59"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DENOMINATOR: Total number of Incidents = </w:t>
            </w:r>
          </w:p>
          <w:p w14:paraId="33F42938"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RESULT: Service Level (%) Attained. </w:t>
            </w:r>
          </w:p>
        </w:tc>
      </w:tr>
      <w:tr w:rsidR="00491F7E" w:rsidRPr="00491F7E" w14:paraId="55901681" w14:textId="77777777" w:rsidTr="005E6AC4">
        <w:tc>
          <w:tcPr>
            <w:tcW w:w="1056" w:type="pct"/>
            <w:tcBorders>
              <w:top w:val="single" w:sz="4" w:space="0" w:color="auto"/>
              <w:left w:val="single" w:sz="4" w:space="0" w:color="auto"/>
              <w:bottom w:val="single" w:sz="4" w:space="0" w:color="auto"/>
              <w:right w:val="single" w:sz="4" w:space="0" w:color="auto"/>
            </w:tcBorders>
            <w:noWrap/>
            <w:hideMark/>
          </w:tcPr>
          <w:p w14:paraId="3A7A707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Success Criteria</w:t>
            </w:r>
          </w:p>
        </w:tc>
        <w:tc>
          <w:tcPr>
            <w:tcW w:w="3944" w:type="pct"/>
            <w:tcBorders>
              <w:top w:val="single" w:sz="4" w:space="0" w:color="auto"/>
              <w:left w:val="nil"/>
              <w:bottom w:val="single" w:sz="4" w:space="0" w:color="auto"/>
              <w:right w:val="single" w:sz="4" w:space="0" w:color="auto"/>
            </w:tcBorders>
            <w:hideMark/>
          </w:tcPr>
          <w:p w14:paraId="06390C0E"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SMX is successful if 95% of incidents receive a response within response time for given severity level, as measured monthly.</w:t>
            </w:r>
          </w:p>
        </w:tc>
      </w:tr>
      <w:tr w:rsidR="00491F7E" w:rsidRPr="00491F7E" w14:paraId="17EC9C56" w14:textId="77777777" w:rsidTr="005E6AC4">
        <w:tc>
          <w:tcPr>
            <w:tcW w:w="1056" w:type="pct"/>
            <w:tcBorders>
              <w:top w:val="single" w:sz="4" w:space="0" w:color="auto"/>
              <w:left w:val="single" w:sz="4" w:space="0" w:color="auto"/>
              <w:bottom w:val="single" w:sz="4" w:space="0" w:color="auto"/>
              <w:right w:val="single" w:sz="4" w:space="0" w:color="auto"/>
            </w:tcBorders>
            <w:noWrap/>
            <w:hideMark/>
          </w:tcPr>
          <w:p w14:paraId="13BC2D28"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Exceptions / Conditions</w:t>
            </w:r>
          </w:p>
        </w:tc>
        <w:tc>
          <w:tcPr>
            <w:tcW w:w="3944" w:type="pct"/>
            <w:tcBorders>
              <w:top w:val="single" w:sz="4" w:space="0" w:color="auto"/>
              <w:left w:val="nil"/>
              <w:bottom w:val="single" w:sz="4" w:space="0" w:color="auto"/>
              <w:right w:val="single" w:sz="4" w:space="0" w:color="auto"/>
            </w:tcBorders>
            <w:hideMark/>
          </w:tcPr>
          <w:p w14:paraId="351D064A"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Severity 1 - Critical - An entire service is down. All users affected. Within 1 hour of the incident occurring 24x7x365. </w:t>
            </w:r>
            <w:r w:rsidRPr="00491F7E">
              <w:rPr>
                <w:rFonts w:ascii="Avenir Next LT Pro Light" w:eastAsia="MS Mincho" w:hAnsi="Avenir Next LT Pro Light" w:cs="Times New Roman"/>
                <w:sz w:val="20"/>
                <w:szCs w:val="20"/>
              </w:rPr>
              <w:br/>
              <w:t xml:space="preserve">Severity 2 - High - Operation of the service is severely degraded, or major components of the services are not available. Significant user impact. Within 2 hours of the incident occurring 24x7x365. </w:t>
            </w:r>
            <w:r w:rsidRPr="00491F7E">
              <w:rPr>
                <w:rFonts w:ascii="Avenir Next LT Pro Light" w:eastAsia="MS Mincho" w:hAnsi="Avenir Next LT Pro Light" w:cs="Times New Roman"/>
                <w:sz w:val="20"/>
                <w:szCs w:val="20"/>
              </w:rPr>
              <w:br/>
              <w:t xml:space="preserve">Severity 3 - Medium - Some non-essential features of the service are impaired or subject to interruptions while most vital components of the service remain functional. Minimal user impact. Within 24 hours of an incident occurring during business hours. (8am-8pm EST M-F). </w:t>
            </w:r>
            <w:r w:rsidRPr="00491F7E">
              <w:rPr>
                <w:rFonts w:ascii="Avenir Next LT Pro Light" w:eastAsia="MS Mincho" w:hAnsi="Avenir Next LT Pro Light" w:cs="Times New Roman"/>
                <w:sz w:val="20"/>
                <w:szCs w:val="20"/>
              </w:rPr>
              <w:br/>
              <w:t xml:space="preserve">Severity 4 - Low - Errors that are minor and clearly have little to or no impact on the normal operation of the service. No minimal user </w:t>
            </w:r>
            <w:bookmarkStart w:id="38" w:name="_Int_3hJ5Rrm8"/>
            <w:proofErr w:type="gramStart"/>
            <w:r w:rsidRPr="00491F7E">
              <w:rPr>
                <w:rFonts w:ascii="Avenir Next LT Pro Light" w:eastAsia="MS Mincho" w:hAnsi="Avenir Next LT Pro Light" w:cs="Times New Roman"/>
                <w:sz w:val="20"/>
                <w:szCs w:val="20"/>
              </w:rPr>
              <w:t>impact</w:t>
            </w:r>
            <w:bookmarkEnd w:id="38"/>
            <w:proofErr w:type="gramEnd"/>
            <w:r w:rsidRPr="00491F7E">
              <w:rPr>
                <w:rFonts w:ascii="Avenir Next LT Pro Light" w:eastAsia="MS Mincho" w:hAnsi="Avenir Next LT Pro Light" w:cs="Times New Roman"/>
                <w:sz w:val="20"/>
                <w:szCs w:val="20"/>
              </w:rPr>
              <w:t xml:space="preserve">. Within one business day of an incident occurring during business hours. (8am-8pm EST M-F). </w:t>
            </w:r>
          </w:p>
          <w:p w14:paraId="3587058C"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Exception: Impending events; notification will happen; incident response will be initiated before follow-up notification as clients will be previously notified (SLA 5) of the likelihood of the event. </w:t>
            </w:r>
          </w:p>
        </w:tc>
      </w:tr>
    </w:tbl>
    <w:p w14:paraId="6B3645DD"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3.4 SLA 4: Operating System Patching and Updating</w:t>
      </w:r>
    </w:p>
    <w:tbl>
      <w:tblPr>
        <w:tblW w:w="5000" w:type="pct"/>
        <w:tblLook w:val="04A0" w:firstRow="1" w:lastRow="0" w:firstColumn="1" w:lastColumn="0" w:noHBand="0" w:noVBand="1"/>
      </w:tblPr>
      <w:tblGrid>
        <w:gridCol w:w="2370"/>
        <w:gridCol w:w="6980"/>
      </w:tblGrid>
      <w:tr w:rsidR="00491F7E" w:rsidRPr="00491F7E" w14:paraId="098626C1" w14:textId="77777777" w:rsidTr="005E6AC4">
        <w:trPr>
          <w:trHeight w:val="30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44546A"/>
            <w:noWrap/>
            <w:hideMark/>
          </w:tcPr>
          <w:p w14:paraId="1C231916"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color w:val="FFFFFF"/>
                <w:sz w:val="20"/>
                <w:szCs w:val="20"/>
              </w:rPr>
            </w:pPr>
            <w:r w:rsidRPr="00491F7E">
              <w:rPr>
                <w:rFonts w:ascii="Avenir Next LT Pro Light" w:eastAsia="MS Mincho" w:hAnsi="Avenir Next LT Pro Light" w:cs="Times New Roman"/>
                <w:color w:val="FFFFFF"/>
                <w:sz w:val="20"/>
                <w:szCs w:val="20"/>
              </w:rPr>
              <w:t>SLA 4: Operating System Patching</w:t>
            </w:r>
          </w:p>
        </w:tc>
      </w:tr>
      <w:tr w:rsidR="00491F7E" w:rsidRPr="00491F7E" w14:paraId="696DD37E" w14:textId="77777777" w:rsidTr="005E6AC4">
        <w:trPr>
          <w:trHeight w:val="1079"/>
        </w:trPr>
        <w:tc>
          <w:tcPr>
            <w:tcW w:w="1056" w:type="pct"/>
            <w:tcBorders>
              <w:top w:val="single" w:sz="4" w:space="0" w:color="auto"/>
              <w:left w:val="single" w:sz="4" w:space="0" w:color="auto"/>
              <w:bottom w:val="single" w:sz="4" w:space="0" w:color="auto"/>
              <w:right w:val="single" w:sz="4" w:space="0" w:color="auto"/>
            </w:tcBorders>
            <w:noWrap/>
            <w:hideMark/>
          </w:tcPr>
          <w:p w14:paraId="7A8971B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Description</w:t>
            </w:r>
          </w:p>
        </w:tc>
        <w:tc>
          <w:tcPr>
            <w:tcW w:w="3944" w:type="pct"/>
            <w:tcBorders>
              <w:top w:val="single" w:sz="4" w:space="0" w:color="auto"/>
              <w:left w:val="nil"/>
              <w:bottom w:val="single" w:sz="4" w:space="0" w:color="auto"/>
              <w:right w:val="single" w:sz="4" w:space="0" w:color="000000"/>
            </w:tcBorders>
            <w:hideMark/>
          </w:tcPr>
          <w:p w14:paraId="05DC246B"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This SLA measures SMX’ ability to patch all operating systems protecting on a planned schedule. All critical patches will be applied according to the client-planned schedule defined in the Concept of Operations document. All other patches will be executed upon a customer pre-approved schedule.</w:t>
            </w:r>
          </w:p>
        </w:tc>
      </w:tr>
      <w:tr w:rsidR="00491F7E" w:rsidRPr="00491F7E" w14:paraId="1FF7FDDB" w14:textId="77777777" w:rsidTr="005E6AC4">
        <w:trPr>
          <w:trHeight w:val="611"/>
        </w:trPr>
        <w:tc>
          <w:tcPr>
            <w:tcW w:w="1056" w:type="pct"/>
            <w:tcBorders>
              <w:top w:val="single" w:sz="4" w:space="0" w:color="auto"/>
              <w:left w:val="single" w:sz="4" w:space="0" w:color="auto"/>
              <w:bottom w:val="single" w:sz="4" w:space="0" w:color="auto"/>
              <w:right w:val="single" w:sz="4" w:space="0" w:color="auto"/>
            </w:tcBorders>
            <w:noWrap/>
            <w:hideMark/>
          </w:tcPr>
          <w:p w14:paraId="35577293"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Measurement</w:t>
            </w:r>
          </w:p>
        </w:tc>
        <w:tc>
          <w:tcPr>
            <w:tcW w:w="3944" w:type="pct"/>
            <w:tcBorders>
              <w:top w:val="single" w:sz="4" w:space="0" w:color="auto"/>
              <w:left w:val="nil"/>
              <w:bottom w:val="single" w:sz="4" w:space="0" w:color="auto"/>
              <w:right w:val="single" w:sz="4" w:space="0" w:color="000000"/>
            </w:tcBorders>
            <w:hideMark/>
          </w:tcPr>
          <w:p w14:paraId="76D33728"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All operating systems will be up to date with critical patches within 10 days of release and measured by scanning with vulnerability software. </w:t>
            </w:r>
          </w:p>
        </w:tc>
      </w:tr>
      <w:tr w:rsidR="00491F7E" w:rsidRPr="00491F7E" w14:paraId="265646A5" w14:textId="77777777" w:rsidTr="005E6AC4">
        <w:trPr>
          <w:trHeight w:val="692"/>
        </w:trPr>
        <w:tc>
          <w:tcPr>
            <w:tcW w:w="1056" w:type="pct"/>
            <w:tcBorders>
              <w:top w:val="nil"/>
              <w:left w:val="single" w:sz="4" w:space="0" w:color="auto"/>
              <w:bottom w:val="single" w:sz="4" w:space="0" w:color="auto"/>
              <w:right w:val="single" w:sz="4" w:space="0" w:color="auto"/>
            </w:tcBorders>
            <w:noWrap/>
            <w:hideMark/>
          </w:tcPr>
          <w:p w14:paraId="07D28C02"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Calculation</w:t>
            </w:r>
          </w:p>
        </w:tc>
        <w:tc>
          <w:tcPr>
            <w:tcW w:w="3944" w:type="pct"/>
            <w:tcBorders>
              <w:top w:val="single" w:sz="4" w:space="0" w:color="auto"/>
              <w:left w:val="nil"/>
              <w:bottom w:val="single" w:sz="4" w:space="0" w:color="auto"/>
              <w:right w:val="single" w:sz="4" w:space="0" w:color="000000"/>
            </w:tcBorders>
            <w:hideMark/>
          </w:tcPr>
          <w:p w14:paraId="3351ED36"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NUMERATOR: Total number of patched systems within 10 calendar days of critical patch release ÷</w:t>
            </w:r>
          </w:p>
          <w:p w14:paraId="69060B34"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DENOMINATOR: Number of systems requiring patches =</w:t>
            </w:r>
          </w:p>
          <w:p w14:paraId="27E8BAE2"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RESULT: Service Level (%) Attained. </w:t>
            </w:r>
          </w:p>
        </w:tc>
      </w:tr>
      <w:tr w:rsidR="00491F7E" w:rsidRPr="00491F7E" w14:paraId="2C262C63" w14:textId="77777777" w:rsidTr="005E6AC4">
        <w:trPr>
          <w:trHeight w:val="737"/>
        </w:trPr>
        <w:tc>
          <w:tcPr>
            <w:tcW w:w="1056" w:type="pct"/>
            <w:tcBorders>
              <w:top w:val="single" w:sz="4" w:space="0" w:color="auto"/>
              <w:left w:val="single" w:sz="4" w:space="0" w:color="auto"/>
              <w:bottom w:val="single" w:sz="4" w:space="0" w:color="auto"/>
              <w:right w:val="single" w:sz="4" w:space="0" w:color="auto"/>
            </w:tcBorders>
            <w:noWrap/>
            <w:hideMark/>
          </w:tcPr>
          <w:p w14:paraId="56E0F9E9"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Success Criteria</w:t>
            </w:r>
          </w:p>
        </w:tc>
        <w:tc>
          <w:tcPr>
            <w:tcW w:w="3944" w:type="pct"/>
            <w:tcBorders>
              <w:top w:val="single" w:sz="4" w:space="0" w:color="auto"/>
              <w:left w:val="nil"/>
              <w:bottom w:val="single" w:sz="4" w:space="0" w:color="auto"/>
              <w:right w:val="single" w:sz="4" w:space="0" w:color="000000"/>
            </w:tcBorders>
            <w:hideMark/>
          </w:tcPr>
          <w:p w14:paraId="0FE054E9"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SMX is considered successful when 95% of critical patches are applied to the initial environment within ten calendar days of release from vendor and </w:t>
            </w:r>
            <w:r w:rsidRPr="00491F7E">
              <w:rPr>
                <w:rFonts w:ascii="Avenir Next LT Pro Light" w:eastAsia="MS Mincho" w:hAnsi="Avenir Next LT Pro Light" w:cs="Times New Roman"/>
                <w:sz w:val="20"/>
                <w:szCs w:val="20"/>
              </w:rPr>
              <w:lastRenderedPageBreak/>
              <w:t xml:space="preserve">subsequent patches are applied per the customer patch schedule. Patches must be approved by the customer. This will be measured monthly. </w:t>
            </w:r>
          </w:p>
        </w:tc>
      </w:tr>
      <w:tr w:rsidR="00491F7E" w:rsidRPr="00491F7E" w14:paraId="54F809FC" w14:textId="77777777" w:rsidTr="005E6AC4">
        <w:trPr>
          <w:trHeight w:val="539"/>
        </w:trPr>
        <w:tc>
          <w:tcPr>
            <w:tcW w:w="1056" w:type="pct"/>
            <w:tcBorders>
              <w:top w:val="nil"/>
              <w:left w:val="single" w:sz="4" w:space="0" w:color="auto"/>
              <w:bottom w:val="single" w:sz="4" w:space="0" w:color="auto"/>
              <w:right w:val="single" w:sz="4" w:space="0" w:color="auto"/>
            </w:tcBorders>
            <w:noWrap/>
            <w:hideMark/>
          </w:tcPr>
          <w:p w14:paraId="4F819F37"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lastRenderedPageBreak/>
              <w:t>Exceptions / Conditions</w:t>
            </w:r>
          </w:p>
        </w:tc>
        <w:tc>
          <w:tcPr>
            <w:tcW w:w="3944" w:type="pct"/>
            <w:tcBorders>
              <w:top w:val="single" w:sz="4" w:space="0" w:color="auto"/>
              <w:left w:val="nil"/>
              <w:bottom w:val="single" w:sz="4" w:space="0" w:color="auto"/>
              <w:right w:val="single" w:sz="4" w:space="0" w:color="000000"/>
            </w:tcBorders>
            <w:hideMark/>
          </w:tcPr>
          <w:p w14:paraId="3AC5E53C"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Description</w:t>
            </w:r>
          </w:p>
        </w:tc>
      </w:tr>
    </w:tbl>
    <w:p w14:paraId="4AA3E48F"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3.5 SLA 5: Impending Event Notification</w:t>
      </w:r>
    </w:p>
    <w:tbl>
      <w:tblPr>
        <w:tblW w:w="5000" w:type="pct"/>
        <w:tblLook w:val="04A0" w:firstRow="1" w:lastRow="0" w:firstColumn="1" w:lastColumn="0" w:noHBand="0" w:noVBand="1"/>
      </w:tblPr>
      <w:tblGrid>
        <w:gridCol w:w="2370"/>
        <w:gridCol w:w="6980"/>
      </w:tblGrid>
      <w:tr w:rsidR="00491F7E" w:rsidRPr="00491F7E" w14:paraId="437B626F" w14:textId="77777777" w:rsidTr="005E6AC4">
        <w:tc>
          <w:tcPr>
            <w:tcW w:w="5000" w:type="pct"/>
            <w:gridSpan w:val="2"/>
            <w:tcBorders>
              <w:top w:val="single" w:sz="4" w:space="0" w:color="auto"/>
              <w:left w:val="single" w:sz="4" w:space="0" w:color="auto"/>
              <w:bottom w:val="single" w:sz="4" w:space="0" w:color="auto"/>
              <w:right w:val="single" w:sz="4" w:space="0" w:color="auto"/>
            </w:tcBorders>
            <w:shd w:val="clear" w:color="auto" w:fill="44546A"/>
            <w:noWrap/>
            <w:hideMark/>
          </w:tcPr>
          <w:p w14:paraId="0C841DE4"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color w:val="FFFFFF"/>
                <w:sz w:val="20"/>
                <w:szCs w:val="20"/>
              </w:rPr>
            </w:pPr>
            <w:r w:rsidRPr="00491F7E">
              <w:rPr>
                <w:rFonts w:ascii="Avenir Next LT Pro Light" w:eastAsia="MS Mincho" w:hAnsi="Avenir Next LT Pro Light" w:cs="Times New Roman"/>
                <w:color w:val="FFFFFF"/>
                <w:sz w:val="20"/>
                <w:szCs w:val="20"/>
              </w:rPr>
              <w:t>SLA 5: Impending Event Notifications</w:t>
            </w:r>
          </w:p>
        </w:tc>
      </w:tr>
      <w:tr w:rsidR="00491F7E" w:rsidRPr="00491F7E" w14:paraId="0734D2F3" w14:textId="77777777" w:rsidTr="005E6AC4">
        <w:tc>
          <w:tcPr>
            <w:tcW w:w="1056" w:type="pct"/>
            <w:tcBorders>
              <w:top w:val="single" w:sz="4" w:space="0" w:color="auto"/>
              <w:left w:val="single" w:sz="4" w:space="0" w:color="auto"/>
              <w:bottom w:val="single" w:sz="4" w:space="0" w:color="auto"/>
              <w:right w:val="single" w:sz="4" w:space="0" w:color="auto"/>
            </w:tcBorders>
            <w:noWrap/>
            <w:hideMark/>
          </w:tcPr>
          <w:p w14:paraId="6F7C1569"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Description</w:t>
            </w:r>
          </w:p>
        </w:tc>
        <w:tc>
          <w:tcPr>
            <w:tcW w:w="3944" w:type="pct"/>
            <w:tcBorders>
              <w:top w:val="single" w:sz="4" w:space="0" w:color="auto"/>
              <w:left w:val="nil"/>
              <w:bottom w:val="single" w:sz="4" w:space="0" w:color="auto"/>
              <w:right w:val="single" w:sz="4" w:space="0" w:color="000000"/>
            </w:tcBorders>
            <w:hideMark/>
          </w:tcPr>
          <w:p w14:paraId="064E5C3A"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SMX will notify the customer of the possibility of an impending event or events that have occurred which might affect system operation. Examples include cloud service provider notifying SMX of service degradation, service unavailability, or service termination.</w:t>
            </w:r>
          </w:p>
        </w:tc>
      </w:tr>
      <w:tr w:rsidR="00491F7E" w:rsidRPr="00491F7E" w14:paraId="1A10B4D3" w14:textId="77777777" w:rsidTr="005E6AC4">
        <w:tc>
          <w:tcPr>
            <w:tcW w:w="1056" w:type="pct"/>
            <w:tcBorders>
              <w:top w:val="single" w:sz="4" w:space="0" w:color="auto"/>
              <w:left w:val="single" w:sz="4" w:space="0" w:color="auto"/>
              <w:bottom w:val="single" w:sz="4" w:space="0" w:color="auto"/>
              <w:right w:val="single" w:sz="4" w:space="0" w:color="auto"/>
            </w:tcBorders>
            <w:noWrap/>
            <w:hideMark/>
          </w:tcPr>
          <w:p w14:paraId="108D586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Measurement</w:t>
            </w:r>
          </w:p>
        </w:tc>
        <w:tc>
          <w:tcPr>
            <w:tcW w:w="3944" w:type="pct"/>
            <w:tcBorders>
              <w:top w:val="single" w:sz="4" w:space="0" w:color="auto"/>
              <w:left w:val="nil"/>
              <w:bottom w:val="single" w:sz="4" w:space="0" w:color="auto"/>
              <w:right w:val="single" w:sz="4" w:space="0" w:color="000000"/>
            </w:tcBorders>
            <w:hideMark/>
          </w:tcPr>
          <w:p w14:paraId="1984E34D"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SMX will measure impending event notification based on reporting within 1 hour of detection of the event or impending event. </w:t>
            </w:r>
          </w:p>
        </w:tc>
      </w:tr>
      <w:tr w:rsidR="00491F7E" w:rsidRPr="00491F7E" w14:paraId="14C12ADD" w14:textId="77777777" w:rsidTr="005E6AC4">
        <w:tc>
          <w:tcPr>
            <w:tcW w:w="1056" w:type="pct"/>
            <w:tcBorders>
              <w:top w:val="nil"/>
              <w:left w:val="single" w:sz="4" w:space="0" w:color="auto"/>
              <w:bottom w:val="single" w:sz="4" w:space="0" w:color="auto"/>
              <w:right w:val="single" w:sz="4" w:space="0" w:color="auto"/>
            </w:tcBorders>
            <w:noWrap/>
            <w:hideMark/>
          </w:tcPr>
          <w:p w14:paraId="0DF5D0CE"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Calculation</w:t>
            </w:r>
          </w:p>
        </w:tc>
        <w:tc>
          <w:tcPr>
            <w:tcW w:w="3944" w:type="pct"/>
            <w:tcBorders>
              <w:top w:val="single" w:sz="4" w:space="0" w:color="auto"/>
              <w:left w:val="nil"/>
              <w:bottom w:val="single" w:sz="4" w:space="0" w:color="auto"/>
              <w:right w:val="single" w:sz="4" w:space="0" w:color="000000"/>
            </w:tcBorders>
            <w:hideMark/>
          </w:tcPr>
          <w:p w14:paraId="2A58339F"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Best Effort. Availability SLA determines client access to the system or service.</w:t>
            </w:r>
          </w:p>
        </w:tc>
      </w:tr>
      <w:tr w:rsidR="00491F7E" w:rsidRPr="00491F7E" w14:paraId="1538D840" w14:textId="77777777" w:rsidTr="005E6AC4">
        <w:tc>
          <w:tcPr>
            <w:tcW w:w="1056" w:type="pct"/>
            <w:tcBorders>
              <w:top w:val="single" w:sz="4" w:space="0" w:color="auto"/>
              <w:left w:val="single" w:sz="4" w:space="0" w:color="auto"/>
              <w:bottom w:val="single" w:sz="4" w:space="0" w:color="auto"/>
              <w:right w:val="single" w:sz="4" w:space="0" w:color="auto"/>
            </w:tcBorders>
            <w:noWrap/>
            <w:hideMark/>
          </w:tcPr>
          <w:p w14:paraId="51961A6E"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Success Criteria</w:t>
            </w:r>
          </w:p>
        </w:tc>
        <w:tc>
          <w:tcPr>
            <w:tcW w:w="3944" w:type="pct"/>
            <w:tcBorders>
              <w:top w:val="single" w:sz="4" w:space="0" w:color="auto"/>
              <w:left w:val="nil"/>
              <w:bottom w:val="single" w:sz="4" w:space="0" w:color="auto"/>
              <w:right w:val="single" w:sz="4" w:space="0" w:color="000000"/>
            </w:tcBorders>
            <w:hideMark/>
          </w:tcPr>
          <w:p w14:paraId="0680C601"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N/A</w:t>
            </w:r>
          </w:p>
        </w:tc>
      </w:tr>
      <w:tr w:rsidR="00491F7E" w:rsidRPr="00491F7E" w14:paraId="38E6B735" w14:textId="77777777" w:rsidTr="005E6AC4">
        <w:tc>
          <w:tcPr>
            <w:tcW w:w="1056" w:type="pct"/>
            <w:tcBorders>
              <w:top w:val="nil"/>
              <w:left w:val="single" w:sz="4" w:space="0" w:color="auto"/>
              <w:bottom w:val="single" w:sz="4" w:space="0" w:color="auto"/>
              <w:right w:val="single" w:sz="4" w:space="0" w:color="auto"/>
            </w:tcBorders>
            <w:noWrap/>
            <w:hideMark/>
          </w:tcPr>
          <w:p w14:paraId="40CCD87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Exceptions / Conditions</w:t>
            </w:r>
          </w:p>
        </w:tc>
        <w:tc>
          <w:tcPr>
            <w:tcW w:w="3944" w:type="pct"/>
            <w:tcBorders>
              <w:top w:val="single" w:sz="4" w:space="0" w:color="auto"/>
              <w:left w:val="nil"/>
              <w:bottom w:val="single" w:sz="4" w:space="0" w:color="auto"/>
              <w:right w:val="single" w:sz="4" w:space="0" w:color="000000"/>
            </w:tcBorders>
            <w:hideMark/>
          </w:tcPr>
          <w:p w14:paraId="0D98C5BE"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Events outside of SMX control are not included.</w:t>
            </w:r>
          </w:p>
        </w:tc>
      </w:tr>
    </w:tbl>
    <w:p w14:paraId="060F340A"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3.6 SLA 6: Impending Security Threat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7379"/>
      </w:tblGrid>
      <w:tr w:rsidR="00491F7E" w:rsidRPr="00491F7E" w14:paraId="52309E11" w14:textId="77777777" w:rsidTr="005E6AC4">
        <w:trPr>
          <w:trHeight w:val="437"/>
          <w:tblHeader/>
        </w:trPr>
        <w:tc>
          <w:tcPr>
            <w:tcW w:w="5000" w:type="pct"/>
            <w:gridSpan w:val="2"/>
            <w:shd w:val="clear" w:color="auto" w:fill="44546A"/>
          </w:tcPr>
          <w:p w14:paraId="104C179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color w:val="FFFFFF"/>
                <w:sz w:val="20"/>
                <w:szCs w:val="20"/>
              </w:rPr>
            </w:pPr>
            <w:r w:rsidRPr="00491F7E">
              <w:rPr>
                <w:rFonts w:ascii="Avenir Next LT Pro Light" w:eastAsia="MS Mincho" w:hAnsi="Avenir Next LT Pro Light" w:cs="Times New Roman"/>
                <w:color w:val="FFFFFF"/>
                <w:sz w:val="20"/>
                <w:szCs w:val="20"/>
              </w:rPr>
              <w:t xml:space="preserve">SLA 6: Impending Security Threat Notifications </w:t>
            </w:r>
          </w:p>
        </w:tc>
      </w:tr>
      <w:tr w:rsidR="00491F7E" w:rsidRPr="00491F7E" w14:paraId="45047CC5" w14:textId="77777777" w:rsidTr="005E6AC4">
        <w:trPr>
          <w:trHeight w:val="718"/>
        </w:trPr>
        <w:tc>
          <w:tcPr>
            <w:tcW w:w="1054" w:type="pct"/>
          </w:tcPr>
          <w:p w14:paraId="2E2CD934"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Description</w:t>
            </w:r>
          </w:p>
        </w:tc>
        <w:tc>
          <w:tcPr>
            <w:tcW w:w="3946" w:type="pct"/>
            <w:hideMark/>
          </w:tcPr>
          <w:p w14:paraId="0995705E"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SMX will notify the Client of the possibility of an impending Security Threat or events that have occurred which may impact system operation. Examples include global intelligence sources identifying new threats in the environment that may impact OS, Applications, or services used by Client.</w:t>
            </w:r>
          </w:p>
        </w:tc>
      </w:tr>
      <w:tr w:rsidR="00491F7E" w:rsidRPr="00491F7E" w14:paraId="77ADC43D" w14:textId="77777777" w:rsidTr="005E6AC4">
        <w:trPr>
          <w:trHeight w:val="437"/>
        </w:trPr>
        <w:tc>
          <w:tcPr>
            <w:tcW w:w="1054" w:type="pct"/>
          </w:tcPr>
          <w:p w14:paraId="58337B5D"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Measurement</w:t>
            </w:r>
          </w:p>
        </w:tc>
        <w:tc>
          <w:tcPr>
            <w:tcW w:w="3946" w:type="pct"/>
            <w:hideMark/>
          </w:tcPr>
          <w:p w14:paraId="4A108AE8"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SMX will measure impending event notification based on reporting within 1 hour of detection of the event or impending threat </w:t>
            </w:r>
          </w:p>
        </w:tc>
      </w:tr>
      <w:tr w:rsidR="00491F7E" w:rsidRPr="00491F7E" w14:paraId="6D9F4F3A" w14:textId="77777777" w:rsidTr="005E6AC4">
        <w:trPr>
          <w:trHeight w:val="437"/>
        </w:trPr>
        <w:tc>
          <w:tcPr>
            <w:tcW w:w="1054" w:type="pct"/>
          </w:tcPr>
          <w:p w14:paraId="604E4FD2"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Calculation</w:t>
            </w:r>
          </w:p>
        </w:tc>
        <w:tc>
          <w:tcPr>
            <w:tcW w:w="3946" w:type="pct"/>
            <w:hideMark/>
          </w:tcPr>
          <w:p w14:paraId="37590847"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Best Effort. Availability SLA determines client access to the system or service.</w:t>
            </w:r>
          </w:p>
        </w:tc>
      </w:tr>
      <w:tr w:rsidR="00491F7E" w:rsidRPr="00491F7E" w14:paraId="0417FB03" w14:textId="77777777" w:rsidTr="005E6AC4">
        <w:trPr>
          <w:trHeight w:val="437"/>
        </w:trPr>
        <w:tc>
          <w:tcPr>
            <w:tcW w:w="1054" w:type="pct"/>
          </w:tcPr>
          <w:p w14:paraId="13AF5032"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Success Criteria</w:t>
            </w:r>
          </w:p>
        </w:tc>
        <w:tc>
          <w:tcPr>
            <w:tcW w:w="3946" w:type="pct"/>
            <w:hideMark/>
          </w:tcPr>
          <w:p w14:paraId="47A445D6"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N/A</w:t>
            </w:r>
          </w:p>
        </w:tc>
      </w:tr>
      <w:tr w:rsidR="00491F7E" w:rsidRPr="00491F7E" w14:paraId="0D85FE41" w14:textId="77777777" w:rsidTr="005E6AC4">
        <w:trPr>
          <w:trHeight w:val="437"/>
        </w:trPr>
        <w:tc>
          <w:tcPr>
            <w:tcW w:w="1054" w:type="pct"/>
          </w:tcPr>
          <w:p w14:paraId="2705548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Exceptions / Conditions</w:t>
            </w:r>
          </w:p>
        </w:tc>
        <w:tc>
          <w:tcPr>
            <w:tcW w:w="3946" w:type="pct"/>
            <w:hideMark/>
          </w:tcPr>
          <w:p w14:paraId="12882F29"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Events outside of SMX control are not included.</w:t>
            </w:r>
          </w:p>
        </w:tc>
      </w:tr>
    </w:tbl>
    <w:p w14:paraId="6877CC97"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3.7 SLA 7: Security monitoring Notification</w:t>
      </w:r>
    </w:p>
    <w:p w14:paraId="56F0B9E9"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350"/>
        <w:gridCol w:w="3807"/>
        <w:gridCol w:w="2579"/>
      </w:tblGrid>
      <w:tr w:rsidR="00491F7E" w:rsidRPr="00491F7E" w14:paraId="1610B13F" w14:textId="77777777" w:rsidTr="00491F7E">
        <w:trPr>
          <w:trHeight w:val="437"/>
          <w:tblHeader/>
        </w:trPr>
        <w:tc>
          <w:tcPr>
            <w:tcW w:w="5000" w:type="pct"/>
            <w:gridSpan w:val="4"/>
            <w:shd w:val="clear" w:color="auto" w:fill="44546A"/>
          </w:tcPr>
          <w:p w14:paraId="6C18FF8D"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color w:val="FFFFFF"/>
              </w:rPr>
            </w:pPr>
            <w:r w:rsidRPr="00491F7E">
              <w:rPr>
                <w:rFonts w:ascii="Avenir Next LT Pro Light" w:eastAsia="MS Mincho" w:hAnsi="Avenir Next LT Pro Light" w:cs="Times New Roman"/>
                <w:color w:val="FFFFFF"/>
              </w:rPr>
              <w:lastRenderedPageBreak/>
              <w:t>SLA 7: Security Monitoring Notification</w:t>
            </w:r>
          </w:p>
        </w:tc>
      </w:tr>
      <w:tr w:rsidR="00491F7E" w:rsidRPr="00491F7E" w14:paraId="01C36FB7" w14:textId="77777777" w:rsidTr="005E6AC4">
        <w:trPr>
          <w:trHeight w:val="718"/>
        </w:trPr>
        <w:tc>
          <w:tcPr>
            <w:tcW w:w="863" w:type="pct"/>
          </w:tcPr>
          <w:p w14:paraId="196C7C74"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Description</w:t>
            </w:r>
          </w:p>
        </w:tc>
        <w:tc>
          <w:tcPr>
            <w:tcW w:w="4137" w:type="pct"/>
            <w:gridSpan w:val="3"/>
            <w:tcBorders>
              <w:bottom w:val="single" w:sz="4" w:space="0" w:color="auto"/>
            </w:tcBorders>
          </w:tcPr>
          <w:p w14:paraId="71EF3B50"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SMX will notify the Client of the possibility of potential security incidents which may impact system security and/or operations. Examples include detections of successful security breaches, misuse, or suspicious activities associated with security monitoring use cases implemented by SMX.</w:t>
            </w:r>
          </w:p>
        </w:tc>
      </w:tr>
      <w:tr w:rsidR="00491F7E" w:rsidRPr="00491F7E" w14:paraId="7D9C6325" w14:textId="77777777" w:rsidTr="005E6AC4">
        <w:tc>
          <w:tcPr>
            <w:tcW w:w="863" w:type="pct"/>
            <w:vMerge w:val="restart"/>
          </w:tcPr>
          <w:p w14:paraId="41A17880"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Measurement</w:t>
            </w:r>
          </w:p>
        </w:tc>
        <w:tc>
          <w:tcPr>
            <w:tcW w:w="4137" w:type="pct"/>
            <w:gridSpan w:val="3"/>
            <w:tcBorders>
              <w:bottom w:val="single" w:sz="4" w:space="0" w:color="auto"/>
            </w:tcBorders>
          </w:tcPr>
          <w:p w14:paraId="6A98A91B"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SMX will measure security notification from the initial time that the incident was alarmed upon.</w:t>
            </w:r>
          </w:p>
        </w:tc>
      </w:tr>
      <w:tr w:rsidR="00491F7E" w:rsidRPr="00491F7E" w14:paraId="3CE5292F" w14:textId="77777777" w:rsidTr="00491F7E">
        <w:tc>
          <w:tcPr>
            <w:tcW w:w="863" w:type="pct"/>
            <w:vMerge/>
          </w:tcPr>
          <w:p w14:paraId="739489AF"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p>
        </w:tc>
        <w:tc>
          <w:tcPr>
            <w:tcW w:w="722" w:type="pct"/>
            <w:shd w:val="clear" w:color="auto" w:fill="BFBFBF"/>
          </w:tcPr>
          <w:p w14:paraId="2472F989"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 xml:space="preserve">Severity </w:t>
            </w:r>
          </w:p>
        </w:tc>
        <w:tc>
          <w:tcPr>
            <w:tcW w:w="2036" w:type="pct"/>
            <w:shd w:val="clear" w:color="auto" w:fill="BFBFBF"/>
          </w:tcPr>
          <w:p w14:paraId="69DBB317"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Severity Categorization Description</w:t>
            </w:r>
          </w:p>
        </w:tc>
        <w:tc>
          <w:tcPr>
            <w:tcW w:w="1379" w:type="pct"/>
            <w:shd w:val="clear" w:color="auto" w:fill="BFBFBF"/>
          </w:tcPr>
          <w:p w14:paraId="2C726DA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 xml:space="preserve">Response Expectation </w:t>
            </w:r>
          </w:p>
        </w:tc>
      </w:tr>
      <w:tr w:rsidR="00491F7E" w:rsidRPr="00491F7E" w14:paraId="501197E9" w14:textId="77777777" w:rsidTr="005E6AC4">
        <w:trPr>
          <w:trHeight w:val="1753"/>
        </w:trPr>
        <w:tc>
          <w:tcPr>
            <w:tcW w:w="863" w:type="pct"/>
            <w:vMerge/>
          </w:tcPr>
          <w:p w14:paraId="3E69CC89"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p>
        </w:tc>
        <w:tc>
          <w:tcPr>
            <w:tcW w:w="722" w:type="pct"/>
          </w:tcPr>
          <w:p w14:paraId="7BD88326"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Avenir Next LT Pro Light"/>
                <w:b/>
                <w:bCs/>
                <w:sz w:val="20"/>
                <w:szCs w:val="20"/>
              </w:rPr>
              <w:t>Severity 1: Critical</w:t>
            </w:r>
          </w:p>
        </w:tc>
        <w:tc>
          <w:tcPr>
            <w:tcW w:w="2036" w:type="pct"/>
          </w:tcPr>
          <w:p w14:paraId="3C2C51C6"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Avenir Next LT Pro Light"/>
                <w:sz w:val="20"/>
                <w:szCs w:val="20"/>
              </w:rPr>
            </w:pPr>
            <w:r w:rsidRPr="00491F7E">
              <w:rPr>
                <w:rFonts w:ascii="Avenir Next LT Pro Light" w:eastAsia="MS Mincho" w:hAnsi="Avenir Next LT Pro Light" w:cs="Avenir Next LT Pro Light"/>
                <w:sz w:val="20"/>
                <w:szCs w:val="20"/>
              </w:rPr>
              <w:t>A production environment or system has been compromised or is at immediate risk of being compromised or disrupted.</w:t>
            </w:r>
          </w:p>
          <w:p w14:paraId="0B49F445" w14:textId="77777777" w:rsidR="00491F7E" w:rsidRPr="00491F7E" w:rsidRDefault="00491F7E" w:rsidP="00491F7E">
            <w:pPr>
              <w:widowControl/>
              <w:numPr>
                <w:ilvl w:val="0"/>
                <w:numId w:val="5"/>
              </w:numPr>
              <w:autoSpaceDE/>
              <w:autoSpaceDN/>
              <w:spacing w:before="60" w:after="60" w:line="259" w:lineRule="auto"/>
              <w:contextualSpacing/>
              <w:rPr>
                <w:rFonts w:ascii="Avenir Next LT Pro Light" w:eastAsia="MS Mincho" w:hAnsi="Avenir Next LT Pro Light" w:cs="Avenir Next LT Pro Light"/>
                <w:sz w:val="20"/>
                <w:szCs w:val="20"/>
              </w:rPr>
            </w:pPr>
            <w:r w:rsidRPr="00491F7E">
              <w:rPr>
                <w:rFonts w:ascii="Avenir Next LT Pro Light" w:eastAsia="Times New Roman" w:hAnsi="Avenir Next LT Pro Light" w:cs="Avenir Next LT Pro Light"/>
                <w:sz w:val="20"/>
                <w:szCs w:val="20"/>
              </w:rPr>
              <w:t>or –</w:t>
            </w:r>
            <w:r w:rsidRPr="00491F7E">
              <w:rPr>
                <w:rFonts w:ascii="Avenir Next LT Pro Light" w:eastAsia="Times New Roman" w:hAnsi="Avenir Next LT Pro Light" w:cs="Avenir Next LT Pro Light"/>
                <w:sz w:val="20"/>
                <w:szCs w:val="20"/>
              </w:rPr>
              <w:br/>
              <w:t>Production systems have experienced a substantial degradation or loss of service</w:t>
            </w:r>
          </w:p>
          <w:p w14:paraId="2F2CBEA7" w14:textId="77777777" w:rsidR="00491F7E" w:rsidRPr="00491F7E" w:rsidRDefault="00491F7E" w:rsidP="00491F7E">
            <w:pPr>
              <w:widowControl/>
              <w:numPr>
                <w:ilvl w:val="0"/>
                <w:numId w:val="5"/>
              </w:numPr>
              <w:autoSpaceDE/>
              <w:autoSpaceDN/>
              <w:spacing w:before="60" w:after="60" w:line="259" w:lineRule="auto"/>
              <w:contextualSpacing/>
              <w:rPr>
                <w:rFonts w:ascii="Avenir Next LT Pro Light" w:eastAsia="MS Mincho" w:hAnsi="Avenir Next LT Pro Light" w:cs="Avenir Next LT Pro Light"/>
                <w:sz w:val="20"/>
                <w:szCs w:val="20"/>
              </w:rPr>
            </w:pPr>
            <w:r w:rsidRPr="00491F7E">
              <w:rPr>
                <w:rFonts w:ascii="Avenir Next LT Pro Light" w:eastAsia="Times New Roman" w:hAnsi="Avenir Next LT Pro Light" w:cs="Avenir Next LT Pro Light"/>
                <w:sz w:val="20"/>
                <w:szCs w:val="20"/>
              </w:rPr>
              <w:t>or –</w:t>
            </w:r>
            <w:r w:rsidRPr="00491F7E">
              <w:rPr>
                <w:rFonts w:ascii="Avenir Next LT Pro Light" w:eastAsia="Times New Roman" w:hAnsi="Avenir Next LT Pro Light" w:cs="Avenir Next LT Pro Light"/>
                <w:sz w:val="20"/>
                <w:szCs w:val="20"/>
              </w:rPr>
              <w:br/>
              <w:t>A substantial portion of confidential data within any environment has been compromised or is at significant risk of being compromised</w:t>
            </w:r>
          </w:p>
          <w:p w14:paraId="629AE05C"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Avenir Next LT Pro Light"/>
                <w:sz w:val="20"/>
                <w:szCs w:val="20"/>
              </w:rPr>
              <w:t>or –</w:t>
            </w:r>
            <w:r w:rsidRPr="00491F7E">
              <w:rPr>
                <w:rFonts w:eastAsia="Times New Roman" w:cs="Times New Roman"/>
              </w:rPr>
              <w:br/>
            </w:r>
            <w:r w:rsidRPr="00491F7E">
              <w:rPr>
                <w:rFonts w:ascii="Avenir Next LT Pro Light" w:eastAsia="MS Mincho" w:hAnsi="Avenir Next LT Pro Light" w:cs="Avenir Next LT Pro Light"/>
                <w:sz w:val="20"/>
                <w:szCs w:val="20"/>
              </w:rPr>
              <w:t>Mission operations have been severely disrupted</w:t>
            </w:r>
          </w:p>
        </w:tc>
        <w:tc>
          <w:tcPr>
            <w:tcW w:w="1379" w:type="pct"/>
          </w:tcPr>
          <w:p w14:paraId="6A9E2580"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Issues an email notification to </w:t>
            </w:r>
            <w:bookmarkStart w:id="39" w:name="_Int_lqJYexSL"/>
            <w:r w:rsidRPr="00491F7E">
              <w:rPr>
                <w:rFonts w:ascii="Avenir Next LT Pro Light" w:eastAsia="MS Mincho" w:hAnsi="Avenir Next LT Pro Light" w:cs="Times New Roman"/>
                <w:sz w:val="20"/>
                <w:szCs w:val="20"/>
              </w:rPr>
              <w:t>designees</w:t>
            </w:r>
            <w:bookmarkEnd w:id="39"/>
            <w:r w:rsidRPr="00491F7E">
              <w:rPr>
                <w:rFonts w:ascii="Avenir Next LT Pro Light" w:eastAsia="MS Mincho" w:hAnsi="Avenir Next LT Pro Light" w:cs="Times New Roman"/>
                <w:sz w:val="20"/>
                <w:szCs w:val="20"/>
              </w:rPr>
              <w:t xml:space="preserve"> of the CSP and CSSP Teams within 1 hour of alert and calls the </w:t>
            </w:r>
            <w:bookmarkStart w:id="40" w:name="_Int_uPfvcxt7"/>
            <w:r w:rsidRPr="00491F7E">
              <w:rPr>
                <w:rFonts w:ascii="Avenir Next LT Pro Light" w:eastAsia="MS Mincho" w:hAnsi="Avenir Next LT Pro Light" w:cs="Times New Roman"/>
                <w:sz w:val="20"/>
                <w:szCs w:val="20"/>
              </w:rPr>
              <w:t>designees</w:t>
            </w:r>
            <w:bookmarkEnd w:id="40"/>
            <w:r w:rsidRPr="00491F7E">
              <w:rPr>
                <w:rFonts w:ascii="Avenir Next LT Pro Light" w:eastAsia="MS Mincho" w:hAnsi="Avenir Next LT Pro Light" w:cs="Times New Roman"/>
                <w:sz w:val="20"/>
                <w:szCs w:val="20"/>
              </w:rPr>
              <w:t xml:space="preserve"> of the CSP and CSSP Teams to join and contribute to any incident response effort.</w:t>
            </w:r>
          </w:p>
        </w:tc>
      </w:tr>
      <w:tr w:rsidR="00491F7E" w:rsidRPr="00491F7E" w14:paraId="0B4C932C" w14:textId="77777777" w:rsidTr="005E6AC4">
        <w:trPr>
          <w:trHeight w:val="1753"/>
        </w:trPr>
        <w:tc>
          <w:tcPr>
            <w:tcW w:w="863" w:type="pct"/>
            <w:vMerge/>
          </w:tcPr>
          <w:p w14:paraId="4DFD9B83"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p>
        </w:tc>
        <w:tc>
          <w:tcPr>
            <w:tcW w:w="722" w:type="pct"/>
          </w:tcPr>
          <w:p w14:paraId="1543D093"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Avenir Next LT Pro Light"/>
                <w:b/>
                <w:bCs/>
                <w:sz w:val="20"/>
                <w:szCs w:val="20"/>
              </w:rPr>
              <w:t>Severity 2: High</w:t>
            </w:r>
          </w:p>
        </w:tc>
        <w:tc>
          <w:tcPr>
            <w:tcW w:w="2036" w:type="pct"/>
          </w:tcPr>
          <w:p w14:paraId="65A56507" w14:textId="77777777" w:rsidR="00491F7E" w:rsidRPr="00491F7E" w:rsidRDefault="00491F7E" w:rsidP="00491F7E">
            <w:pPr>
              <w:widowControl/>
              <w:autoSpaceDE/>
              <w:autoSpaceDN/>
              <w:spacing w:after="160" w:line="259" w:lineRule="auto"/>
              <w:rPr>
                <w:rFonts w:ascii="Avenir Next LT Pro Light" w:eastAsia="MS Mincho" w:hAnsi="Avenir Next LT Pro Light" w:cs="Avenir Next LT Pro Light"/>
                <w:sz w:val="20"/>
                <w:szCs w:val="20"/>
              </w:rPr>
            </w:pPr>
            <w:r w:rsidRPr="00491F7E">
              <w:rPr>
                <w:rFonts w:ascii="Avenir Next LT Pro Light" w:eastAsia="MS Mincho" w:hAnsi="Avenir Next LT Pro Light" w:cs="Avenir Next LT Pro Light"/>
                <w:sz w:val="20"/>
                <w:szCs w:val="20"/>
              </w:rPr>
              <w:t>A non-production environment or system has been compromised or is at immediate risk of being compromised or</w:t>
            </w:r>
          </w:p>
          <w:p w14:paraId="15219E47" w14:textId="77777777" w:rsidR="00491F7E" w:rsidRPr="00491F7E" w:rsidRDefault="00491F7E" w:rsidP="00491F7E">
            <w:pPr>
              <w:widowControl/>
              <w:numPr>
                <w:ilvl w:val="0"/>
                <w:numId w:val="4"/>
              </w:numPr>
              <w:autoSpaceDE/>
              <w:autoSpaceDN/>
              <w:spacing w:after="160" w:line="259" w:lineRule="auto"/>
              <w:contextualSpacing/>
              <w:rPr>
                <w:rFonts w:ascii="Avenir Next LT Pro Light" w:eastAsia="MS Mincho" w:hAnsi="Avenir Next LT Pro Light" w:cs="Avenir Next LT Pro Light"/>
                <w:sz w:val="20"/>
                <w:szCs w:val="20"/>
              </w:rPr>
            </w:pPr>
            <w:r w:rsidRPr="00491F7E">
              <w:rPr>
                <w:rFonts w:ascii="Avenir Next LT Pro Light" w:eastAsia="Times New Roman" w:hAnsi="Avenir Next LT Pro Light" w:cs="Avenir Next LT Pro Light"/>
                <w:sz w:val="20"/>
                <w:szCs w:val="20"/>
              </w:rPr>
              <w:t>Disrupted or –</w:t>
            </w:r>
            <w:r w:rsidRPr="00491F7E">
              <w:rPr>
                <w:rFonts w:ascii="Avenir Next LT Pro Light" w:eastAsia="Times New Roman" w:hAnsi="Avenir Next LT Pro Light" w:cs="Avenir Next LT Pro Light"/>
                <w:sz w:val="20"/>
                <w:szCs w:val="20"/>
              </w:rPr>
              <w:br/>
            </w:r>
            <w:r w:rsidRPr="00491F7E">
              <w:rPr>
                <w:rFonts w:ascii="Avenir Next LT Pro Light" w:eastAsia="Times New Roman" w:hAnsi="Avenir Next LT Pro Light" w:cs="Avenir Next LT Pro Light"/>
                <w:sz w:val="20"/>
                <w:szCs w:val="20"/>
              </w:rPr>
              <w:br/>
              <w:t>An environment or system is at significant risk of being compromised, disrupted, or degraded</w:t>
            </w:r>
          </w:p>
          <w:p w14:paraId="45C1D060"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Avenir Next LT Pro Light"/>
                <w:sz w:val="20"/>
                <w:szCs w:val="20"/>
              </w:rPr>
              <w:t>or –</w:t>
            </w:r>
            <w:r w:rsidRPr="00491F7E">
              <w:rPr>
                <w:rFonts w:eastAsia="Times New Roman" w:cs="Times New Roman"/>
              </w:rPr>
              <w:br/>
            </w:r>
            <w:r w:rsidRPr="00491F7E">
              <w:rPr>
                <w:rFonts w:eastAsia="Times New Roman" w:cs="Times New Roman"/>
              </w:rPr>
              <w:br/>
            </w:r>
            <w:r w:rsidRPr="00491F7E">
              <w:rPr>
                <w:rFonts w:ascii="Avenir Next LT Pro Light" w:eastAsia="MS Mincho" w:hAnsi="Avenir Next LT Pro Light" w:cs="Avenir Next LT Pro Light"/>
                <w:sz w:val="20"/>
                <w:szCs w:val="20"/>
              </w:rPr>
              <w:t xml:space="preserve">Business operations may be severely disrupted or </w:t>
            </w:r>
          </w:p>
        </w:tc>
        <w:tc>
          <w:tcPr>
            <w:tcW w:w="1379" w:type="pct"/>
          </w:tcPr>
          <w:p w14:paraId="3763D0C3"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Issues an email notification and calls designees of the CSP and CSSP Teams within 6 hours of an alert.</w:t>
            </w:r>
          </w:p>
        </w:tc>
      </w:tr>
      <w:tr w:rsidR="00491F7E" w:rsidRPr="00491F7E" w14:paraId="727830CF" w14:textId="77777777" w:rsidTr="005E6AC4">
        <w:trPr>
          <w:trHeight w:val="1753"/>
        </w:trPr>
        <w:tc>
          <w:tcPr>
            <w:tcW w:w="863" w:type="pct"/>
            <w:vMerge/>
          </w:tcPr>
          <w:p w14:paraId="13B6B9A8"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p>
        </w:tc>
        <w:tc>
          <w:tcPr>
            <w:tcW w:w="722" w:type="pct"/>
          </w:tcPr>
          <w:p w14:paraId="63FD1E1F"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Avenir Next LT Pro Light"/>
                <w:sz w:val="20"/>
                <w:szCs w:val="20"/>
              </w:rPr>
            </w:pPr>
            <w:r w:rsidRPr="00491F7E">
              <w:rPr>
                <w:rFonts w:ascii="Avenir Next LT Pro Light" w:eastAsia="MS Mincho" w:hAnsi="Avenir Next LT Pro Light" w:cs="Avenir Next LT Pro Light"/>
                <w:b/>
                <w:bCs/>
                <w:sz w:val="20"/>
                <w:szCs w:val="20"/>
              </w:rPr>
              <w:t>Severity 3:</w:t>
            </w:r>
          </w:p>
          <w:p w14:paraId="00797F08"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Avenir Next LT Pro Light"/>
                <w:b/>
                <w:bCs/>
                <w:sz w:val="20"/>
                <w:szCs w:val="20"/>
              </w:rPr>
              <w:t>Medium</w:t>
            </w:r>
          </w:p>
        </w:tc>
        <w:tc>
          <w:tcPr>
            <w:tcW w:w="2036" w:type="pct"/>
          </w:tcPr>
          <w:p w14:paraId="500AFB5F"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There is no immediate threat, indication of compromise, or sustained attack. However, there may be a smaller issue that could become a bigger issue in the future. </w:t>
            </w:r>
          </w:p>
        </w:tc>
        <w:tc>
          <w:tcPr>
            <w:tcW w:w="1379" w:type="pct"/>
          </w:tcPr>
          <w:p w14:paraId="505A3E7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These cover a 24-hour window and only go off once a day at a set time, during regular business hours. </w:t>
            </w:r>
          </w:p>
          <w:p w14:paraId="311AF6BB"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Issues an email notification to the </w:t>
            </w:r>
            <w:bookmarkStart w:id="41" w:name="_Int_lmfqJPE9"/>
            <w:r w:rsidRPr="00491F7E">
              <w:rPr>
                <w:rFonts w:ascii="Avenir Next LT Pro Light" w:eastAsia="MS Mincho" w:hAnsi="Avenir Next LT Pro Light" w:cs="Times New Roman"/>
                <w:sz w:val="20"/>
                <w:szCs w:val="20"/>
              </w:rPr>
              <w:t>designees</w:t>
            </w:r>
            <w:bookmarkEnd w:id="41"/>
            <w:r w:rsidRPr="00491F7E">
              <w:rPr>
                <w:rFonts w:ascii="Avenir Next LT Pro Light" w:eastAsia="MS Mincho" w:hAnsi="Avenir Next LT Pro Light" w:cs="Times New Roman"/>
                <w:sz w:val="20"/>
                <w:szCs w:val="20"/>
              </w:rPr>
              <w:t xml:space="preserve"> of the CSP and CSSP Teams within 24 hours of an alert.</w:t>
            </w:r>
          </w:p>
        </w:tc>
      </w:tr>
      <w:tr w:rsidR="00491F7E" w:rsidRPr="00491F7E" w14:paraId="6EF229E5" w14:textId="77777777" w:rsidTr="005E6AC4">
        <w:trPr>
          <w:trHeight w:val="1753"/>
        </w:trPr>
        <w:tc>
          <w:tcPr>
            <w:tcW w:w="863" w:type="pct"/>
            <w:vMerge/>
          </w:tcPr>
          <w:p w14:paraId="07F55CFB"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p>
        </w:tc>
        <w:tc>
          <w:tcPr>
            <w:tcW w:w="722" w:type="pct"/>
          </w:tcPr>
          <w:p w14:paraId="6AFCAC53"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Avenir Next LT Pro Light"/>
                <w:b/>
                <w:bCs/>
                <w:sz w:val="20"/>
                <w:szCs w:val="20"/>
              </w:rPr>
              <w:t>Severity 4: Low</w:t>
            </w:r>
          </w:p>
        </w:tc>
        <w:tc>
          <w:tcPr>
            <w:tcW w:w="2036" w:type="pct"/>
          </w:tcPr>
          <w:p w14:paraId="7A6BCD42"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There is no immediate threat, indication of compromise, or sustained attack. However, there may be a potential issue that should be noted for trends.</w:t>
            </w:r>
          </w:p>
          <w:p w14:paraId="14AE4667"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p>
        </w:tc>
        <w:tc>
          <w:tcPr>
            <w:tcW w:w="1379" w:type="pct"/>
          </w:tcPr>
          <w:p w14:paraId="7CCFA6C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These are sent straight to the ticketing system.</w:t>
            </w:r>
          </w:p>
          <w:p w14:paraId="453DCD1A"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 contractor reviews alerts as part of the monthly report.</w:t>
            </w:r>
          </w:p>
        </w:tc>
      </w:tr>
      <w:tr w:rsidR="00491F7E" w:rsidRPr="00491F7E" w14:paraId="7979DEB2" w14:textId="77777777" w:rsidTr="005E6AC4">
        <w:trPr>
          <w:trHeight w:val="1753"/>
        </w:trPr>
        <w:tc>
          <w:tcPr>
            <w:tcW w:w="863" w:type="pct"/>
          </w:tcPr>
          <w:p w14:paraId="5B3E3305"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p>
        </w:tc>
        <w:tc>
          <w:tcPr>
            <w:tcW w:w="722" w:type="pct"/>
          </w:tcPr>
          <w:p w14:paraId="7C383854"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b/>
                <w:bCs/>
                <w:sz w:val="20"/>
                <w:szCs w:val="20"/>
              </w:rPr>
            </w:pPr>
            <w:r w:rsidRPr="00491F7E">
              <w:rPr>
                <w:rFonts w:ascii="Avenir Next LT Pro Light" w:eastAsia="MS Mincho" w:hAnsi="Avenir Next LT Pro Light" w:cs="Times New Roman"/>
                <w:b/>
                <w:bCs/>
                <w:sz w:val="20"/>
                <w:szCs w:val="20"/>
              </w:rPr>
              <w:t xml:space="preserve">Severity five </w:t>
            </w:r>
          </w:p>
        </w:tc>
        <w:tc>
          <w:tcPr>
            <w:tcW w:w="2036" w:type="pct"/>
          </w:tcPr>
          <w:p w14:paraId="13D5F5D7"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There are made up of items that would go straight to the customer or some other unique use case.</w:t>
            </w:r>
          </w:p>
        </w:tc>
        <w:tc>
          <w:tcPr>
            <w:tcW w:w="1379" w:type="pct"/>
          </w:tcPr>
          <w:p w14:paraId="1244EE62"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No response time required as they go straight to the customer. </w:t>
            </w:r>
          </w:p>
        </w:tc>
      </w:tr>
      <w:tr w:rsidR="00491F7E" w:rsidRPr="00491F7E" w14:paraId="3A007812" w14:textId="77777777" w:rsidTr="005E6AC4">
        <w:trPr>
          <w:trHeight w:val="437"/>
        </w:trPr>
        <w:tc>
          <w:tcPr>
            <w:tcW w:w="863" w:type="pct"/>
          </w:tcPr>
          <w:p w14:paraId="53613C3D"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Calculation</w:t>
            </w:r>
          </w:p>
        </w:tc>
        <w:tc>
          <w:tcPr>
            <w:tcW w:w="4137" w:type="pct"/>
            <w:gridSpan w:val="3"/>
          </w:tcPr>
          <w:p w14:paraId="5450C773"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Best Effort. Time from the initial detection of the incident, until initial notification based upon severity. </w:t>
            </w:r>
          </w:p>
        </w:tc>
      </w:tr>
      <w:tr w:rsidR="00491F7E" w:rsidRPr="00491F7E" w14:paraId="56329E27" w14:textId="77777777" w:rsidTr="005E6AC4">
        <w:trPr>
          <w:trHeight w:val="437"/>
        </w:trPr>
        <w:tc>
          <w:tcPr>
            <w:tcW w:w="863" w:type="pct"/>
          </w:tcPr>
          <w:p w14:paraId="3F0B1697"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Success Criteria</w:t>
            </w:r>
          </w:p>
        </w:tc>
        <w:tc>
          <w:tcPr>
            <w:tcW w:w="4137" w:type="pct"/>
            <w:gridSpan w:val="3"/>
          </w:tcPr>
          <w:p w14:paraId="276E86B5"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Successfully achieving timelines based on severity by incident. </w:t>
            </w:r>
          </w:p>
        </w:tc>
      </w:tr>
      <w:tr w:rsidR="00491F7E" w:rsidRPr="00491F7E" w14:paraId="1CF6292C" w14:textId="77777777" w:rsidTr="005E6AC4">
        <w:trPr>
          <w:trHeight w:val="437"/>
        </w:trPr>
        <w:tc>
          <w:tcPr>
            <w:tcW w:w="863" w:type="pct"/>
          </w:tcPr>
          <w:p w14:paraId="6EEA142F"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Exceptions / Conditions</w:t>
            </w:r>
          </w:p>
        </w:tc>
        <w:tc>
          <w:tcPr>
            <w:tcW w:w="4137" w:type="pct"/>
            <w:gridSpan w:val="3"/>
          </w:tcPr>
          <w:p w14:paraId="25153CFF"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Events outside of SMX control are not included. Severity levels are established by mutual agreement between SMX and customer.</w:t>
            </w:r>
          </w:p>
          <w:p w14:paraId="3AD1C819" w14:textId="77777777" w:rsidR="00491F7E" w:rsidRPr="00491F7E" w:rsidRDefault="00491F7E" w:rsidP="00491F7E">
            <w:pPr>
              <w:widowControl/>
              <w:autoSpaceDE/>
              <w:autoSpaceDN/>
              <w:spacing w:before="60" w:after="60" w:line="259" w:lineRule="auto"/>
              <w:rPr>
                <w:rFonts w:ascii="Avenir Next LT Pro Light" w:eastAsia="MS Mincho" w:hAnsi="Avenir Next LT Pro Light" w:cs="Times New Roman"/>
                <w:sz w:val="20"/>
                <w:szCs w:val="20"/>
              </w:rPr>
            </w:pPr>
          </w:p>
        </w:tc>
      </w:tr>
    </w:tbl>
    <w:p w14:paraId="2A963867"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sz w:val="20"/>
          <w:szCs w:val="20"/>
        </w:rPr>
        <w:sectPr w:rsidR="00491F7E" w:rsidRPr="00491F7E" w:rsidSect="00AE7F2F">
          <w:footerReference w:type="default" r:id="rId30"/>
          <w:headerReference w:type="first" r:id="rId31"/>
          <w:footerReference w:type="first" r:id="rId32"/>
          <w:pgSz w:w="12240" w:h="15840"/>
          <w:pgMar w:top="1440" w:right="1440" w:bottom="1440" w:left="1440" w:header="720" w:footer="1008" w:gutter="0"/>
          <w:cols w:space="720"/>
          <w:titlePg/>
          <w:docGrid w:linePitch="360"/>
        </w:sectPr>
      </w:pPr>
      <w:r w:rsidRPr="00491F7E">
        <w:rPr>
          <w:rFonts w:ascii="Avenir Next LT Pro Light" w:eastAsia="MS Mincho" w:hAnsi="Avenir Next LT Pro Light" w:cs="Times New Roman"/>
          <w:sz w:val="20"/>
          <w:szCs w:val="20"/>
        </w:rPr>
        <w:t xml:space="preserve">*SLA usage can vary dependent on services purchased. </w:t>
      </w:r>
    </w:p>
    <w:p w14:paraId="5FFEA2D4" w14:textId="77777777" w:rsidR="00491F7E" w:rsidRPr="00491F7E" w:rsidRDefault="00491F7E" w:rsidP="00491F7E">
      <w:pPr>
        <w:keepNext/>
        <w:widowControl/>
        <w:autoSpaceDE/>
        <w:autoSpaceDN/>
        <w:spacing w:before="240" w:after="160" w:line="259" w:lineRule="auto"/>
        <w:ind w:left="432" w:hanging="432"/>
        <w:jc w:val="both"/>
        <w:outlineLvl w:val="0"/>
        <w:rPr>
          <w:rFonts w:ascii="Arial" w:eastAsia="Times New Roman" w:hAnsi="Arial" w:cs="Arial"/>
          <w:b/>
          <w:bCs/>
          <w:caps/>
          <w:kern w:val="32"/>
          <w:sz w:val="24"/>
          <w:szCs w:val="24"/>
        </w:rPr>
      </w:pPr>
      <w:bookmarkStart w:id="42" w:name="_Ref118898515"/>
      <w:r w:rsidRPr="00491F7E">
        <w:rPr>
          <w:rFonts w:ascii="Arial" w:eastAsia="Times New Roman" w:hAnsi="Arial" w:cs="Arial"/>
          <w:b/>
          <w:bCs/>
          <w:caps/>
          <w:kern w:val="32"/>
          <w:sz w:val="24"/>
          <w:szCs w:val="24"/>
        </w:rPr>
        <w:lastRenderedPageBreak/>
        <w:t>4 Pricing</w:t>
      </w:r>
      <w:bookmarkEnd w:id="42"/>
      <w:r w:rsidRPr="00491F7E">
        <w:rPr>
          <w:rFonts w:ascii="Arial" w:eastAsia="Times New Roman" w:hAnsi="Arial" w:cs="Arial"/>
          <w:b/>
          <w:bCs/>
          <w:caps/>
          <w:kern w:val="32"/>
          <w:sz w:val="24"/>
          <w:szCs w:val="24"/>
        </w:rPr>
        <w:t xml:space="preserve"> </w:t>
      </w:r>
    </w:p>
    <w:p w14:paraId="46B98FEF" w14:textId="77777777" w:rsidR="00491F7E" w:rsidRPr="00491F7E" w:rsidRDefault="00491F7E" w:rsidP="00491F7E">
      <w:pPr>
        <w:keepNext/>
        <w:widowControl/>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Commercial Account Services</w:t>
      </w:r>
    </w:p>
    <w:tbl>
      <w:tblPr>
        <w:tblStyle w:val="GridTable4-Accent11"/>
        <w:tblW w:w="0" w:type="auto"/>
        <w:tblInd w:w="113" w:type="dxa"/>
        <w:tblLook w:val="04A0" w:firstRow="1" w:lastRow="0" w:firstColumn="1" w:lastColumn="0" w:noHBand="0" w:noVBand="1"/>
      </w:tblPr>
      <w:tblGrid>
        <w:gridCol w:w="3126"/>
        <w:gridCol w:w="3219"/>
        <w:gridCol w:w="3092"/>
      </w:tblGrid>
      <w:tr w:rsidR="00491F7E" w:rsidRPr="00491F7E" w14:paraId="07C33425" w14:textId="77777777" w:rsidTr="005E6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57D39366" w14:textId="77777777" w:rsidR="00491F7E" w:rsidRPr="00491F7E" w:rsidRDefault="00491F7E" w:rsidP="00491F7E">
            <w:pPr>
              <w:spacing w:after="120"/>
              <w:jc w:val="center"/>
              <w:rPr>
                <w:rFonts w:ascii="Avenir Next LT Pro Light" w:eastAsia="MS Mincho" w:hAnsi="Avenir Next LT Pro Light" w:cs="Times New Roman"/>
              </w:rPr>
            </w:pPr>
            <w:r w:rsidRPr="00491F7E">
              <w:rPr>
                <w:rFonts w:ascii="Avenir Next LT Pro Light" w:eastAsia="MS Mincho" w:hAnsi="Avenir Next LT Pro Light" w:cs="Times New Roman"/>
              </w:rPr>
              <w:t>Service Title</w:t>
            </w:r>
          </w:p>
        </w:tc>
        <w:tc>
          <w:tcPr>
            <w:tcW w:w="4463" w:type="dxa"/>
          </w:tcPr>
          <w:p w14:paraId="6ACA8625" w14:textId="77777777" w:rsidR="00491F7E" w:rsidRPr="00491F7E" w:rsidRDefault="00491F7E" w:rsidP="00491F7E">
            <w:pPr>
              <w:spacing w:after="120"/>
              <w:jc w:val="center"/>
              <w:cnfStyle w:val="100000000000" w:firstRow="1"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Monthly Price</w:t>
            </w:r>
          </w:p>
        </w:tc>
        <w:tc>
          <w:tcPr>
            <w:tcW w:w="4380" w:type="dxa"/>
          </w:tcPr>
          <w:p w14:paraId="76892E54" w14:textId="77777777" w:rsidR="00491F7E" w:rsidRPr="00491F7E" w:rsidRDefault="00491F7E" w:rsidP="00491F7E">
            <w:pPr>
              <w:jc w:val="center"/>
              <w:cnfStyle w:val="100000000000" w:firstRow="1"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Notes</w:t>
            </w:r>
          </w:p>
        </w:tc>
      </w:tr>
      <w:tr w:rsidR="00491F7E" w:rsidRPr="00491F7E" w14:paraId="42DC5817"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66B42B02"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CSP Account Management Service </w:t>
            </w:r>
          </w:p>
        </w:tc>
        <w:tc>
          <w:tcPr>
            <w:tcW w:w="4463" w:type="dxa"/>
            <w:vMerge w:val="restart"/>
            <w:vAlign w:val="center"/>
          </w:tcPr>
          <w:p w14:paraId="28E2D514" w14:textId="77777777" w:rsidR="00491F7E" w:rsidRPr="00491F7E" w:rsidRDefault="00491F7E" w:rsidP="00491F7E">
            <w:pPr>
              <w:spacing w:after="120"/>
              <w:jc w:val="cente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$2000/Account </w:t>
            </w:r>
          </w:p>
        </w:tc>
        <w:tc>
          <w:tcPr>
            <w:tcW w:w="4380" w:type="dxa"/>
            <w:vMerge w:val="restart"/>
            <w:vAlign w:val="center"/>
          </w:tcPr>
          <w:p w14:paraId="21152294"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Times New Roman" w:hAnsi="Avenir Next LT Pro Light"/>
                <w:color w:val="000000"/>
                <w:sz w:val="20"/>
                <w:szCs w:val="20"/>
              </w:rPr>
              <w:t>This fee is per organization containing up to five managed accounts. Additional organizations or groupings of five managed accounts within a single organization each incur a fee.</w:t>
            </w:r>
          </w:p>
        </w:tc>
      </w:tr>
      <w:tr w:rsidR="00491F7E" w:rsidRPr="00491F7E" w14:paraId="209A8361" w14:textId="77777777" w:rsidTr="005E6AC4">
        <w:tc>
          <w:tcPr>
            <w:cnfStyle w:val="001000000000" w:firstRow="0" w:lastRow="0" w:firstColumn="1" w:lastColumn="0" w:oddVBand="0" w:evenVBand="0" w:oddHBand="0" w:evenHBand="0" w:firstRowFirstColumn="0" w:firstRowLastColumn="0" w:lastRowFirstColumn="0" w:lastRowLastColumn="0"/>
            <w:tcW w:w="4444" w:type="dxa"/>
          </w:tcPr>
          <w:p w14:paraId="1A2C3968"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Infrastructure Service Incident Management</w:t>
            </w:r>
          </w:p>
        </w:tc>
        <w:tc>
          <w:tcPr>
            <w:tcW w:w="4463" w:type="dxa"/>
            <w:vMerge/>
          </w:tcPr>
          <w:p w14:paraId="2DA31676"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c>
          <w:tcPr>
            <w:tcW w:w="4380" w:type="dxa"/>
            <w:vMerge/>
          </w:tcPr>
          <w:p w14:paraId="64A171E0"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r w:rsidR="00491F7E" w:rsidRPr="00491F7E" w14:paraId="0ACBEEA9"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62AEF462"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SLA Management</w:t>
            </w:r>
          </w:p>
        </w:tc>
        <w:tc>
          <w:tcPr>
            <w:tcW w:w="4463" w:type="dxa"/>
            <w:vMerge/>
          </w:tcPr>
          <w:p w14:paraId="6CE22CC4"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c>
          <w:tcPr>
            <w:tcW w:w="4380" w:type="dxa"/>
            <w:vMerge/>
          </w:tcPr>
          <w:p w14:paraId="3BDC3AE3"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r>
      <w:tr w:rsidR="00491F7E" w:rsidRPr="00491F7E" w14:paraId="6D705E42" w14:textId="77777777" w:rsidTr="005E6AC4">
        <w:tc>
          <w:tcPr>
            <w:cnfStyle w:val="001000000000" w:firstRow="0" w:lastRow="0" w:firstColumn="1" w:lastColumn="0" w:oddVBand="0" w:evenVBand="0" w:oddHBand="0" w:evenHBand="0" w:firstRowFirstColumn="0" w:firstRowLastColumn="0" w:lastRowFirstColumn="0" w:lastRowLastColumn="0"/>
            <w:tcW w:w="4444" w:type="dxa"/>
          </w:tcPr>
          <w:p w14:paraId="4C8F74DA"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Boundary Management</w:t>
            </w:r>
          </w:p>
        </w:tc>
        <w:tc>
          <w:tcPr>
            <w:tcW w:w="4463" w:type="dxa"/>
            <w:vMerge/>
          </w:tcPr>
          <w:p w14:paraId="3682B686"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c>
          <w:tcPr>
            <w:tcW w:w="4380" w:type="dxa"/>
            <w:vMerge/>
          </w:tcPr>
          <w:p w14:paraId="4FA0F8A9"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r w:rsidR="00491F7E" w:rsidRPr="00491F7E" w14:paraId="3030F5EE"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0ADCF547"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Log Aggregation (Basic) </w:t>
            </w:r>
          </w:p>
        </w:tc>
        <w:tc>
          <w:tcPr>
            <w:tcW w:w="4463" w:type="dxa"/>
            <w:vMerge/>
          </w:tcPr>
          <w:p w14:paraId="59BA5C77"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c>
          <w:tcPr>
            <w:tcW w:w="4380" w:type="dxa"/>
            <w:vMerge/>
          </w:tcPr>
          <w:p w14:paraId="5D7A197F"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r>
      <w:tr w:rsidR="00491F7E" w:rsidRPr="00491F7E" w14:paraId="1B20BFC9" w14:textId="77777777" w:rsidTr="005E6AC4">
        <w:tc>
          <w:tcPr>
            <w:cnfStyle w:val="001000000000" w:firstRow="0" w:lastRow="0" w:firstColumn="1" w:lastColumn="0" w:oddVBand="0" w:evenVBand="0" w:oddHBand="0" w:evenHBand="0" w:firstRowFirstColumn="0" w:firstRowLastColumn="0" w:lastRowFirstColumn="0" w:lastRowLastColumn="0"/>
            <w:tcW w:w="4444" w:type="dxa"/>
          </w:tcPr>
          <w:p w14:paraId="6157684D"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Infrastructure Provisioning Service</w:t>
            </w:r>
          </w:p>
        </w:tc>
        <w:tc>
          <w:tcPr>
            <w:tcW w:w="4463" w:type="dxa"/>
            <w:vMerge/>
          </w:tcPr>
          <w:p w14:paraId="71493EB1"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c>
          <w:tcPr>
            <w:tcW w:w="4380" w:type="dxa"/>
            <w:vMerge/>
          </w:tcPr>
          <w:p w14:paraId="21F6FBA5"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r w:rsidR="00491F7E" w:rsidRPr="00491F7E" w14:paraId="68502538"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4" w:type="dxa"/>
          </w:tcPr>
          <w:p w14:paraId="526A4980"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Serverless - Compliance, Logging, and Real-Time Monitoring </w:t>
            </w:r>
          </w:p>
        </w:tc>
        <w:tc>
          <w:tcPr>
            <w:tcW w:w="4463" w:type="dxa"/>
            <w:vMerge/>
          </w:tcPr>
          <w:p w14:paraId="52929847"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c>
          <w:tcPr>
            <w:tcW w:w="4380" w:type="dxa"/>
            <w:vMerge/>
          </w:tcPr>
          <w:p w14:paraId="5CE8C165"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r>
      <w:tr w:rsidR="00491F7E" w:rsidRPr="00491F7E" w14:paraId="43021C4B" w14:textId="77777777" w:rsidTr="005E6AC4">
        <w:tc>
          <w:tcPr>
            <w:cnfStyle w:val="001000000000" w:firstRow="0" w:lastRow="0" w:firstColumn="1" w:lastColumn="0" w:oddVBand="0" w:evenVBand="0" w:oddHBand="0" w:evenHBand="0" w:firstRowFirstColumn="0" w:firstRowLastColumn="0" w:lastRowFirstColumn="0" w:lastRowLastColumn="0"/>
            <w:tcW w:w="4444" w:type="dxa"/>
          </w:tcPr>
          <w:p w14:paraId="65B0B3E7"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Container Service Monitoring </w:t>
            </w:r>
          </w:p>
        </w:tc>
        <w:tc>
          <w:tcPr>
            <w:tcW w:w="4463" w:type="dxa"/>
            <w:vMerge/>
          </w:tcPr>
          <w:p w14:paraId="46F28799"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c>
          <w:tcPr>
            <w:tcW w:w="4380" w:type="dxa"/>
            <w:vMerge/>
          </w:tcPr>
          <w:p w14:paraId="6148DAE3"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bl>
    <w:p w14:paraId="43043D51" w14:textId="204C571F" w:rsidR="00491F7E" w:rsidRPr="00491F7E" w:rsidRDefault="00491F7E" w:rsidP="00491F7E">
      <w:pPr>
        <w:widowControl/>
        <w:autoSpaceDE/>
        <w:autoSpaceDN/>
        <w:spacing w:after="200" w:line="259" w:lineRule="auto"/>
        <w:jc w:val="center"/>
        <w:rPr>
          <w:rFonts w:eastAsia="SimSun" w:cs="Times New Roman"/>
          <w:b/>
          <w:bCs/>
          <w:color w:val="4F81BD"/>
          <w:sz w:val="18"/>
          <w:szCs w:val="18"/>
        </w:rPr>
      </w:pPr>
      <w:r w:rsidRPr="00491F7E">
        <w:rPr>
          <w:rFonts w:eastAsia="SimSun" w:cs="Times New Roman"/>
          <w:b/>
          <w:bCs/>
          <w:color w:val="4F81BD"/>
          <w:sz w:val="18"/>
          <w:szCs w:val="18"/>
        </w:rPr>
        <w:t xml:space="preserve">Table </w:t>
      </w:r>
      <w:r w:rsidRPr="00491F7E">
        <w:rPr>
          <w:rFonts w:eastAsia="SimSun" w:cs="Times New Roman"/>
          <w:b/>
          <w:bCs/>
          <w:color w:val="4F81BD"/>
          <w:sz w:val="18"/>
          <w:szCs w:val="18"/>
        </w:rPr>
        <w:fldChar w:fldCharType="begin"/>
      </w:r>
      <w:r w:rsidRPr="00491F7E">
        <w:rPr>
          <w:rFonts w:eastAsia="SimSun" w:cs="Times New Roman"/>
          <w:b/>
          <w:bCs/>
          <w:color w:val="4F81BD"/>
          <w:sz w:val="18"/>
          <w:szCs w:val="18"/>
        </w:rPr>
        <w:instrText>SEQ Table \* ARABIC</w:instrText>
      </w:r>
      <w:r w:rsidRPr="00491F7E">
        <w:rPr>
          <w:rFonts w:eastAsia="SimSun" w:cs="Times New Roman"/>
          <w:b/>
          <w:bCs/>
          <w:color w:val="4F81BD"/>
          <w:sz w:val="18"/>
          <w:szCs w:val="18"/>
        </w:rPr>
        <w:fldChar w:fldCharType="separate"/>
      </w:r>
      <w:r w:rsidR="00A56B90">
        <w:rPr>
          <w:rFonts w:eastAsia="SimSun" w:cs="Times New Roman"/>
          <w:b/>
          <w:bCs/>
          <w:noProof/>
          <w:color w:val="4F81BD"/>
          <w:sz w:val="18"/>
          <w:szCs w:val="18"/>
        </w:rPr>
        <w:t>3</w:t>
      </w:r>
      <w:r w:rsidRPr="00491F7E">
        <w:rPr>
          <w:rFonts w:eastAsia="SimSun" w:cs="Times New Roman"/>
          <w:b/>
          <w:bCs/>
          <w:color w:val="4F81BD"/>
          <w:sz w:val="18"/>
          <w:szCs w:val="18"/>
        </w:rPr>
        <w:fldChar w:fldCharType="end"/>
      </w:r>
      <w:r w:rsidRPr="00491F7E">
        <w:rPr>
          <w:rFonts w:eastAsia="SimSun" w:cs="Times New Roman"/>
          <w:b/>
          <w:bCs/>
          <w:color w:val="4F81BD"/>
          <w:sz w:val="18"/>
          <w:szCs w:val="18"/>
        </w:rPr>
        <w:t xml:space="preserve">. Commercial Account Services </w:t>
      </w:r>
    </w:p>
    <w:p w14:paraId="14B11EA0"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Commercial COre Managed Services</w:t>
      </w:r>
    </w:p>
    <w:tbl>
      <w:tblPr>
        <w:tblStyle w:val="GridTable4-Accent11"/>
        <w:tblW w:w="10383" w:type="dxa"/>
        <w:tblLook w:val="04A0" w:firstRow="1" w:lastRow="0" w:firstColumn="1" w:lastColumn="0" w:noHBand="0" w:noVBand="1"/>
      </w:tblPr>
      <w:tblGrid>
        <w:gridCol w:w="3482"/>
        <w:gridCol w:w="3485"/>
        <w:gridCol w:w="3416"/>
      </w:tblGrid>
      <w:tr w:rsidR="00491F7E" w:rsidRPr="00491F7E" w14:paraId="71C41893" w14:textId="77777777" w:rsidTr="00E84C8E">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82" w:type="dxa"/>
          </w:tcPr>
          <w:p w14:paraId="69F09D90" w14:textId="77777777" w:rsidR="00491F7E" w:rsidRPr="00491F7E" w:rsidRDefault="00491F7E" w:rsidP="00491F7E">
            <w:pPr>
              <w:keepNext/>
              <w:spacing w:after="120"/>
              <w:jc w:val="center"/>
              <w:rPr>
                <w:rFonts w:ascii="Avenir Next LT Pro Light" w:eastAsia="MS Mincho" w:hAnsi="Avenir Next LT Pro Light" w:cs="Times New Roman"/>
              </w:rPr>
            </w:pPr>
            <w:r w:rsidRPr="00491F7E">
              <w:rPr>
                <w:rFonts w:ascii="Avenir Next LT Pro Light" w:eastAsia="MS Mincho" w:hAnsi="Avenir Next LT Pro Light" w:cs="Times New Roman"/>
              </w:rPr>
              <w:t>Service Title</w:t>
            </w:r>
          </w:p>
        </w:tc>
        <w:tc>
          <w:tcPr>
            <w:tcW w:w="3485" w:type="dxa"/>
          </w:tcPr>
          <w:p w14:paraId="4ED99B6B" w14:textId="77777777" w:rsidR="00491F7E" w:rsidRPr="00491F7E" w:rsidRDefault="00491F7E" w:rsidP="00491F7E">
            <w:pPr>
              <w:keepNext/>
              <w:spacing w:after="120"/>
              <w:jc w:val="center"/>
              <w:cnfStyle w:val="100000000000" w:firstRow="1"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Monthly Price</w:t>
            </w:r>
          </w:p>
        </w:tc>
        <w:tc>
          <w:tcPr>
            <w:tcW w:w="3416" w:type="dxa"/>
          </w:tcPr>
          <w:p w14:paraId="0D2C2640" w14:textId="77777777" w:rsidR="00491F7E" w:rsidRPr="00491F7E" w:rsidRDefault="00491F7E" w:rsidP="00491F7E">
            <w:pPr>
              <w:keepNext/>
              <w:jc w:val="center"/>
              <w:cnfStyle w:val="100000000000" w:firstRow="1"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Notes</w:t>
            </w:r>
          </w:p>
        </w:tc>
      </w:tr>
      <w:tr w:rsidR="00491F7E" w:rsidRPr="00491F7E" w14:paraId="3E5DA5D0" w14:textId="77777777" w:rsidTr="00E84C8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82" w:type="dxa"/>
          </w:tcPr>
          <w:p w14:paraId="0AEFA981" w14:textId="77777777" w:rsidR="00491F7E" w:rsidRPr="00491F7E" w:rsidRDefault="00491F7E" w:rsidP="00491F7E">
            <w:pPr>
              <w:keepNext/>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Monitoring and Notification </w:t>
            </w:r>
          </w:p>
        </w:tc>
        <w:tc>
          <w:tcPr>
            <w:tcW w:w="3485" w:type="dxa"/>
            <w:vMerge w:val="restart"/>
          </w:tcPr>
          <w:p w14:paraId="27467522" w14:textId="77777777" w:rsidR="00491F7E" w:rsidRPr="00491F7E" w:rsidRDefault="00491F7E" w:rsidP="00491F7E">
            <w:pPr>
              <w:keepNext/>
              <w:spacing w:after="120"/>
              <w:jc w:val="cente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$300/instance</w:t>
            </w:r>
          </w:p>
        </w:tc>
        <w:tc>
          <w:tcPr>
            <w:tcW w:w="3416" w:type="dxa"/>
            <w:vMerge w:val="restart"/>
          </w:tcPr>
          <w:p w14:paraId="550866D4" w14:textId="77777777" w:rsidR="00491F7E" w:rsidRPr="00491F7E" w:rsidRDefault="00491F7E" w:rsidP="00491F7E">
            <w:pPr>
              <w:keepNext/>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olor w:val="000000"/>
                <w:sz w:val="20"/>
                <w:szCs w:val="20"/>
              </w:rPr>
            </w:pPr>
            <w:r w:rsidRPr="00491F7E">
              <w:rPr>
                <w:rFonts w:ascii="Avenir Next LT Pro Light" w:eastAsia="Times New Roman" w:hAnsi="Avenir Next LT Pro Light"/>
                <w:color w:val="000000"/>
                <w:sz w:val="20"/>
                <w:szCs w:val="20"/>
              </w:rPr>
              <w:t>An instance is a system running in AWS that has an operating system capable of being patched or having an agent deployed. This can be an EC2 instance, or instances generated by another service, such as EMR, Docker host or Elastic Beanstalk. The monthly instance cost is calculated as the total instance hours in an account covered by the Account Services divided by 730 hrs. (the average number of hours in a month). To streamline service delivery, all AMI's will need to be configured with pre-defined management tools and tagging.</w:t>
            </w:r>
          </w:p>
        </w:tc>
      </w:tr>
      <w:tr w:rsidR="00491F7E" w:rsidRPr="00491F7E" w14:paraId="5D2B75CE" w14:textId="77777777" w:rsidTr="00E84C8E">
        <w:trPr>
          <w:trHeight w:val="314"/>
        </w:trPr>
        <w:tc>
          <w:tcPr>
            <w:cnfStyle w:val="001000000000" w:firstRow="0" w:lastRow="0" w:firstColumn="1" w:lastColumn="0" w:oddVBand="0" w:evenVBand="0" w:oddHBand="0" w:evenHBand="0" w:firstRowFirstColumn="0" w:firstRowLastColumn="0" w:lastRowFirstColumn="0" w:lastRowLastColumn="0"/>
            <w:tcW w:w="3482" w:type="dxa"/>
          </w:tcPr>
          <w:p w14:paraId="29AEEB64" w14:textId="77777777" w:rsidR="00491F7E" w:rsidRPr="00491F7E" w:rsidRDefault="00491F7E" w:rsidP="00491F7E">
            <w:pPr>
              <w:keepNext/>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Operating System Patch Management</w:t>
            </w:r>
          </w:p>
        </w:tc>
        <w:tc>
          <w:tcPr>
            <w:tcW w:w="3485" w:type="dxa"/>
            <w:vMerge/>
          </w:tcPr>
          <w:p w14:paraId="3689121A" w14:textId="77777777" w:rsidR="00491F7E" w:rsidRPr="00491F7E" w:rsidRDefault="00491F7E" w:rsidP="00491F7E">
            <w:pPr>
              <w:keepNext/>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c>
          <w:tcPr>
            <w:tcW w:w="3416" w:type="dxa"/>
            <w:vMerge/>
          </w:tcPr>
          <w:p w14:paraId="438840D1" w14:textId="77777777" w:rsidR="00491F7E" w:rsidRPr="00491F7E" w:rsidRDefault="00491F7E" w:rsidP="00491F7E">
            <w:pPr>
              <w:keepNext/>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r w:rsidR="00491F7E" w:rsidRPr="00491F7E" w14:paraId="5BD3E14F" w14:textId="77777777" w:rsidTr="00E84C8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482" w:type="dxa"/>
          </w:tcPr>
          <w:p w14:paraId="67533E8B" w14:textId="77777777" w:rsidR="00491F7E" w:rsidRPr="00491F7E" w:rsidRDefault="00491F7E" w:rsidP="00491F7E">
            <w:pPr>
              <w:keepNext/>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Anti-malware Management</w:t>
            </w:r>
          </w:p>
        </w:tc>
        <w:tc>
          <w:tcPr>
            <w:tcW w:w="3485" w:type="dxa"/>
            <w:vMerge/>
          </w:tcPr>
          <w:p w14:paraId="7F934B1C" w14:textId="77777777" w:rsidR="00491F7E" w:rsidRPr="00491F7E" w:rsidRDefault="00491F7E" w:rsidP="00491F7E">
            <w:pPr>
              <w:keepNext/>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c>
          <w:tcPr>
            <w:tcW w:w="3416" w:type="dxa"/>
            <w:vMerge/>
          </w:tcPr>
          <w:p w14:paraId="50B57199" w14:textId="77777777" w:rsidR="00491F7E" w:rsidRPr="00491F7E" w:rsidRDefault="00491F7E" w:rsidP="00491F7E">
            <w:pPr>
              <w:keepNext/>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r>
      <w:tr w:rsidR="00491F7E" w:rsidRPr="00491F7E" w14:paraId="2A4CE257" w14:textId="77777777" w:rsidTr="00E84C8E">
        <w:trPr>
          <w:trHeight w:val="1604"/>
        </w:trPr>
        <w:tc>
          <w:tcPr>
            <w:cnfStyle w:val="001000000000" w:firstRow="0" w:lastRow="0" w:firstColumn="1" w:lastColumn="0" w:oddVBand="0" w:evenVBand="0" w:oddHBand="0" w:evenHBand="0" w:firstRowFirstColumn="0" w:firstRowLastColumn="0" w:lastRowFirstColumn="0" w:lastRowLastColumn="0"/>
            <w:tcW w:w="3482" w:type="dxa"/>
          </w:tcPr>
          <w:p w14:paraId="6A776EA9" w14:textId="77777777" w:rsidR="00491F7E" w:rsidRPr="00491F7E" w:rsidRDefault="00491F7E" w:rsidP="00491F7E">
            <w:pPr>
              <w:keepNext/>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 xml:space="preserve">Backup Service </w:t>
            </w:r>
          </w:p>
        </w:tc>
        <w:tc>
          <w:tcPr>
            <w:tcW w:w="3485" w:type="dxa"/>
            <w:vMerge/>
          </w:tcPr>
          <w:p w14:paraId="02DD36DE" w14:textId="77777777" w:rsidR="00491F7E" w:rsidRPr="00491F7E" w:rsidRDefault="00491F7E" w:rsidP="00491F7E">
            <w:pPr>
              <w:keepNext/>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c>
          <w:tcPr>
            <w:tcW w:w="3416" w:type="dxa"/>
            <w:vMerge/>
          </w:tcPr>
          <w:p w14:paraId="7B8EA495" w14:textId="77777777" w:rsidR="00491F7E" w:rsidRPr="00491F7E" w:rsidRDefault="00491F7E" w:rsidP="00491F7E">
            <w:pPr>
              <w:keepNext/>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bl>
    <w:p w14:paraId="002CA234" w14:textId="77777777" w:rsidR="00D45666" w:rsidRDefault="00D45666" w:rsidP="00491F7E">
      <w:pPr>
        <w:widowControl/>
        <w:autoSpaceDE/>
        <w:autoSpaceDN/>
        <w:spacing w:after="200" w:line="259" w:lineRule="auto"/>
        <w:jc w:val="center"/>
        <w:rPr>
          <w:rFonts w:eastAsia="SimSun" w:cs="Times New Roman"/>
          <w:b/>
          <w:bCs/>
          <w:color w:val="4F81BD"/>
          <w:sz w:val="18"/>
          <w:szCs w:val="18"/>
        </w:rPr>
      </w:pPr>
    </w:p>
    <w:p w14:paraId="72E868AB" w14:textId="77777777" w:rsidR="00D45666" w:rsidRDefault="00D45666" w:rsidP="00491F7E">
      <w:pPr>
        <w:widowControl/>
        <w:autoSpaceDE/>
        <w:autoSpaceDN/>
        <w:spacing w:after="200" w:line="259" w:lineRule="auto"/>
        <w:jc w:val="center"/>
        <w:rPr>
          <w:rFonts w:eastAsia="SimSun" w:cs="Times New Roman"/>
          <w:b/>
          <w:bCs/>
          <w:color w:val="4F81BD"/>
          <w:sz w:val="18"/>
          <w:szCs w:val="18"/>
        </w:rPr>
      </w:pPr>
    </w:p>
    <w:p w14:paraId="19E960E7" w14:textId="77777777" w:rsidR="00D45666" w:rsidRDefault="00D45666" w:rsidP="00491F7E">
      <w:pPr>
        <w:widowControl/>
        <w:autoSpaceDE/>
        <w:autoSpaceDN/>
        <w:spacing w:after="200" w:line="259" w:lineRule="auto"/>
        <w:jc w:val="center"/>
        <w:rPr>
          <w:rFonts w:eastAsia="SimSun" w:cs="Times New Roman"/>
          <w:b/>
          <w:bCs/>
          <w:color w:val="4F81BD"/>
          <w:sz w:val="18"/>
          <w:szCs w:val="18"/>
        </w:rPr>
      </w:pPr>
    </w:p>
    <w:p w14:paraId="48BEBB36" w14:textId="77777777" w:rsidR="00D45666" w:rsidRDefault="00D45666" w:rsidP="00491F7E">
      <w:pPr>
        <w:widowControl/>
        <w:autoSpaceDE/>
        <w:autoSpaceDN/>
        <w:spacing w:after="200" w:line="259" w:lineRule="auto"/>
        <w:jc w:val="center"/>
        <w:rPr>
          <w:rFonts w:eastAsia="SimSun" w:cs="Times New Roman"/>
          <w:b/>
          <w:bCs/>
          <w:color w:val="4F81BD"/>
          <w:sz w:val="18"/>
          <w:szCs w:val="18"/>
        </w:rPr>
      </w:pPr>
    </w:p>
    <w:p w14:paraId="02078665" w14:textId="77777777" w:rsidR="00D45666" w:rsidRDefault="00D45666" w:rsidP="00491F7E">
      <w:pPr>
        <w:widowControl/>
        <w:autoSpaceDE/>
        <w:autoSpaceDN/>
        <w:spacing w:after="200" w:line="259" w:lineRule="auto"/>
        <w:jc w:val="center"/>
        <w:rPr>
          <w:rFonts w:eastAsia="SimSun" w:cs="Times New Roman"/>
          <w:b/>
          <w:bCs/>
          <w:color w:val="4F81BD"/>
          <w:sz w:val="18"/>
          <w:szCs w:val="18"/>
        </w:rPr>
      </w:pPr>
    </w:p>
    <w:p w14:paraId="6293F7E6" w14:textId="5820EBEB" w:rsidR="00491F7E" w:rsidRPr="00491F7E" w:rsidRDefault="00491F7E" w:rsidP="00491F7E">
      <w:pPr>
        <w:widowControl/>
        <w:autoSpaceDE/>
        <w:autoSpaceDN/>
        <w:spacing w:after="200" w:line="259" w:lineRule="auto"/>
        <w:jc w:val="center"/>
        <w:rPr>
          <w:rFonts w:eastAsia="SimSun" w:cs="Times New Roman"/>
          <w:b/>
          <w:bCs/>
          <w:color w:val="4F81BD"/>
          <w:sz w:val="18"/>
          <w:szCs w:val="18"/>
        </w:rPr>
      </w:pPr>
      <w:r w:rsidRPr="00491F7E">
        <w:rPr>
          <w:rFonts w:eastAsia="SimSun" w:cs="Times New Roman"/>
          <w:b/>
          <w:bCs/>
          <w:color w:val="4F81BD"/>
          <w:sz w:val="18"/>
          <w:szCs w:val="18"/>
        </w:rPr>
        <w:lastRenderedPageBreak/>
        <w:t xml:space="preserve">Table </w:t>
      </w:r>
      <w:r w:rsidRPr="00491F7E">
        <w:rPr>
          <w:rFonts w:eastAsia="SimSun" w:cs="Times New Roman"/>
          <w:b/>
          <w:bCs/>
          <w:color w:val="4F81BD"/>
          <w:sz w:val="18"/>
          <w:szCs w:val="18"/>
        </w:rPr>
        <w:fldChar w:fldCharType="begin"/>
      </w:r>
      <w:r w:rsidRPr="00491F7E">
        <w:rPr>
          <w:rFonts w:eastAsia="SimSun" w:cs="Times New Roman"/>
          <w:b/>
          <w:bCs/>
          <w:color w:val="4F81BD"/>
          <w:sz w:val="18"/>
          <w:szCs w:val="18"/>
        </w:rPr>
        <w:instrText>SEQ Table \* ARABIC</w:instrText>
      </w:r>
      <w:r w:rsidRPr="00491F7E">
        <w:rPr>
          <w:rFonts w:eastAsia="SimSun" w:cs="Times New Roman"/>
          <w:b/>
          <w:bCs/>
          <w:color w:val="4F81BD"/>
          <w:sz w:val="18"/>
          <w:szCs w:val="18"/>
        </w:rPr>
        <w:fldChar w:fldCharType="separate"/>
      </w:r>
      <w:r w:rsidR="00A56B90">
        <w:rPr>
          <w:rFonts w:eastAsia="SimSun" w:cs="Times New Roman"/>
          <w:b/>
          <w:bCs/>
          <w:noProof/>
          <w:color w:val="4F81BD"/>
          <w:sz w:val="18"/>
          <w:szCs w:val="18"/>
        </w:rPr>
        <w:t>4</w:t>
      </w:r>
      <w:r w:rsidRPr="00491F7E">
        <w:rPr>
          <w:rFonts w:eastAsia="SimSun" w:cs="Times New Roman"/>
          <w:b/>
          <w:bCs/>
          <w:color w:val="4F81BD"/>
          <w:sz w:val="18"/>
          <w:szCs w:val="18"/>
        </w:rPr>
        <w:fldChar w:fldCharType="end"/>
      </w:r>
      <w:r w:rsidRPr="00491F7E">
        <w:rPr>
          <w:rFonts w:eastAsia="SimSun" w:cs="Times New Roman"/>
          <w:b/>
          <w:bCs/>
          <w:color w:val="4F81BD"/>
          <w:sz w:val="18"/>
          <w:szCs w:val="18"/>
        </w:rPr>
        <w:t>. Commercial Core Managed Services</w:t>
      </w:r>
    </w:p>
    <w:p w14:paraId="619A19A7" w14:textId="77777777" w:rsidR="00491F7E" w:rsidRPr="00491F7E" w:rsidRDefault="00491F7E" w:rsidP="00491F7E">
      <w:pPr>
        <w:widowControl/>
        <w:autoSpaceDE/>
        <w:autoSpaceDN/>
        <w:spacing w:after="160" w:line="259" w:lineRule="auto"/>
        <w:rPr>
          <w:rFonts w:ascii="Avenir Next LT Pro Light" w:eastAsia="MS Mincho" w:hAnsi="Avenir Next LT Pro Light" w:cs="Times New Roman"/>
        </w:rPr>
      </w:pPr>
      <w:r w:rsidRPr="00491F7E">
        <w:rPr>
          <w:rFonts w:ascii="Avenir Next LT Pro Light" w:eastAsia="MS Mincho" w:hAnsi="Avenir Next LT Pro Light" w:cs="Times New Roman"/>
        </w:rPr>
        <w:t>*ELEVATE has a monthly minimal commitment of $10,000 across account, core, and cluster managed services.</w:t>
      </w:r>
    </w:p>
    <w:p w14:paraId="6FD71978"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t>Commercial Optional Services</w:t>
      </w:r>
    </w:p>
    <w:tbl>
      <w:tblPr>
        <w:tblStyle w:val="GridTable4-Accent11"/>
        <w:tblW w:w="10463" w:type="dxa"/>
        <w:tblLook w:val="04A0" w:firstRow="1" w:lastRow="0" w:firstColumn="1" w:lastColumn="0" w:noHBand="0" w:noVBand="1"/>
      </w:tblPr>
      <w:tblGrid>
        <w:gridCol w:w="1447"/>
        <w:gridCol w:w="4554"/>
        <w:gridCol w:w="4462"/>
      </w:tblGrid>
      <w:tr w:rsidR="00491F7E" w:rsidRPr="00491F7E" w14:paraId="56FAB0BB" w14:textId="77777777" w:rsidTr="00E84C8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47" w:type="dxa"/>
          </w:tcPr>
          <w:p w14:paraId="29F90FD3" w14:textId="77777777" w:rsidR="00491F7E" w:rsidRPr="00491F7E" w:rsidRDefault="00491F7E" w:rsidP="00491F7E">
            <w:pPr>
              <w:spacing w:after="120"/>
              <w:jc w:val="center"/>
              <w:rPr>
                <w:rFonts w:ascii="Avenir Next LT Pro Light" w:eastAsia="MS Mincho" w:hAnsi="Avenir Next LT Pro Light" w:cs="Times New Roman"/>
              </w:rPr>
            </w:pPr>
            <w:r w:rsidRPr="00491F7E">
              <w:rPr>
                <w:rFonts w:ascii="Avenir Next LT Pro Light" w:eastAsia="MS Mincho" w:hAnsi="Avenir Next LT Pro Light" w:cs="Times New Roman"/>
              </w:rPr>
              <w:t>Service Title</w:t>
            </w:r>
          </w:p>
        </w:tc>
        <w:tc>
          <w:tcPr>
            <w:tcW w:w="4554" w:type="dxa"/>
          </w:tcPr>
          <w:p w14:paraId="52E0D59D" w14:textId="77777777" w:rsidR="00491F7E" w:rsidRPr="00491F7E" w:rsidRDefault="00491F7E" w:rsidP="00491F7E">
            <w:pPr>
              <w:spacing w:after="120"/>
              <w:jc w:val="center"/>
              <w:cnfStyle w:val="100000000000" w:firstRow="1"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Monthly Price</w:t>
            </w:r>
          </w:p>
        </w:tc>
        <w:tc>
          <w:tcPr>
            <w:tcW w:w="4462" w:type="dxa"/>
          </w:tcPr>
          <w:p w14:paraId="166FB836" w14:textId="77777777" w:rsidR="00491F7E" w:rsidRPr="00491F7E" w:rsidRDefault="00491F7E" w:rsidP="00491F7E">
            <w:pPr>
              <w:jc w:val="center"/>
              <w:cnfStyle w:val="100000000000" w:firstRow="1"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Notes</w:t>
            </w:r>
          </w:p>
        </w:tc>
      </w:tr>
      <w:tr w:rsidR="00491F7E" w:rsidRPr="00491F7E" w14:paraId="5FEB3A72" w14:textId="77777777" w:rsidTr="00E84C8E">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1447" w:type="dxa"/>
          </w:tcPr>
          <w:p w14:paraId="6A5AC9DA"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Cloud Service Expense Management Advisory Service</w:t>
            </w:r>
          </w:p>
        </w:tc>
        <w:tc>
          <w:tcPr>
            <w:tcW w:w="4554" w:type="dxa"/>
          </w:tcPr>
          <w:p w14:paraId="37FE9AD2" w14:textId="77777777" w:rsidR="00491F7E" w:rsidRPr="00491F7E" w:rsidRDefault="00491F7E" w:rsidP="00491F7E">
            <w:pPr>
              <w:spacing w:after="120"/>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1.5% of Invoice monthly</w:t>
            </w:r>
          </w:p>
        </w:tc>
        <w:tc>
          <w:tcPr>
            <w:tcW w:w="4462" w:type="dxa"/>
          </w:tcPr>
          <w:p w14:paraId="3D862FF9"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Times New Roman" w:hAnsi="Avenir Next LT Pro Light"/>
                <w:color w:val="000000"/>
                <w:sz w:val="20"/>
                <w:szCs w:val="20"/>
              </w:rPr>
              <w:t>A percentage of your entire cloud spend as shown on your CSP invoice, inclusive of all transaction types.</w:t>
            </w:r>
          </w:p>
        </w:tc>
      </w:tr>
      <w:tr w:rsidR="00491F7E" w:rsidRPr="00491F7E" w14:paraId="08AAF5BA" w14:textId="77777777" w:rsidTr="00E84C8E">
        <w:trPr>
          <w:trHeight w:val="577"/>
        </w:trPr>
        <w:tc>
          <w:tcPr>
            <w:cnfStyle w:val="001000000000" w:firstRow="0" w:lastRow="0" w:firstColumn="1" w:lastColumn="0" w:oddVBand="0" w:evenVBand="0" w:oddHBand="0" w:evenHBand="0" w:firstRowFirstColumn="0" w:firstRowLastColumn="0" w:lastRowFirstColumn="0" w:lastRowLastColumn="0"/>
            <w:tcW w:w="1447" w:type="dxa"/>
          </w:tcPr>
          <w:p w14:paraId="5E2E2332"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Infrastructure Advisory Services </w:t>
            </w:r>
          </w:p>
        </w:tc>
        <w:tc>
          <w:tcPr>
            <w:tcW w:w="4554" w:type="dxa"/>
          </w:tcPr>
          <w:p w14:paraId="2B0911B4"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Priced based on scope</w:t>
            </w:r>
          </w:p>
        </w:tc>
        <w:tc>
          <w:tcPr>
            <w:tcW w:w="4462" w:type="dxa"/>
          </w:tcPr>
          <w:p w14:paraId="15F8E662"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p>
        </w:tc>
      </w:tr>
      <w:tr w:rsidR="00491F7E" w:rsidRPr="00491F7E" w14:paraId="225654E8" w14:textId="77777777" w:rsidTr="00E84C8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47" w:type="dxa"/>
          </w:tcPr>
          <w:p w14:paraId="21A195EC"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Database Monitoring</w:t>
            </w:r>
          </w:p>
        </w:tc>
        <w:tc>
          <w:tcPr>
            <w:tcW w:w="4554" w:type="dxa"/>
          </w:tcPr>
          <w:p w14:paraId="4F013ECC"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$100 per Database </w:t>
            </w:r>
          </w:p>
        </w:tc>
        <w:tc>
          <w:tcPr>
            <w:tcW w:w="4462" w:type="dxa"/>
          </w:tcPr>
          <w:p w14:paraId="7DD2FD8F"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olor w:val="000000"/>
                <w:sz w:val="20"/>
                <w:szCs w:val="20"/>
              </w:rPr>
            </w:pPr>
          </w:p>
        </w:tc>
      </w:tr>
      <w:tr w:rsidR="00491F7E" w:rsidRPr="00491F7E" w14:paraId="559C3AF0" w14:textId="77777777" w:rsidTr="00E84C8E">
        <w:trPr>
          <w:trHeight w:val="1712"/>
        </w:trPr>
        <w:tc>
          <w:tcPr>
            <w:cnfStyle w:val="001000000000" w:firstRow="0" w:lastRow="0" w:firstColumn="1" w:lastColumn="0" w:oddVBand="0" w:evenVBand="0" w:oddHBand="0" w:evenHBand="0" w:firstRowFirstColumn="0" w:firstRowLastColumn="0" w:lastRowFirstColumn="0" w:lastRowLastColumn="0"/>
            <w:tcW w:w="1447" w:type="dxa"/>
          </w:tcPr>
          <w:p w14:paraId="650408CB" w14:textId="77777777" w:rsidR="00491F7E" w:rsidRPr="00491F7E" w:rsidRDefault="00491F7E" w:rsidP="00491F7E">
            <w:pPr>
              <w:spacing w:after="12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Workspaces Management Services </w:t>
            </w:r>
          </w:p>
        </w:tc>
        <w:tc>
          <w:tcPr>
            <w:tcW w:w="4554" w:type="dxa"/>
          </w:tcPr>
          <w:p w14:paraId="66D23CA5"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Per Workspace Instance</w:t>
            </w:r>
          </w:p>
          <w:p w14:paraId="2A6D6B2C"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$25 less than 150 Instances</w:t>
            </w:r>
          </w:p>
          <w:p w14:paraId="42B539AC"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$22 for 151 through 300</w:t>
            </w:r>
          </w:p>
          <w:p w14:paraId="3D724849"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$18 for 301 through 700</w:t>
            </w:r>
          </w:p>
          <w:p w14:paraId="644BF953"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$14 Greater than 700</w:t>
            </w:r>
          </w:p>
        </w:tc>
        <w:tc>
          <w:tcPr>
            <w:tcW w:w="4462" w:type="dxa"/>
          </w:tcPr>
          <w:p w14:paraId="51A8D911"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Times New Roman" w:hAnsi="Avenir Next LT Pro Light"/>
                <w:color w:val="000000"/>
                <w:sz w:val="20"/>
                <w:szCs w:val="20"/>
              </w:rPr>
              <w:t>Provisioned Workspace as defined by AWS</w:t>
            </w:r>
          </w:p>
        </w:tc>
      </w:tr>
      <w:tr w:rsidR="00491F7E" w:rsidRPr="00491F7E" w14:paraId="1C7E4199" w14:textId="77777777" w:rsidTr="00E84C8E">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447" w:type="dxa"/>
          </w:tcPr>
          <w:p w14:paraId="658DFA41"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Site Reliability Engineer (SRE)</w:t>
            </w:r>
          </w:p>
        </w:tc>
        <w:tc>
          <w:tcPr>
            <w:tcW w:w="4554" w:type="dxa"/>
          </w:tcPr>
          <w:p w14:paraId="12C66D20"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Priced based on scope</w:t>
            </w:r>
          </w:p>
        </w:tc>
        <w:tc>
          <w:tcPr>
            <w:tcW w:w="4462" w:type="dxa"/>
          </w:tcPr>
          <w:p w14:paraId="61553279"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olor w:val="000000"/>
                <w:sz w:val="20"/>
                <w:szCs w:val="20"/>
              </w:rPr>
            </w:pPr>
          </w:p>
        </w:tc>
      </w:tr>
      <w:tr w:rsidR="00491F7E" w:rsidRPr="00491F7E" w14:paraId="7F1E5C23" w14:textId="77777777" w:rsidTr="00E84C8E">
        <w:trPr>
          <w:trHeight w:val="454"/>
        </w:trPr>
        <w:tc>
          <w:tcPr>
            <w:cnfStyle w:val="001000000000" w:firstRow="0" w:lastRow="0" w:firstColumn="1" w:lastColumn="0" w:oddVBand="0" w:evenVBand="0" w:oddHBand="0" w:evenHBand="0" w:firstRowFirstColumn="0" w:firstRowLastColumn="0" w:lastRowFirstColumn="0" w:lastRowLastColumn="0"/>
            <w:tcW w:w="1447" w:type="dxa"/>
          </w:tcPr>
          <w:p w14:paraId="32A744CD"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PODS and Squads Support</w:t>
            </w:r>
          </w:p>
        </w:tc>
        <w:tc>
          <w:tcPr>
            <w:tcW w:w="4554" w:type="dxa"/>
          </w:tcPr>
          <w:p w14:paraId="56074B7B"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Priced based on scope</w:t>
            </w:r>
          </w:p>
        </w:tc>
        <w:tc>
          <w:tcPr>
            <w:tcW w:w="4462" w:type="dxa"/>
          </w:tcPr>
          <w:p w14:paraId="70E793CF"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olor w:val="000000"/>
                <w:sz w:val="20"/>
                <w:szCs w:val="20"/>
              </w:rPr>
            </w:pPr>
          </w:p>
        </w:tc>
      </w:tr>
      <w:tr w:rsidR="00491F7E" w:rsidRPr="00491F7E" w14:paraId="64B0BB03" w14:textId="77777777" w:rsidTr="00E84C8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447" w:type="dxa"/>
          </w:tcPr>
          <w:p w14:paraId="4AC1B94E"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AWS Managed Services Advanced  </w:t>
            </w:r>
          </w:p>
        </w:tc>
        <w:tc>
          <w:tcPr>
            <w:tcW w:w="4554" w:type="dxa"/>
          </w:tcPr>
          <w:p w14:paraId="04EEB24B"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 xml:space="preserve">Current AWS List Pricing </w:t>
            </w:r>
          </w:p>
        </w:tc>
        <w:tc>
          <w:tcPr>
            <w:tcW w:w="4462" w:type="dxa"/>
          </w:tcPr>
          <w:p w14:paraId="543A8943"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olor w:val="000000"/>
                <w:sz w:val="20"/>
                <w:szCs w:val="20"/>
              </w:rPr>
            </w:pPr>
          </w:p>
        </w:tc>
      </w:tr>
      <w:tr w:rsidR="00491F7E" w:rsidRPr="00491F7E" w14:paraId="1EEB0905" w14:textId="77777777" w:rsidTr="00E84C8E">
        <w:trPr>
          <w:trHeight w:val="690"/>
        </w:trPr>
        <w:tc>
          <w:tcPr>
            <w:cnfStyle w:val="001000000000" w:firstRow="0" w:lastRow="0" w:firstColumn="1" w:lastColumn="0" w:oddVBand="0" w:evenVBand="0" w:oddHBand="0" w:evenHBand="0" w:firstRowFirstColumn="0" w:firstRowLastColumn="0" w:lastRowFirstColumn="0" w:lastRowLastColumn="0"/>
            <w:tcW w:w="1447" w:type="dxa"/>
          </w:tcPr>
          <w:p w14:paraId="6B033C9A" w14:textId="77777777" w:rsidR="00491F7E" w:rsidRPr="00491F7E" w:rsidRDefault="00491F7E" w:rsidP="00491F7E">
            <w:pPr>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AWS Managed Services Accelerate</w:t>
            </w:r>
          </w:p>
        </w:tc>
        <w:tc>
          <w:tcPr>
            <w:tcW w:w="4554" w:type="dxa"/>
          </w:tcPr>
          <w:p w14:paraId="7638C9F7"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sz w:val="20"/>
                <w:szCs w:val="20"/>
              </w:rPr>
            </w:pPr>
            <w:r w:rsidRPr="00491F7E">
              <w:rPr>
                <w:rFonts w:ascii="Avenir Next LT Pro Light" w:eastAsia="MS Mincho" w:hAnsi="Avenir Next LT Pro Light" w:cs="Times New Roman"/>
                <w:sz w:val="20"/>
                <w:szCs w:val="20"/>
              </w:rPr>
              <w:t>Current AWS List Pricing</w:t>
            </w:r>
          </w:p>
        </w:tc>
        <w:tc>
          <w:tcPr>
            <w:tcW w:w="4462" w:type="dxa"/>
          </w:tcPr>
          <w:p w14:paraId="7BA909D4"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olor w:val="000000"/>
                <w:sz w:val="20"/>
                <w:szCs w:val="20"/>
              </w:rPr>
            </w:pPr>
          </w:p>
        </w:tc>
      </w:tr>
    </w:tbl>
    <w:p w14:paraId="39C5DA29" w14:textId="2E901758" w:rsidR="00491F7E" w:rsidRPr="00491F7E" w:rsidRDefault="00491F7E" w:rsidP="00491F7E">
      <w:pPr>
        <w:widowControl/>
        <w:autoSpaceDE/>
        <w:autoSpaceDN/>
        <w:spacing w:after="200" w:line="259" w:lineRule="auto"/>
        <w:jc w:val="center"/>
        <w:rPr>
          <w:rFonts w:eastAsia="SimSun" w:cs="Times New Roman"/>
          <w:b/>
          <w:bCs/>
          <w:color w:val="4F81BD"/>
          <w:sz w:val="18"/>
          <w:szCs w:val="18"/>
        </w:rPr>
      </w:pPr>
      <w:r w:rsidRPr="00491F7E">
        <w:rPr>
          <w:rFonts w:eastAsia="SimSun" w:cs="Times New Roman"/>
          <w:b/>
          <w:bCs/>
          <w:color w:val="4F81BD"/>
          <w:sz w:val="18"/>
          <w:szCs w:val="18"/>
        </w:rPr>
        <w:t xml:space="preserve">Table </w:t>
      </w:r>
      <w:r w:rsidRPr="00491F7E">
        <w:rPr>
          <w:rFonts w:eastAsia="SimSun" w:cs="Times New Roman"/>
          <w:b/>
          <w:bCs/>
          <w:color w:val="4F81BD"/>
          <w:sz w:val="18"/>
          <w:szCs w:val="18"/>
        </w:rPr>
        <w:fldChar w:fldCharType="begin"/>
      </w:r>
      <w:r w:rsidRPr="00491F7E">
        <w:rPr>
          <w:rFonts w:eastAsia="SimSun" w:cs="Times New Roman"/>
          <w:b/>
          <w:bCs/>
          <w:color w:val="4F81BD"/>
          <w:sz w:val="18"/>
          <w:szCs w:val="18"/>
        </w:rPr>
        <w:instrText>SEQ Table \* ARABIC</w:instrText>
      </w:r>
      <w:r w:rsidRPr="00491F7E">
        <w:rPr>
          <w:rFonts w:eastAsia="SimSun" w:cs="Times New Roman"/>
          <w:b/>
          <w:bCs/>
          <w:color w:val="4F81BD"/>
          <w:sz w:val="18"/>
          <w:szCs w:val="18"/>
        </w:rPr>
        <w:fldChar w:fldCharType="separate"/>
      </w:r>
      <w:r w:rsidR="00A56B90">
        <w:rPr>
          <w:rFonts w:eastAsia="SimSun" w:cs="Times New Roman"/>
          <w:b/>
          <w:bCs/>
          <w:noProof/>
          <w:color w:val="4F81BD"/>
          <w:sz w:val="18"/>
          <w:szCs w:val="18"/>
        </w:rPr>
        <w:t>5</w:t>
      </w:r>
      <w:r w:rsidRPr="00491F7E">
        <w:rPr>
          <w:rFonts w:eastAsia="SimSun" w:cs="Times New Roman"/>
          <w:b/>
          <w:bCs/>
          <w:color w:val="4F81BD"/>
          <w:sz w:val="18"/>
          <w:szCs w:val="18"/>
        </w:rPr>
        <w:fldChar w:fldCharType="end"/>
      </w:r>
      <w:r w:rsidRPr="00491F7E">
        <w:rPr>
          <w:rFonts w:eastAsia="SimSun" w:cs="Times New Roman"/>
          <w:b/>
          <w:bCs/>
          <w:color w:val="4F81BD"/>
          <w:sz w:val="18"/>
          <w:szCs w:val="18"/>
        </w:rPr>
        <w:t xml:space="preserve">. Commercial Optional Services </w:t>
      </w:r>
    </w:p>
    <w:p w14:paraId="764F2C76"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eastAsia="Times New Roman" w:hAnsi="Arial" w:cs="Arial"/>
          <w:b/>
          <w:bCs/>
          <w:caps/>
          <w:kern w:val="32"/>
          <w:sz w:val="24"/>
          <w:szCs w:val="24"/>
        </w:rPr>
      </w:pPr>
      <w:r w:rsidRPr="00491F7E">
        <w:rPr>
          <w:rFonts w:ascii="Arial" w:eastAsia="Times New Roman" w:hAnsi="Arial" w:cs="Arial"/>
          <w:b/>
          <w:bCs/>
          <w:caps/>
          <w:kern w:val="32"/>
          <w:sz w:val="24"/>
          <w:szCs w:val="24"/>
        </w:rPr>
        <w:lastRenderedPageBreak/>
        <w:t>Commercial Optional Security Services</w:t>
      </w:r>
    </w:p>
    <w:tbl>
      <w:tblPr>
        <w:tblStyle w:val="GridTable4-Accent11"/>
        <w:tblW w:w="0" w:type="auto"/>
        <w:tblLook w:val="04A0" w:firstRow="1" w:lastRow="0" w:firstColumn="1" w:lastColumn="0" w:noHBand="0" w:noVBand="1"/>
      </w:tblPr>
      <w:tblGrid>
        <w:gridCol w:w="3472"/>
        <w:gridCol w:w="3055"/>
        <w:gridCol w:w="3023"/>
      </w:tblGrid>
      <w:tr w:rsidR="00491F7E" w:rsidRPr="00491F7E" w14:paraId="1D8D320B" w14:textId="77777777" w:rsidTr="005E6A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24" w:type="dxa"/>
            <w:vAlign w:val="center"/>
          </w:tcPr>
          <w:p w14:paraId="56699557" w14:textId="77777777" w:rsidR="00491F7E" w:rsidRPr="00491F7E" w:rsidRDefault="00491F7E" w:rsidP="00491F7E">
            <w:pPr>
              <w:keepNext/>
              <w:keepLines/>
              <w:spacing w:after="120"/>
              <w:jc w:val="center"/>
              <w:rPr>
                <w:rFonts w:ascii="Avenir Next LT Pro Light" w:eastAsia="MS Mincho" w:hAnsi="Avenir Next LT Pro Light" w:cs="Times New Roman"/>
              </w:rPr>
            </w:pPr>
            <w:r w:rsidRPr="00491F7E">
              <w:rPr>
                <w:rFonts w:ascii="Avenir Next LT Pro Light" w:eastAsia="MS Mincho" w:hAnsi="Avenir Next LT Pro Light" w:cs="Times New Roman"/>
              </w:rPr>
              <w:t>Service Title</w:t>
            </w:r>
          </w:p>
        </w:tc>
        <w:tc>
          <w:tcPr>
            <w:tcW w:w="4475" w:type="dxa"/>
            <w:vAlign w:val="center"/>
          </w:tcPr>
          <w:p w14:paraId="2B9308CB" w14:textId="77777777" w:rsidR="00491F7E" w:rsidRPr="00491F7E" w:rsidRDefault="00491F7E" w:rsidP="00491F7E">
            <w:pPr>
              <w:keepNext/>
              <w:keepLines/>
              <w:spacing w:after="120"/>
              <w:jc w:val="center"/>
              <w:cnfStyle w:val="100000000000" w:firstRow="1"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 xml:space="preserve">Monthly Price </w:t>
            </w:r>
          </w:p>
        </w:tc>
        <w:tc>
          <w:tcPr>
            <w:tcW w:w="4401" w:type="dxa"/>
            <w:vAlign w:val="center"/>
          </w:tcPr>
          <w:p w14:paraId="42C51396" w14:textId="77777777" w:rsidR="00491F7E" w:rsidRPr="00491F7E" w:rsidRDefault="00491F7E" w:rsidP="00491F7E">
            <w:pPr>
              <w:keepNext/>
              <w:keepLines/>
              <w:spacing w:after="120"/>
              <w:jc w:val="center"/>
              <w:cnfStyle w:val="100000000000" w:firstRow="1"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Notes</w:t>
            </w:r>
          </w:p>
        </w:tc>
      </w:tr>
      <w:tr w:rsidR="00491F7E" w:rsidRPr="00491F7E" w14:paraId="6AB8A056"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4" w:type="dxa"/>
          </w:tcPr>
          <w:p w14:paraId="4CC58D96" w14:textId="77777777" w:rsidR="00491F7E" w:rsidRPr="00491F7E" w:rsidRDefault="00491F7E" w:rsidP="00491F7E">
            <w:pPr>
              <w:keepNext/>
              <w:keepLines/>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 xml:space="preserve">Security Incident Response </w:t>
            </w:r>
          </w:p>
        </w:tc>
        <w:tc>
          <w:tcPr>
            <w:tcW w:w="4475" w:type="dxa"/>
          </w:tcPr>
          <w:p w14:paraId="51D5992B" w14:textId="77777777" w:rsidR="00491F7E" w:rsidRPr="00491F7E" w:rsidRDefault="00491F7E" w:rsidP="00491F7E">
            <w:pPr>
              <w:keepNext/>
              <w:keepLines/>
              <w:spacing w:after="120"/>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Price based on anticipated LOE and frequency for the given customer environment, security maturity, and expected threats.</w:t>
            </w:r>
          </w:p>
        </w:tc>
        <w:tc>
          <w:tcPr>
            <w:tcW w:w="4401" w:type="dxa"/>
          </w:tcPr>
          <w:p w14:paraId="0A61F31F" w14:textId="77777777" w:rsidR="00491F7E" w:rsidRPr="00491F7E" w:rsidRDefault="00491F7E" w:rsidP="00491F7E">
            <w:pPr>
              <w:keepNext/>
              <w:keepLines/>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r>
      <w:tr w:rsidR="00491F7E" w:rsidRPr="00491F7E" w14:paraId="4C7A7DF3" w14:textId="77777777" w:rsidTr="005E6AC4">
        <w:tc>
          <w:tcPr>
            <w:cnfStyle w:val="001000000000" w:firstRow="0" w:lastRow="0" w:firstColumn="1" w:lastColumn="0" w:oddVBand="0" w:evenVBand="0" w:oddHBand="0" w:evenHBand="0" w:firstRowFirstColumn="0" w:firstRowLastColumn="0" w:lastRowFirstColumn="0" w:lastRowLastColumn="0"/>
            <w:tcW w:w="4524" w:type="dxa"/>
          </w:tcPr>
          <w:p w14:paraId="47EBE64C" w14:textId="77777777" w:rsidR="00491F7E" w:rsidRPr="00491F7E" w:rsidRDefault="00491F7E" w:rsidP="00491F7E">
            <w:pPr>
              <w:keepNext/>
              <w:keepLines/>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 xml:space="preserve">Enhanced Log Aggregation and Analysis** </w:t>
            </w:r>
          </w:p>
        </w:tc>
        <w:tc>
          <w:tcPr>
            <w:tcW w:w="4475" w:type="dxa"/>
          </w:tcPr>
          <w:p w14:paraId="3FEED065" w14:textId="77777777" w:rsidR="00491F7E" w:rsidRPr="00491F7E" w:rsidRDefault="00491F7E" w:rsidP="00491F7E">
            <w:pPr>
              <w:keepNext/>
              <w:keepLines/>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Log Monitoring and Analysis - $320/per GB of indexed data, based on average daily consumption in a calendar month.</w:t>
            </w:r>
          </w:p>
        </w:tc>
        <w:tc>
          <w:tcPr>
            <w:tcW w:w="4401" w:type="dxa"/>
          </w:tcPr>
          <w:p w14:paraId="47BD83EA" w14:textId="77777777" w:rsidR="00491F7E" w:rsidRPr="00491F7E" w:rsidRDefault="00491F7E" w:rsidP="00491F7E">
            <w:pPr>
              <w:keepNext/>
              <w:keepLines/>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Times New Roman" w:hAnsi="Avenir Next LT Pro Light"/>
                <w:color w:val="000000"/>
              </w:rPr>
              <w:t>Inclusive of the SIEM software required to deliver the ELAA service. Monthly minimums apply.</w:t>
            </w:r>
          </w:p>
        </w:tc>
      </w:tr>
      <w:tr w:rsidR="00491F7E" w:rsidRPr="00491F7E" w14:paraId="018AE0AD"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4" w:type="dxa"/>
          </w:tcPr>
          <w:p w14:paraId="123EBA3B" w14:textId="77777777" w:rsidR="00491F7E" w:rsidRPr="00491F7E" w:rsidRDefault="00491F7E" w:rsidP="00491F7E">
            <w:pPr>
              <w:rPr>
                <w:rFonts w:ascii="Avenir Next LT Pro Light" w:eastAsia="Times New Roman" w:hAnsi="Avenir Next LT Pro Light"/>
                <w:color w:val="000000"/>
              </w:rPr>
            </w:pPr>
            <w:r w:rsidRPr="00491F7E">
              <w:rPr>
                <w:rFonts w:ascii="Avenir Next LT Pro Light" w:eastAsia="Times New Roman" w:hAnsi="Avenir Next LT Pro Light"/>
                <w:color w:val="000000"/>
              </w:rPr>
              <w:t>Enhanced Log Aggregation and Analysis – Customer provided platform</w:t>
            </w:r>
          </w:p>
        </w:tc>
        <w:tc>
          <w:tcPr>
            <w:tcW w:w="4475" w:type="dxa"/>
          </w:tcPr>
          <w:p w14:paraId="0B7B32F1"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Log Monitoring and Analysis - $160/per GB of indexed data, based on average daily consumption in a calendar month.</w:t>
            </w:r>
          </w:p>
        </w:tc>
        <w:tc>
          <w:tcPr>
            <w:tcW w:w="4401" w:type="dxa"/>
          </w:tcPr>
          <w:p w14:paraId="105E024C"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olor w:val="000000"/>
              </w:rPr>
            </w:pPr>
            <w:r w:rsidRPr="00491F7E">
              <w:rPr>
                <w:rFonts w:ascii="Avenir Next LT Pro Light" w:eastAsia="Times New Roman" w:hAnsi="Avenir Next LT Pro Light"/>
                <w:color w:val="000000"/>
              </w:rPr>
              <w:t xml:space="preserve">The customer will provide the licenses and appropriate delegated access to the SIEM software (Splunk or SUMO) to be used by SMX resources to deliver this service. </w:t>
            </w:r>
          </w:p>
        </w:tc>
      </w:tr>
      <w:tr w:rsidR="00491F7E" w:rsidRPr="00491F7E" w14:paraId="5EEFA49F" w14:textId="77777777" w:rsidTr="005E6AC4">
        <w:tc>
          <w:tcPr>
            <w:cnfStyle w:val="001000000000" w:firstRow="0" w:lastRow="0" w:firstColumn="1" w:lastColumn="0" w:oddVBand="0" w:evenVBand="0" w:oddHBand="0" w:evenHBand="0" w:firstRowFirstColumn="0" w:firstRowLastColumn="0" w:lastRowFirstColumn="0" w:lastRowLastColumn="0"/>
            <w:tcW w:w="4524" w:type="dxa"/>
          </w:tcPr>
          <w:p w14:paraId="47D9EFC4" w14:textId="77777777" w:rsidR="00491F7E" w:rsidRPr="00491F7E" w:rsidRDefault="00491F7E" w:rsidP="00491F7E">
            <w:pPr>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Host Intrusion Detection/Prevention &amp; Host File Integrity Monitoring</w:t>
            </w:r>
          </w:p>
        </w:tc>
        <w:tc>
          <w:tcPr>
            <w:tcW w:w="4475" w:type="dxa"/>
          </w:tcPr>
          <w:p w14:paraId="0ECFFE69"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$40 per instance</w:t>
            </w:r>
          </w:p>
        </w:tc>
        <w:tc>
          <w:tcPr>
            <w:tcW w:w="4401" w:type="dxa"/>
          </w:tcPr>
          <w:p w14:paraId="5C5FB6AB"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Times New Roman" w:hAnsi="Avenir Next LT Pro Light"/>
                <w:color w:val="000000"/>
              </w:rPr>
              <w:t>An instance is a system running in AWS that has an operating system capable of being patched or having an agent deployed. This can be an EC2 instance, or instances generated by another service, such as EMR, Docker host or Elastic Beanstalk. The monthly instance cost is calculated as the total instance hours in an account covered by the Account Services divided by 730 hrs. (the average number of hours in a month). To streamline service delivery, all AMIs will need to be configured with pre-defined management tools and tagging.</w:t>
            </w:r>
          </w:p>
        </w:tc>
      </w:tr>
      <w:tr w:rsidR="00491F7E" w:rsidRPr="00491F7E" w14:paraId="720185E4"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4" w:type="dxa"/>
          </w:tcPr>
          <w:p w14:paraId="2A8B542F" w14:textId="77777777" w:rsidR="00491F7E" w:rsidRPr="00491F7E" w:rsidRDefault="00491F7E" w:rsidP="00491F7E">
            <w:pPr>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Application Control</w:t>
            </w:r>
          </w:p>
        </w:tc>
        <w:tc>
          <w:tcPr>
            <w:tcW w:w="4475" w:type="dxa"/>
          </w:tcPr>
          <w:p w14:paraId="3E29628B" w14:textId="77777777" w:rsidR="00491F7E" w:rsidRPr="00491F7E" w:rsidRDefault="00491F7E" w:rsidP="00491F7E">
            <w:pPr>
              <w:spacing w:after="120"/>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 xml:space="preserve">$20 per instance   </w:t>
            </w:r>
          </w:p>
        </w:tc>
        <w:tc>
          <w:tcPr>
            <w:tcW w:w="4401" w:type="dxa"/>
          </w:tcPr>
          <w:p w14:paraId="54B655AC"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olor w:val="000000"/>
              </w:rPr>
            </w:pPr>
            <w:r w:rsidRPr="00491F7E">
              <w:rPr>
                <w:rFonts w:ascii="Avenir Next LT Pro Light" w:eastAsia="Times New Roman" w:hAnsi="Avenir Next LT Pro Light"/>
                <w:color w:val="000000"/>
              </w:rPr>
              <w:t xml:space="preserve">An instance is a system running in AWS that has an operating system capable of being patched or having an agent deployed. This can be an EC2 instance, or </w:t>
            </w:r>
            <w:r w:rsidRPr="00491F7E">
              <w:rPr>
                <w:rFonts w:ascii="Avenir Next LT Pro Light" w:eastAsia="Times New Roman" w:hAnsi="Avenir Next LT Pro Light"/>
                <w:color w:val="000000"/>
              </w:rPr>
              <w:lastRenderedPageBreak/>
              <w:t>instances generated by another service, such as EMR, Docker host or Elastic Beanstalk. The monthly instance cost is calculated as the total instance hours in an account covered by the Account Services divided by 730 hrs. (the average number of hours in a month). To streamline service delivery, all AMIs will need to be configured with pre-defined management tools and tagging.</w:t>
            </w:r>
          </w:p>
        </w:tc>
      </w:tr>
      <w:tr w:rsidR="00491F7E" w:rsidRPr="00491F7E" w14:paraId="40CDE458" w14:textId="77777777" w:rsidTr="005E6AC4">
        <w:tc>
          <w:tcPr>
            <w:cnfStyle w:val="001000000000" w:firstRow="0" w:lastRow="0" w:firstColumn="1" w:lastColumn="0" w:oddVBand="0" w:evenVBand="0" w:oddHBand="0" w:evenHBand="0" w:firstRowFirstColumn="0" w:firstRowLastColumn="0" w:lastRowFirstColumn="0" w:lastRowLastColumn="0"/>
            <w:tcW w:w="4524" w:type="dxa"/>
          </w:tcPr>
          <w:p w14:paraId="3F7A76F0" w14:textId="77777777" w:rsidR="00491F7E" w:rsidRPr="00491F7E" w:rsidRDefault="00491F7E" w:rsidP="00491F7E">
            <w:pPr>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lastRenderedPageBreak/>
              <w:t>Security Systems Vulnerability Scanning</w:t>
            </w:r>
          </w:p>
        </w:tc>
        <w:tc>
          <w:tcPr>
            <w:tcW w:w="4475" w:type="dxa"/>
          </w:tcPr>
          <w:p w14:paraId="58319972"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 xml:space="preserve">$30 per instance / per scan </w:t>
            </w:r>
          </w:p>
          <w:p w14:paraId="01D89677" w14:textId="77777777" w:rsidR="00491F7E" w:rsidRPr="00491F7E" w:rsidRDefault="00491F7E" w:rsidP="00491F7E">
            <w:pPr>
              <w:spacing w:after="120"/>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Times New Roman" w:hAnsi="Avenir Next LT Pro Light"/>
                <w:color w:val="000000"/>
              </w:rPr>
              <w:t>$3,000 monthly minimum</w:t>
            </w:r>
          </w:p>
        </w:tc>
        <w:tc>
          <w:tcPr>
            <w:tcW w:w="4401" w:type="dxa"/>
          </w:tcPr>
          <w:p w14:paraId="6D1103DB"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Times New Roman" w:hAnsi="Avenir Next LT Pro Light"/>
                <w:color w:val="000000"/>
              </w:rPr>
              <w:t xml:space="preserve">An instance is a system running in AWS that has an operating system capable of being patched or having an agent deployed. This can be an EC2 instance, or instances generated by another service, such as EMR, Docker host or Elastic Beanstalk. </w:t>
            </w:r>
          </w:p>
        </w:tc>
      </w:tr>
      <w:tr w:rsidR="00491F7E" w:rsidRPr="00491F7E" w14:paraId="13B4A695" w14:textId="77777777" w:rsidTr="005E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4" w:type="dxa"/>
          </w:tcPr>
          <w:p w14:paraId="35BDD139" w14:textId="77777777" w:rsidR="00491F7E" w:rsidRPr="00491F7E" w:rsidRDefault="00491F7E" w:rsidP="00491F7E">
            <w:pPr>
              <w:spacing w:after="120"/>
              <w:rPr>
                <w:rFonts w:ascii="Avenir Next LT Pro Light" w:eastAsia="MS Mincho" w:hAnsi="Avenir Next LT Pro Light" w:cs="Times New Roman"/>
              </w:rPr>
            </w:pPr>
            <w:r w:rsidRPr="00491F7E">
              <w:rPr>
                <w:rFonts w:ascii="Avenir Next LT Pro Light" w:eastAsia="MS Mincho" w:hAnsi="Avenir Next LT Pro Light" w:cs="Times New Roman"/>
              </w:rPr>
              <w:t>Continuous Monitoring Security and Regulatory Compliance Support Services</w:t>
            </w:r>
          </w:p>
        </w:tc>
        <w:tc>
          <w:tcPr>
            <w:tcW w:w="4475" w:type="dxa"/>
          </w:tcPr>
          <w:p w14:paraId="4E103599" w14:textId="77777777" w:rsidR="00491F7E" w:rsidRPr="00491F7E" w:rsidRDefault="00491F7E" w:rsidP="00491F7E">
            <w:pPr>
              <w:spacing w:after="120"/>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Priced based on scope</w:t>
            </w:r>
          </w:p>
        </w:tc>
        <w:tc>
          <w:tcPr>
            <w:tcW w:w="4401" w:type="dxa"/>
          </w:tcPr>
          <w:p w14:paraId="5EE509C5" w14:textId="77777777" w:rsidR="00491F7E" w:rsidRPr="00491F7E" w:rsidRDefault="00491F7E" w:rsidP="00491F7E">
            <w:pPr>
              <w:spacing w:after="120"/>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r w:rsidRPr="00491F7E">
              <w:rPr>
                <w:rFonts w:ascii="Avenir Next LT Pro Light" w:eastAsia="MS Mincho" w:hAnsi="Avenir Next LT Pro Light" w:cs="Times New Roman"/>
              </w:rPr>
              <w:t>Professional Services</w:t>
            </w:r>
          </w:p>
        </w:tc>
      </w:tr>
    </w:tbl>
    <w:p w14:paraId="146757B5" w14:textId="2B017083" w:rsidR="00491F7E" w:rsidRPr="00491F7E" w:rsidRDefault="00491F7E" w:rsidP="00491F7E">
      <w:pPr>
        <w:widowControl/>
        <w:autoSpaceDE/>
        <w:autoSpaceDN/>
        <w:spacing w:after="200" w:line="259" w:lineRule="auto"/>
        <w:jc w:val="center"/>
        <w:rPr>
          <w:rFonts w:eastAsia="SimSun" w:cs="Times New Roman"/>
          <w:b/>
          <w:bCs/>
          <w:color w:val="4F81BD"/>
          <w:sz w:val="18"/>
          <w:szCs w:val="18"/>
        </w:rPr>
      </w:pPr>
      <w:r w:rsidRPr="00491F7E">
        <w:rPr>
          <w:rFonts w:eastAsia="SimSun" w:cs="Times New Roman"/>
          <w:b/>
          <w:bCs/>
          <w:color w:val="4F81BD"/>
          <w:sz w:val="18"/>
          <w:szCs w:val="18"/>
        </w:rPr>
        <w:t xml:space="preserve">Table </w:t>
      </w:r>
      <w:r w:rsidRPr="00491F7E">
        <w:rPr>
          <w:rFonts w:eastAsia="SimSun" w:cs="Times New Roman"/>
          <w:b/>
          <w:bCs/>
          <w:color w:val="4F81BD"/>
          <w:sz w:val="18"/>
          <w:szCs w:val="18"/>
        </w:rPr>
        <w:fldChar w:fldCharType="begin"/>
      </w:r>
      <w:r w:rsidRPr="00491F7E">
        <w:rPr>
          <w:rFonts w:eastAsia="SimSun" w:cs="Times New Roman"/>
          <w:b/>
          <w:bCs/>
          <w:color w:val="4F81BD"/>
          <w:sz w:val="18"/>
          <w:szCs w:val="18"/>
        </w:rPr>
        <w:instrText>SEQ Table \* ARABIC</w:instrText>
      </w:r>
      <w:r w:rsidRPr="00491F7E">
        <w:rPr>
          <w:rFonts w:eastAsia="SimSun" w:cs="Times New Roman"/>
          <w:b/>
          <w:bCs/>
          <w:color w:val="4F81BD"/>
          <w:sz w:val="18"/>
          <w:szCs w:val="18"/>
        </w:rPr>
        <w:fldChar w:fldCharType="separate"/>
      </w:r>
      <w:r w:rsidR="00A56B90">
        <w:rPr>
          <w:rFonts w:eastAsia="SimSun" w:cs="Times New Roman"/>
          <w:b/>
          <w:bCs/>
          <w:noProof/>
          <w:color w:val="4F81BD"/>
          <w:sz w:val="18"/>
          <w:szCs w:val="18"/>
        </w:rPr>
        <w:t>6</w:t>
      </w:r>
      <w:r w:rsidRPr="00491F7E">
        <w:rPr>
          <w:rFonts w:eastAsia="SimSun" w:cs="Times New Roman"/>
          <w:b/>
          <w:bCs/>
          <w:color w:val="4F81BD"/>
          <w:sz w:val="18"/>
          <w:szCs w:val="18"/>
        </w:rPr>
        <w:fldChar w:fldCharType="end"/>
      </w:r>
      <w:r w:rsidRPr="00491F7E">
        <w:rPr>
          <w:rFonts w:eastAsia="SimSun" w:cs="Times New Roman"/>
          <w:b/>
          <w:bCs/>
          <w:color w:val="4F81BD"/>
          <w:sz w:val="18"/>
          <w:szCs w:val="18"/>
        </w:rPr>
        <w:t>. Commercial Optional Security Services</w:t>
      </w:r>
    </w:p>
    <w:p w14:paraId="5B9C695C" w14:textId="77777777" w:rsidR="00491F7E" w:rsidRPr="00491F7E" w:rsidRDefault="00491F7E" w:rsidP="00491F7E">
      <w:pPr>
        <w:widowControl/>
        <w:autoSpaceDE/>
        <w:autoSpaceDN/>
        <w:spacing w:after="160" w:line="259" w:lineRule="auto"/>
        <w:rPr>
          <w:rFonts w:ascii="Avenir Next LT Pro Light" w:eastAsia="MS Mincho" w:hAnsi="Avenir Next LT Pro Light" w:cs="Avenir Next LT Pro Light"/>
          <w:sz w:val="20"/>
          <w:szCs w:val="20"/>
        </w:rPr>
      </w:pPr>
      <w:r w:rsidRPr="00491F7E">
        <w:rPr>
          <w:rFonts w:ascii="Avenir Next LT Pro Light" w:eastAsia="MS Mincho" w:hAnsi="Avenir Next LT Pro Light" w:cs="Times New Roman"/>
          <w:sz w:val="20"/>
          <w:szCs w:val="20"/>
        </w:rPr>
        <w:t>**</w:t>
      </w:r>
      <w:r w:rsidRPr="00491F7E">
        <w:rPr>
          <w:rFonts w:ascii="Avenir Next LT Pro Light" w:eastAsia="MS Mincho" w:hAnsi="Avenir Next LT Pro Light" w:cs="Avenir Next LT Pro Light"/>
          <w:sz w:val="20"/>
          <w:szCs w:val="20"/>
        </w:rPr>
        <w:t xml:space="preserve">ELAA has a monthly minimal commitment of $8,000 per month or the total of cost based on average GB indexed per day in a one-month measurement period (based on calendar), whichever is higher. </w:t>
      </w:r>
    </w:p>
    <w:tbl>
      <w:tblPr>
        <w:tblStyle w:val="GridTable4-Accent11"/>
        <w:tblW w:w="0" w:type="auto"/>
        <w:jc w:val="center"/>
        <w:tblLayout w:type="fixed"/>
        <w:tblLook w:val="04A0" w:firstRow="1" w:lastRow="0" w:firstColumn="1" w:lastColumn="0" w:noHBand="0" w:noVBand="1"/>
      </w:tblPr>
      <w:tblGrid>
        <w:gridCol w:w="5310"/>
        <w:gridCol w:w="4050"/>
      </w:tblGrid>
      <w:tr w:rsidR="00491F7E" w:rsidRPr="00491F7E" w14:paraId="196D5AE2" w14:textId="77777777" w:rsidTr="005E6AC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02060"/>
              <w:left w:val="single" w:sz="8" w:space="0" w:color="002060"/>
              <w:bottom w:val="single" w:sz="8" w:space="0" w:color="002060"/>
            </w:tcBorders>
          </w:tcPr>
          <w:p w14:paraId="1A82C784" w14:textId="77777777" w:rsidR="00491F7E" w:rsidRPr="00491F7E" w:rsidRDefault="00491F7E" w:rsidP="00491F7E">
            <w:pPr>
              <w:jc w:val="center"/>
              <w:rPr>
                <w:rFonts w:ascii="Avenir Next LT Pro Light" w:eastAsia="MS Mincho" w:hAnsi="Avenir Next LT Pro Light" w:cs="Times New Roman"/>
              </w:rPr>
            </w:pPr>
            <w:r w:rsidRPr="00491F7E">
              <w:rPr>
                <w:rFonts w:ascii="Avenir Next LT Pro Light" w:eastAsia="MS Mincho" w:hAnsi="Avenir Next LT Pro Light" w:cs="Times New Roman"/>
              </w:rPr>
              <w:t>Department of Defense IL 4 Managed Services</w:t>
            </w:r>
          </w:p>
          <w:p w14:paraId="262CC54F" w14:textId="77777777" w:rsidR="00491F7E" w:rsidRPr="00491F7E" w:rsidRDefault="00491F7E" w:rsidP="00491F7E">
            <w:pPr>
              <w:jc w:val="center"/>
            </w:pPr>
            <w:r w:rsidRPr="00491F7E">
              <w:t>Service Title</w:t>
            </w:r>
          </w:p>
        </w:tc>
        <w:tc>
          <w:tcPr>
            <w:tcW w:w="4050" w:type="dxa"/>
            <w:tcBorders>
              <w:top w:val="single" w:sz="8" w:space="0" w:color="002060"/>
              <w:bottom w:val="single" w:sz="8" w:space="0" w:color="002060"/>
              <w:right w:val="single" w:sz="8" w:space="0" w:color="002060"/>
            </w:tcBorders>
          </w:tcPr>
          <w:p w14:paraId="1E9A1D93" w14:textId="77777777" w:rsidR="00491F7E" w:rsidRPr="00491F7E" w:rsidRDefault="00491F7E" w:rsidP="00491F7E">
            <w:pPr>
              <w:jc w:val="center"/>
              <w:cnfStyle w:val="100000000000" w:firstRow="1" w:lastRow="0" w:firstColumn="0" w:lastColumn="0" w:oddVBand="0" w:evenVBand="0" w:oddHBand="0" w:evenHBand="0" w:firstRowFirstColumn="0" w:firstRowLastColumn="0" w:lastRowFirstColumn="0" w:lastRowLastColumn="0"/>
            </w:pPr>
            <w:r w:rsidRPr="00491F7E">
              <w:t>Monthly Price</w:t>
            </w:r>
          </w:p>
        </w:tc>
      </w:tr>
      <w:tr w:rsidR="00491F7E" w:rsidRPr="00491F7E" w14:paraId="254E853F" w14:textId="77777777" w:rsidTr="005E6A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02060"/>
              <w:left w:val="single" w:sz="8" w:space="0" w:color="0659FF"/>
              <w:bottom w:val="single" w:sz="8" w:space="0" w:color="0659FF"/>
              <w:right w:val="single" w:sz="8" w:space="0" w:color="0659FF"/>
            </w:tcBorders>
          </w:tcPr>
          <w:p w14:paraId="134458B6" w14:textId="77777777" w:rsidR="00491F7E" w:rsidRPr="00491F7E" w:rsidRDefault="00491F7E" w:rsidP="00491F7E">
            <w:pPr>
              <w:jc w:val="both"/>
              <w:rPr>
                <w:color w:val="000000"/>
              </w:rPr>
            </w:pPr>
            <w:r w:rsidRPr="00491F7E">
              <w:rPr>
                <w:color w:val="000000"/>
              </w:rPr>
              <w:t xml:space="preserve">Monitoring and Notification </w:t>
            </w:r>
          </w:p>
        </w:tc>
        <w:tc>
          <w:tcPr>
            <w:tcW w:w="4050" w:type="dxa"/>
            <w:vMerge w:val="restart"/>
            <w:tcBorders>
              <w:top w:val="single" w:sz="8" w:space="0" w:color="002060"/>
              <w:left w:val="single" w:sz="8" w:space="0" w:color="0659FF"/>
              <w:bottom w:val="single" w:sz="8" w:space="0" w:color="0659FF"/>
              <w:right w:val="single" w:sz="8" w:space="0" w:color="0659FF"/>
            </w:tcBorders>
            <w:vAlign w:val="center"/>
          </w:tcPr>
          <w:p w14:paraId="400BF1F8" w14:textId="77777777" w:rsidR="00491F7E" w:rsidRPr="00491F7E" w:rsidRDefault="00491F7E" w:rsidP="00491F7E">
            <w:pPr>
              <w:jc w:val="center"/>
              <w:cnfStyle w:val="000000100000" w:firstRow="0" w:lastRow="0" w:firstColumn="0" w:lastColumn="0" w:oddVBand="0" w:evenVBand="0" w:oddHBand="1" w:evenHBand="0" w:firstRowFirstColumn="0" w:firstRowLastColumn="0" w:lastRowFirstColumn="0" w:lastRowLastColumn="0"/>
              <w:rPr>
                <w:color w:val="000000"/>
              </w:rPr>
            </w:pPr>
            <w:r w:rsidRPr="00491F7E">
              <w:rPr>
                <w:color w:val="000000"/>
              </w:rPr>
              <w:t>$600/instance per month</w:t>
            </w:r>
          </w:p>
        </w:tc>
      </w:tr>
      <w:tr w:rsidR="00491F7E" w:rsidRPr="00491F7E" w14:paraId="186CE8A4" w14:textId="77777777" w:rsidTr="005E6AC4">
        <w:trPr>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659FF"/>
              <w:left w:val="single" w:sz="8" w:space="0" w:color="0659FF"/>
              <w:bottom w:val="single" w:sz="8" w:space="0" w:color="0659FF"/>
              <w:right w:val="single" w:sz="8" w:space="0" w:color="0659FF"/>
            </w:tcBorders>
          </w:tcPr>
          <w:p w14:paraId="505A86AC" w14:textId="77777777" w:rsidR="00491F7E" w:rsidRPr="00491F7E" w:rsidRDefault="00491F7E" w:rsidP="00491F7E">
            <w:pPr>
              <w:jc w:val="both"/>
            </w:pPr>
            <w:r w:rsidRPr="00491F7E">
              <w:t>SLA Management</w:t>
            </w:r>
          </w:p>
        </w:tc>
        <w:tc>
          <w:tcPr>
            <w:tcW w:w="4050" w:type="dxa"/>
            <w:vMerge/>
            <w:vAlign w:val="center"/>
          </w:tcPr>
          <w:p w14:paraId="3BED4495"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r w:rsidR="00491F7E" w:rsidRPr="00491F7E" w14:paraId="65C7477D" w14:textId="77777777" w:rsidTr="005E6A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659FF"/>
              <w:left w:val="single" w:sz="8" w:space="0" w:color="0659FF"/>
              <w:bottom w:val="single" w:sz="8" w:space="0" w:color="0659FF"/>
              <w:right w:val="single" w:sz="8" w:space="0" w:color="0659FF"/>
            </w:tcBorders>
          </w:tcPr>
          <w:p w14:paraId="25258D42" w14:textId="77777777" w:rsidR="00491F7E" w:rsidRPr="00491F7E" w:rsidRDefault="00491F7E" w:rsidP="00491F7E">
            <w:pPr>
              <w:jc w:val="both"/>
              <w:rPr>
                <w:color w:val="000000"/>
              </w:rPr>
            </w:pPr>
            <w:r w:rsidRPr="00491F7E">
              <w:rPr>
                <w:color w:val="000000"/>
              </w:rPr>
              <w:t xml:space="preserve">Incident Response </w:t>
            </w:r>
          </w:p>
        </w:tc>
        <w:tc>
          <w:tcPr>
            <w:tcW w:w="4050" w:type="dxa"/>
            <w:vMerge/>
            <w:vAlign w:val="center"/>
          </w:tcPr>
          <w:p w14:paraId="2CA8E0DD"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r>
      <w:tr w:rsidR="00491F7E" w:rsidRPr="00491F7E" w14:paraId="561D6736" w14:textId="77777777" w:rsidTr="005E6AC4">
        <w:trPr>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659FF"/>
              <w:left w:val="single" w:sz="8" w:space="0" w:color="0659FF"/>
              <w:bottom w:val="single" w:sz="8" w:space="0" w:color="0659FF"/>
              <w:right w:val="single" w:sz="8" w:space="0" w:color="0659FF"/>
            </w:tcBorders>
          </w:tcPr>
          <w:p w14:paraId="290E7202" w14:textId="77777777" w:rsidR="00491F7E" w:rsidRPr="00491F7E" w:rsidRDefault="00491F7E" w:rsidP="00491F7E">
            <w:pPr>
              <w:jc w:val="both"/>
            </w:pPr>
            <w:r w:rsidRPr="00491F7E">
              <w:t>Operating System Patch Management</w:t>
            </w:r>
          </w:p>
        </w:tc>
        <w:tc>
          <w:tcPr>
            <w:tcW w:w="4050" w:type="dxa"/>
            <w:vMerge/>
            <w:vAlign w:val="center"/>
          </w:tcPr>
          <w:p w14:paraId="2A388A46"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r w:rsidR="00491F7E" w:rsidRPr="00491F7E" w14:paraId="20860115" w14:textId="77777777" w:rsidTr="005E6A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659FF"/>
              <w:left w:val="single" w:sz="8" w:space="0" w:color="0659FF"/>
              <w:bottom w:val="single" w:sz="8" w:space="0" w:color="0659FF"/>
              <w:right w:val="single" w:sz="8" w:space="0" w:color="0659FF"/>
            </w:tcBorders>
          </w:tcPr>
          <w:p w14:paraId="410D5CE8" w14:textId="77777777" w:rsidR="00491F7E" w:rsidRPr="00491F7E" w:rsidRDefault="00491F7E" w:rsidP="00491F7E">
            <w:pPr>
              <w:jc w:val="both"/>
              <w:rPr>
                <w:color w:val="000000"/>
              </w:rPr>
            </w:pPr>
            <w:r w:rsidRPr="00491F7E">
              <w:rPr>
                <w:color w:val="000000"/>
              </w:rPr>
              <w:t>Host Based Antivirus (AV) Management Government Furnished Equipment (GFE) HBSS Software)</w:t>
            </w:r>
          </w:p>
        </w:tc>
        <w:tc>
          <w:tcPr>
            <w:tcW w:w="4050" w:type="dxa"/>
            <w:vMerge/>
            <w:vAlign w:val="center"/>
          </w:tcPr>
          <w:p w14:paraId="38B20567"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r>
      <w:tr w:rsidR="00491F7E" w:rsidRPr="00491F7E" w14:paraId="258C0AC3" w14:textId="77777777" w:rsidTr="005E6AC4">
        <w:trPr>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659FF"/>
              <w:left w:val="single" w:sz="8" w:space="0" w:color="0659FF"/>
              <w:bottom w:val="single" w:sz="8" w:space="0" w:color="0659FF"/>
              <w:right w:val="single" w:sz="8" w:space="0" w:color="0659FF"/>
            </w:tcBorders>
          </w:tcPr>
          <w:p w14:paraId="4FE4531A" w14:textId="77777777" w:rsidR="00491F7E" w:rsidRPr="00491F7E" w:rsidRDefault="00491F7E" w:rsidP="00491F7E">
            <w:pPr>
              <w:jc w:val="both"/>
            </w:pPr>
            <w:r w:rsidRPr="00491F7E">
              <w:t>Boundary Management</w:t>
            </w:r>
          </w:p>
        </w:tc>
        <w:tc>
          <w:tcPr>
            <w:tcW w:w="4050" w:type="dxa"/>
            <w:vMerge/>
            <w:vAlign w:val="center"/>
          </w:tcPr>
          <w:p w14:paraId="0554E96F"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r w:rsidR="00491F7E" w:rsidRPr="00491F7E" w14:paraId="7F4F04CA" w14:textId="77777777" w:rsidTr="005E6A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659FF"/>
              <w:left w:val="single" w:sz="8" w:space="0" w:color="0659FF"/>
              <w:bottom w:val="single" w:sz="8" w:space="0" w:color="0659FF"/>
              <w:right w:val="single" w:sz="8" w:space="0" w:color="0659FF"/>
            </w:tcBorders>
          </w:tcPr>
          <w:p w14:paraId="0885A09A" w14:textId="77777777" w:rsidR="00491F7E" w:rsidRPr="00491F7E" w:rsidRDefault="00491F7E" w:rsidP="00491F7E">
            <w:pPr>
              <w:jc w:val="both"/>
              <w:rPr>
                <w:color w:val="000000"/>
              </w:rPr>
            </w:pPr>
            <w:r w:rsidRPr="00491F7E">
              <w:rPr>
                <w:color w:val="000000"/>
              </w:rPr>
              <w:t>Enhanced Log Aggregation and Analysis</w:t>
            </w:r>
          </w:p>
        </w:tc>
        <w:tc>
          <w:tcPr>
            <w:tcW w:w="4050" w:type="dxa"/>
            <w:vMerge/>
            <w:vAlign w:val="center"/>
          </w:tcPr>
          <w:p w14:paraId="096EEB8C"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r>
      <w:tr w:rsidR="00491F7E" w:rsidRPr="00491F7E" w14:paraId="2309F72B" w14:textId="77777777" w:rsidTr="005E6AC4">
        <w:trPr>
          <w:trHeight w:val="315"/>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659FF"/>
              <w:left w:val="single" w:sz="8" w:space="0" w:color="0659FF"/>
              <w:bottom w:val="single" w:sz="8" w:space="0" w:color="0659FF"/>
              <w:right w:val="single" w:sz="8" w:space="0" w:color="0659FF"/>
            </w:tcBorders>
          </w:tcPr>
          <w:p w14:paraId="1577BCA9" w14:textId="77777777" w:rsidR="00491F7E" w:rsidRPr="00491F7E" w:rsidRDefault="00491F7E" w:rsidP="00491F7E">
            <w:pPr>
              <w:jc w:val="both"/>
            </w:pPr>
            <w:r w:rsidRPr="00491F7E">
              <w:t xml:space="preserve">Backup Services </w:t>
            </w:r>
          </w:p>
        </w:tc>
        <w:tc>
          <w:tcPr>
            <w:tcW w:w="4050" w:type="dxa"/>
            <w:vMerge/>
            <w:vAlign w:val="center"/>
          </w:tcPr>
          <w:p w14:paraId="2D8D5BDD"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r w:rsidR="00491F7E" w:rsidRPr="00491F7E" w14:paraId="7BD1A408" w14:textId="77777777" w:rsidTr="005E6A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659FF"/>
              <w:left w:val="single" w:sz="8" w:space="0" w:color="0659FF"/>
              <w:bottom w:val="single" w:sz="8" w:space="0" w:color="0659FF"/>
              <w:right w:val="single" w:sz="8" w:space="0" w:color="0659FF"/>
            </w:tcBorders>
          </w:tcPr>
          <w:p w14:paraId="505BE3D8" w14:textId="77777777" w:rsidR="00491F7E" w:rsidRPr="00491F7E" w:rsidRDefault="00491F7E" w:rsidP="00491F7E">
            <w:pPr>
              <w:jc w:val="both"/>
              <w:rPr>
                <w:color w:val="000000"/>
              </w:rPr>
            </w:pPr>
            <w:r w:rsidRPr="00491F7E">
              <w:rPr>
                <w:color w:val="000000"/>
              </w:rPr>
              <w:t>Enhanced Data Encryption Services</w:t>
            </w:r>
          </w:p>
        </w:tc>
        <w:tc>
          <w:tcPr>
            <w:tcW w:w="4050" w:type="dxa"/>
            <w:vMerge/>
            <w:vAlign w:val="center"/>
          </w:tcPr>
          <w:p w14:paraId="7040AA49" w14:textId="77777777" w:rsidR="00491F7E" w:rsidRPr="00491F7E" w:rsidRDefault="00491F7E" w:rsidP="00491F7E">
            <w:pPr>
              <w:cnfStyle w:val="000000100000" w:firstRow="0" w:lastRow="0" w:firstColumn="0" w:lastColumn="0" w:oddVBand="0" w:evenVBand="0" w:oddHBand="1" w:evenHBand="0" w:firstRowFirstColumn="0" w:firstRowLastColumn="0" w:lastRowFirstColumn="0" w:lastRowLastColumn="0"/>
              <w:rPr>
                <w:rFonts w:ascii="Avenir Next LT Pro Light" w:eastAsia="MS Mincho" w:hAnsi="Avenir Next LT Pro Light" w:cs="Times New Roman"/>
              </w:rPr>
            </w:pPr>
          </w:p>
        </w:tc>
      </w:tr>
      <w:tr w:rsidR="00491F7E" w:rsidRPr="00491F7E" w14:paraId="773D233B" w14:textId="77777777" w:rsidTr="005E6AC4">
        <w:trPr>
          <w:trHeight w:val="67"/>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0659FF"/>
              <w:left w:val="single" w:sz="8" w:space="0" w:color="0659FF"/>
              <w:bottom w:val="single" w:sz="8" w:space="0" w:color="0659FF"/>
              <w:right w:val="single" w:sz="8" w:space="0" w:color="0659FF"/>
            </w:tcBorders>
          </w:tcPr>
          <w:p w14:paraId="348ECE4D" w14:textId="77777777" w:rsidR="00491F7E" w:rsidRPr="00491F7E" w:rsidRDefault="00491F7E" w:rsidP="00491F7E">
            <w:r w:rsidRPr="00491F7E">
              <w:t xml:space="preserve">Assured Compliance Assessment Solution (ACAS) </w:t>
            </w:r>
            <w:r w:rsidRPr="00491F7E">
              <w:rPr>
                <w:color w:val="000000"/>
              </w:rPr>
              <w:t>(GFE vulnerability scanning Software)</w:t>
            </w:r>
          </w:p>
        </w:tc>
        <w:tc>
          <w:tcPr>
            <w:tcW w:w="0" w:type="dxa"/>
            <w:vMerge/>
            <w:vAlign w:val="center"/>
          </w:tcPr>
          <w:p w14:paraId="658D4280" w14:textId="77777777" w:rsidR="00491F7E" w:rsidRPr="00491F7E" w:rsidRDefault="00491F7E" w:rsidP="00491F7E">
            <w:pPr>
              <w:cnfStyle w:val="000000000000" w:firstRow="0" w:lastRow="0" w:firstColumn="0" w:lastColumn="0" w:oddVBand="0" w:evenVBand="0" w:oddHBand="0" w:evenHBand="0" w:firstRowFirstColumn="0" w:firstRowLastColumn="0" w:lastRowFirstColumn="0" w:lastRowLastColumn="0"/>
              <w:rPr>
                <w:rFonts w:ascii="Avenir Next LT Pro Light" w:eastAsia="MS Mincho" w:hAnsi="Avenir Next LT Pro Light" w:cs="Times New Roman"/>
              </w:rPr>
            </w:pPr>
          </w:p>
        </w:tc>
      </w:tr>
      <w:tr w:rsidR="00491F7E" w:rsidRPr="00491F7E" w14:paraId="7DC7A842" w14:textId="77777777" w:rsidTr="005E6AC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sz="8" w:space="0" w:color="0659FF"/>
              <w:left w:val="single" w:sz="8" w:space="0" w:color="0659FF"/>
              <w:bottom w:val="single" w:sz="8" w:space="0" w:color="0659FF"/>
              <w:right w:val="single" w:sz="8" w:space="0" w:color="0659FF"/>
            </w:tcBorders>
          </w:tcPr>
          <w:p w14:paraId="7F7D7C80" w14:textId="77777777" w:rsidR="00491F7E" w:rsidRPr="00491F7E" w:rsidRDefault="00491F7E" w:rsidP="00491F7E">
            <w:pPr>
              <w:rPr>
                <w:rFonts w:ascii="Avenir Next LT Pro Light" w:eastAsia="MS Mincho" w:hAnsi="Avenir Next LT Pro Light" w:cs="Times New Roman"/>
              </w:rPr>
            </w:pPr>
            <w:r w:rsidRPr="00491F7E">
              <w:rPr>
                <w:color w:val="000000"/>
              </w:rPr>
              <w:lastRenderedPageBreak/>
              <w:t>Infrastructure Provisioning Service</w:t>
            </w:r>
          </w:p>
        </w:tc>
        <w:tc>
          <w:tcPr>
            <w:tcW w:w="4050" w:type="dxa"/>
            <w:tcBorders>
              <w:top w:val="nil"/>
              <w:left w:val="single" w:sz="8" w:space="0" w:color="0659FF"/>
              <w:bottom w:val="single" w:sz="8" w:space="0" w:color="0659FF"/>
              <w:right w:val="single" w:sz="8" w:space="0" w:color="0659FF"/>
            </w:tcBorders>
          </w:tcPr>
          <w:p w14:paraId="0C1E3443" w14:textId="77777777" w:rsidR="00491F7E" w:rsidRPr="00491F7E" w:rsidRDefault="00491F7E" w:rsidP="00491F7E">
            <w:pPr>
              <w:jc w:val="center"/>
              <w:cnfStyle w:val="000000100000" w:firstRow="0" w:lastRow="0" w:firstColumn="0" w:lastColumn="0" w:oddVBand="0" w:evenVBand="0" w:oddHBand="1" w:evenHBand="0" w:firstRowFirstColumn="0" w:firstRowLastColumn="0" w:lastRowFirstColumn="0" w:lastRowLastColumn="0"/>
              <w:rPr>
                <w:color w:val="000000"/>
              </w:rPr>
            </w:pPr>
            <w:r w:rsidRPr="00491F7E">
              <w:rPr>
                <w:color w:val="000000"/>
              </w:rPr>
              <w:t>$50/Provisioning Request</w:t>
            </w:r>
          </w:p>
        </w:tc>
      </w:tr>
    </w:tbl>
    <w:p w14:paraId="6F8ED579" w14:textId="0F1E4949" w:rsidR="00491F7E" w:rsidRPr="00491F7E" w:rsidRDefault="00491F7E" w:rsidP="00491F7E">
      <w:pPr>
        <w:widowControl/>
        <w:autoSpaceDE/>
        <w:autoSpaceDN/>
        <w:spacing w:after="200" w:line="259" w:lineRule="auto"/>
        <w:jc w:val="center"/>
        <w:rPr>
          <w:rFonts w:cs="Times New Roman"/>
          <w:b/>
          <w:bCs/>
          <w:color w:val="4F81BD"/>
          <w:sz w:val="18"/>
          <w:szCs w:val="18"/>
        </w:rPr>
      </w:pPr>
      <w:r w:rsidRPr="00491F7E">
        <w:rPr>
          <w:rFonts w:eastAsia="SimSun" w:cs="Times New Roman"/>
          <w:b/>
          <w:bCs/>
          <w:color w:val="4F81BD"/>
          <w:sz w:val="18"/>
          <w:szCs w:val="18"/>
        </w:rPr>
        <w:t xml:space="preserve">Table </w:t>
      </w:r>
      <w:r w:rsidRPr="00491F7E">
        <w:rPr>
          <w:rFonts w:eastAsia="SimSun" w:cs="Times New Roman"/>
          <w:b/>
          <w:bCs/>
          <w:color w:val="4F81BD"/>
          <w:sz w:val="18"/>
          <w:szCs w:val="18"/>
        </w:rPr>
        <w:fldChar w:fldCharType="begin"/>
      </w:r>
      <w:r w:rsidRPr="00491F7E">
        <w:rPr>
          <w:rFonts w:eastAsia="SimSun" w:cs="Times New Roman"/>
          <w:b/>
          <w:bCs/>
          <w:color w:val="4F81BD"/>
          <w:sz w:val="18"/>
          <w:szCs w:val="18"/>
        </w:rPr>
        <w:instrText>SEQ Table \* ARABIC</w:instrText>
      </w:r>
      <w:r w:rsidRPr="00491F7E">
        <w:rPr>
          <w:rFonts w:eastAsia="SimSun" w:cs="Times New Roman"/>
          <w:b/>
          <w:bCs/>
          <w:color w:val="4F81BD"/>
          <w:sz w:val="18"/>
          <w:szCs w:val="18"/>
        </w:rPr>
        <w:fldChar w:fldCharType="separate"/>
      </w:r>
      <w:r w:rsidR="00A56B90">
        <w:rPr>
          <w:rFonts w:eastAsia="SimSun" w:cs="Times New Roman"/>
          <w:b/>
          <w:bCs/>
          <w:noProof/>
          <w:color w:val="4F81BD"/>
          <w:sz w:val="18"/>
          <w:szCs w:val="18"/>
        </w:rPr>
        <w:t>7</w:t>
      </w:r>
      <w:r w:rsidRPr="00491F7E">
        <w:rPr>
          <w:rFonts w:eastAsia="SimSun" w:cs="Times New Roman"/>
          <w:b/>
          <w:bCs/>
          <w:color w:val="4F81BD"/>
          <w:sz w:val="18"/>
          <w:szCs w:val="18"/>
        </w:rPr>
        <w:fldChar w:fldCharType="end"/>
      </w:r>
      <w:r w:rsidRPr="00491F7E">
        <w:rPr>
          <w:rFonts w:eastAsia="SimSun" w:cs="Times New Roman"/>
          <w:b/>
          <w:bCs/>
          <w:color w:val="4F81BD"/>
          <w:sz w:val="18"/>
          <w:szCs w:val="18"/>
        </w:rPr>
        <w:t>. Department of Defense IL4 Managed Services</w:t>
      </w:r>
    </w:p>
    <w:p w14:paraId="55A07991" w14:textId="77777777" w:rsidR="00491F7E" w:rsidRPr="00491F7E" w:rsidRDefault="00491F7E" w:rsidP="00491F7E">
      <w:pPr>
        <w:keepNext/>
        <w:widowControl/>
        <w:numPr>
          <w:ilvl w:val="1"/>
          <w:numId w:val="0"/>
        </w:numPr>
        <w:autoSpaceDE/>
        <w:autoSpaceDN/>
        <w:spacing w:before="240" w:after="160" w:line="259" w:lineRule="auto"/>
        <w:ind w:left="576" w:hanging="576"/>
        <w:jc w:val="both"/>
        <w:outlineLvl w:val="1"/>
        <w:rPr>
          <w:rFonts w:ascii="Arial" w:hAnsi="Arial" w:cs="Avenir Next LT Pro Light"/>
          <w:b/>
          <w:bCs/>
          <w:caps/>
          <w:kern w:val="32"/>
          <w:sz w:val="24"/>
          <w:szCs w:val="24"/>
        </w:rPr>
      </w:pPr>
      <w:r w:rsidRPr="00491F7E">
        <w:rPr>
          <w:rFonts w:ascii="Arial" w:hAnsi="Arial" w:cs="Arial"/>
          <w:b/>
          <w:bCs/>
          <w:caps/>
          <w:kern w:val="32"/>
          <w:sz w:val="24"/>
          <w:szCs w:val="24"/>
        </w:rPr>
        <w:t xml:space="preserve">Pricing </w:t>
      </w:r>
      <w:r w:rsidRPr="00491F7E">
        <w:rPr>
          <w:rFonts w:ascii="Arial" w:hAnsi="Arial" w:cs="Times New Roman"/>
          <w:b/>
          <w:bCs/>
          <w:caps/>
          <w:kern w:val="32"/>
          <w:sz w:val="24"/>
          <w:szCs w:val="24"/>
        </w:rPr>
        <w:t>Notes:</w:t>
      </w:r>
    </w:p>
    <w:p w14:paraId="08649E33" w14:textId="77777777" w:rsidR="00491F7E" w:rsidRPr="00491F7E" w:rsidRDefault="00491F7E" w:rsidP="00491F7E">
      <w:pPr>
        <w:widowControl/>
        <w:numPr>
          <w:ilvl w:val="0"/>
          <w:numId w:val="22"/>
        </w:numPr>
        <w:autoSpaceDE/>
        <w:autoSpaceDN/>
        <w:spacing w:after="120" w:line="259" w:lineRule="auto"/>
        <w:jc w:val="both"/>
        <w:rPr>
          <w:rFonts w:ascii="Avenir Next LT Pro Light" w:eastAsia="Arial" w:hAnsi="Avenir Next LT Pro Light" w:cs="Avenir Next LT Pro Light"/>
          <w:sz w:val="20"/>
          <w:szCs w:val="20"/>
        </w:rPr>
      </w:pPr>
      <w:r w:rsidRPr="00491F7E">
        <w:rPr>
          <w:rFonts w:ascii="Avenir Next LT Pro Light" w:eastAsia="Arial" w:hAnsi="Avenir Next LT Pro Light" w:cs="Avenir Next LT Pro Light"/>
          <w:sz w:val="20"/>
          <w:szCs w:val="20"/>
        </w:rPr>
        <w:t>Customized service/pricing for customer environments that have reduced requirements, e.g., Development, Test, Quality Assurance, or Labs is available.</w:t>
      </w:r>
    </w:p>
    <w:p w14:paraId="1715BAEF" w14:textId="77777777" w:rsidR="00491F7E" w:rsidRPr="00491F7E" w:rsidRDefault="00491F7E" w:rsidP="00491F7E">
      <w:pPr>
        <w:widowControl/>
        <w:numPr>
          <w:ilvl w:val="0"/>
          <w:numId w:val="22"/>
        </w:numPr>
        <w:autoSpaceDE/>
        <w:autoSpaceDN/>
        <w:spacing w:after="120" w:line="259" w:lineRule="auto"/>
        <w:jc w:val="both"/>
        <w:rPr>
          <w:rFonts w:ascii="Avenir Next LT Pro Light" w:eastAsia="Arial" w:hAnsi="Avenir Next LT Pro Light" w:cs="Avenir Next LT Pro Light"/>
          <w:sz w:val="20"/>
          <w:szCs w:val="20"/>
        </w:rPr>
      </w:pPr>
      <w:r w:rsidRPr="00491F7E">
        <w:rPr>
          <w:rFonts w:ascii="Avenir Next LT Pro Light" w:eastAsia="Arial" w:hAnsi="Avenir Next LT Pro Light" w:cs="Avenir Next LT Pro Light"/>
          <w:sz w:val="20"/>
          <w:szCs w:val="20"/>
        </w:rPr>
        <w:t>SMX will reserve one AWS resource tag for use in the management of the resources.</w:t>
      </w:r>
    </w:p>
    <w:p w14:paraId="37B12357" w14:textId="77777777" w:rsidR="00491F7E" w:rsidRPr="00491F7E" w:rsidRDefault="00491F7E" w:rsidP="00491F7E">
      <w:pPr>
        <w:widowControl/>
        <w:numPr>
          <w:ilvl w:val="0"/>
          <w:numId w:val="22"/>
        </w:numPr>
        <w:autoSpaceDE/>
        <w:autoSpaceDN/>
        <w:spacing w:after="120" w:line="259" w:lineRule="auto"/>
        <w:contextualSpacing/>
        <w:jc w:val="both"/>
        <w:rPr>
          <w:rFonts w:ascii="Avenir Next LT Pro Light" w:eastAsia="Arial" w:hAnsi="Avenir Next LT Pro Light" w:cs="Times New Roman"/>
          <w:sz w:val="20"/>
          <w:szCs w:val="20"/>
        </w:rPr>
      </w:pPr>
      <w:r w:rsidRPr="00491F7E">
        <w:rPr>
          <w:rFonts w:ascii="Avenir Next LT Pro Light" w:eastAsia="Arial" w:hAnsi="Avenir Next LT Pro Light" w:cs="Times New Roman"/>
          <w:sz w:val="20"/>
          <w:szCs w:val="20"/>
        </w:rPr>
        <w:t xml:space="preserve">An instance is a system running in the Cloud that has an operating system capable of being patched or having an agent deployed. This can be a standard </w:t>
      </w:r>
      <w:bookmarkStart w:id="43" w:name="_Int_f7CXU8gt"/>
      <w:r w:rsidRPr="00491F7E">
        <w:rPr>
          <w:rFonts w:ascii="Avenir Next LT Pro Light" w:eastAsia="Arial" w:hAnsi="Avenir Next LT Pro Light" w:cs="Times New Roman"/>
          <w:sz w:val="20"/>
          <w:szCs w:val="20"/>
        </w:rPr>
        <w:t>compute</w:t>
      </w:r>
      <w:bookmarkEnd w:id="43"/>
      <w:r w:rsidRPr="00491F7E">
        <w:rPr>
          <w:rFonts w:ascii="Avenir Next LT Pro Light" w:eastAsia="Arial" w:hAnsi="Avenir Next LT Pro Light" w:cs="Times New Roman"/>
          <w:sz w:val="20"/>
          <w:szCs w:val="20"/>
        </w:rPr>
        <w:t xml:space="preserve"> instance (e.g., AWS EC2), or instances generated by other services (e.g., EMR, Docker host, or Elastic Beanstalk). The monthly instance cost is calculated as the total instance hours in an account covered by the Account Services divided by 730 hrs. (the average number of hours in a month). To streamline service delivery, all machine images will need to be configured with pre-defined management tools and tagging. </w:t>
      </w:r>
    </w:p>
    <w:p w14:paraId="21A58325" w14:textId="77777777" w:rsidR="00491F7E" w:rsidRPr="00491F7E" w:rsidRDefault="00491F7E" w:rsidP="00491F7E">
      <w:pPr>
        <w:widowControl/>
        <w:numPr>
          <w:ilvl w:val="0"/>
          <w:numId w:val="22"/>
        </w:numPr>
        <w:autoSpaceDE/>
        <w:autoSpaceDN/>
        <w:spacing w:after="120" w:line="259" w:lineRule="auto"/>
        <w:jc w:val="both"/>
        <w:rPr>
          <w:rFonts w:ascii="Avenir Next LT Pro Light" w:eastAsia="Arial" w:hAnsi="Avenir Next LT Pro Light" w:cs="Avenir Next LT Pro Light"/>
          <w:sz w:val="20"/>
          <w:szCs w:val="20"/>
        </w:rPr>
      </w:pPr>
      <w:r w:rsidRPr="00491F7E">
        <w:rPr>
          <w:rFonts w:ascii="Avenir Next LT Pro Light" w:eastAsia="Arial" w:hAnsi="Avenir Next LT Pro Light" w:cs="Avenir Next LT Pro Light"/>
          <w:sz w:val="20"/>
          <w:szCs w:val="20"/>
        </w:rPr>
        <w:t xml:space="preserve">ELEVATE is deployed to customer CSP accounts via Terraform infrastructure as code templates. This enables SMX to expedite customer onboarding and to ensure quality through a templatized, tested, and automated workflow. </w:t>
      </w:r>
    </w:p>
    <w:p w14:paraId="65A4E14E" w14:textId="77777777" w:rsidR="00491F7E" w:rsidRPr="00491F7E" w:rsidRDefault="00491F7E" w:rsidP="00491F7E">
      <w:pPr>
        <w:widowControl/>
        <w:numPr>
          <w:ilvl w:val="0"/>
          <w:numId w:val="22"/>
        </w:numPr>
        <w:autoSpaceDE/>
        <w:autoSpaceDN/>
        <w:spacing w:after="120" w:line="259" w:lineRule="auto"/>
        <w:jc w:val="both"/>
        <w:rPr>
          <w:rFonts w:ascii="Avenir Next LT Pro Light" w:eastAsia="Arial" w:hAnsi="Avenir Next LT Pro Light" w:cs="Avenir Next LT Pro Light"/>
          <w:sz w:val="20"/>
          <w:szCs w:val="20"/>
        </w:rPr>
      </w:pPr>
      <w:r w:rsidRPr="00491F7E">
        <w:rPr>
          <w:rFonts w:ascii="Avenir Next LT Pro Light" w:eastAsia="Arial" w:hAnsi="Avenir Next LT Pro Light" w:cs="Avenir Next LT Pro Light"/>
          <w:sz w:val="20"/>
          <w:szCs w:val="20"/>
        </w:rPr>
        <w:t>For AWS environments, clients are required to enable AWS Guard Duty, Security Hub, Config, CloudTrail, CloudWatch, network flow logs, and allow SMX to install AWS CloudWatch agent, AWS SSM agent, and AWS Inspector Agent on managed instances in regions that run services supported by SMX.</w:t>
      </w:r>
    </w:p>
    <w:p w14:paraId="01645664" w14:textId="77777777" w:rsidR="00491F7E" w:rsidRPr="00491F7E" w:rsidRDefault="00491F7E" w:rsidP="00491F7E">
      <w:pPr>
        <w:widowControl/>
        <w:numPr>
          <w:ilvl w:val="0"/>
          <w:numId w:val="22"/>
        </w:numPr>
        <w:autoSpaceDE/>
        <w:autoSpaceDN/>
        <w:spacing w:after="120" w:line="259" w:lineRule="auto"/>
        <w:jc w:val="both"/>
        <w:rPr>
          <w:rFonts w:ascii="Avenir Next LT Pro Light" w:eastAsia="Arial" w:hAnsi="Avenir Next LT Pro Light" w:cs="Avenir Next LT Pro Light"/>
          <w:sz w:val="20"/>
          <w:szCs w:val="20"/>
        </w:rPr>
      </w:pPr>
      <w:r w:rsidRPr="00491F7E">
        <w:rPr>
          <w:rFonts w:ascii="Avenir Next LT Pro Light" w:eastAsia="Arial" w:hAnsi="Avenir Next LT Pro Light" w:cs="Avenir Next LT Pro Light"/>
          <w:sz w:val="20"/>
          <w:szCs w:val="20"/>
        </w:rPr>
        <w:t xml:space="preserve">For Azure environments, clients are required to enable AWS Security Center, Log Analytics, Monitor, Application Insights, Azure Automation, Logic Apps, and Functions, Recovery Services Vault, Lighthouse, and Qualys in regions that run services supported by SMX </w:t>
      </w:r>
    </w:p>
    <w:p w14:paraId="0152E0C5" w14:textId="77777777" w:rsidR="00491F7E" w:rsidRPr="00491F7E" w:rsidRDefault="00491F7E" w:rsidP="00491F7E">
      <w:pPr>
        <w:widowControl/>
        <w:numPr>
          <w:ilvl w:val="0"/>
          <w:numId w:val="22"/>
        </w:numPr>
        <w:autoSpaceDE/>
        <w:autoSpaceDN/>
        <w:spacing w:after="120" w:line="259" w:lineRule="auto"/>
        <w:contextualSpacing/>
        <w:jc w:val="both"/>
        <w:rPr>
          <w:rFonts w:ascii="Avenir Next LT Pro Light" w:eastAsia="Arial" w:hAnsi="Avenir Next LT Pro Light" w:cs="Times New Roman"/>
          <w:sz w:val="20"/>
          <w:szCs w:val="20"/>
        </w:rPr>
      </w:pPr>
      <w:r w:rsidRPr="00491F7E">
        <w:rPr>
          <w:rFonts w:ascii="Avenir Next LT Pro Light" w:eastAsia="Arial" w:hAnsi="Avenir Next LT Pro Light" w:cs="Times New Roman"/>
          <w:sz w:val="20"/>
          <w:szCs w:val="20"/>
        </w:rPr>
        <w:t>SMX ELEVATE will leverage a centralized IdP with MFA enabled login to gain access to the customer CSP account. All actions performed in the customer CSP account will be logged and retained in the customer account for audit purposes.</w:t>
      </w:r>
    </w:p>
    <w:p w14:paraId="6385A003" w14:textId="77777777" w:rsidR="00491F7E" w:rsidRPr="00491F7E" w:rsidRDefault="00491F7E" w:rsidP="00491F7E">
      <w:pPr>
        <w:widowControl/>
        <w:numPr>
          <w:ilvl w:val="0"/>
          <w:numId w:val="22"/>
        </w:numPr>
        <w:autoSpaceDE/>
        <w:autoSpaceDN/>
        <w:spacing w:after="120" w:line="259" w:lineRule="auto"/>
        <w:jc w:val="both"/>
        <w:rPr>
          <w:rFonts w:ascii="Avenir Next LT Pro Light" w:eastAsia="Arial" w:hAnsi="Avenir Next LT Pro Light" w:cs="Avenir Next LT Pro Light"/>
          <w:sz w:val="20"/>
          <w:szCs w:val="20"/>
        </w:rPr>
      </w:pPr>
      <w:r w:rsidRPr="00491F7E">
        <w:rPr>
          <w:rFonts w:ascii="Avenir Next LT Pro Light" w:eastAsia="Arial" w:hAnsi="Avenir Next LT Pro Light" w:cs="Avenir Next LT Pro Light"/>
          <w:sz w:val="20"/>
          <w:szCs w:val="20"/>
        </w:rPr>
        <w:t xml:space="preserve">Micro services (AWS lambda) will execute service automation tasks within the account to enable instance monitoring, snapshots/backups, and creation of alarms to create event notifications. </w:t>
      </w:r>
    </w:p>
    <w:p w14:paraId="18586C24" w14:textId="77777777" w:rsidR="00491F7E" w:rsidRPr="00491F7E" w:rsidRDefault="00491F7E" w:rsidP="00491F7E">
      <w:pPr>
        <w:widowControl/>
        <w:numPr>
          <w:ilvl w:val="0"/>
          <w:numId w:val="22"/>
        </w:numPr>
        <w:autoSpaceDE/>
        <w:autoSpaceDN/>
        <w:spacing w:after="120" w:line="259" w:lineRule="auto"/>
        <w:jc w:val="both"/>
        <w:rPr>
          <w:rFonts w:ascii="Avenir Next LT Pro Light" w:eastAsia="Arial" w:hAnsi="Avenir Next LT Pro Light" w:cs="Avenir Next LT Pro Light"/>
          <w:sz w:val="20"/>
          <w:szCs w:val="20"/>
        </w:rPr>
      </w:pPr>
      <w:r w:rsidRPr="00491F7E">
        <w:rPr>
          <w:rFonts w:ascii="Avenir Next LT Pro Light" w:eastAsia="Arial" w:hAnsi="Avenir Next LT Pro Light" w:cs="Avenir Next LT Pro Light"/>
          <w:sz w:val="20"/>
          <w:szCs w:val="20"/>
        </w:rPr>
        <w:t xml:space="preserve">Clients are responsible for notifying SMX immediately when they have received a Security notification from a Cloud Service provider or a creditable threat has emerged outside the MSP, MSSP monitoring services. </w:t>
      </w:r>
    </w:p>
    <w:p w14:paraId="13397287" w14:textId="77777777" w:rsidR="00491F7E" w:rsidRPr="00491F7E" w:rsidRDefault="00491F7E" w:rsidP="00491F7E">
      <w:pPr>
        <w:widowControl/>
        <w:numPr>
          <w:ilvl w:val="0"/>
          <w:numId w:val="22"/>
        </w:numPr>
        <w:autoSpaceDE/>
        <w:autoSpaceDN/>
        <w:spacing w:after="120" w:line="259" w:lineRule="auto"/>
        <w:jc w:val="both"/>
        <w:rPr>
          <w:rFonts w:ascii="Avenir Next LT Pro Light" w:eastAsia="Arial" w:hAnsi="Avenir Next LT Pro Light" w:cs="Avenir Next LT Pro Light"/>
          <w:sz w:val="20"/>
          <w:szCs w:val="20"/>
        </w:rPr>
      </w:pPr>
      <w:r w:rsidRPr="00491F7E">
        <w:rPr>
          <w:rFonts w:ascii="Avenir Next LT Pro Light" w:eastAsia="Arial" w:hAnsi="Avenir Next LT Pro Light" w:cs="Avenir Next LT Pro Light"/>
          <w:sz w:val="20"/>
          <w:szCs w:val="20"/>
        </w:rPr>
        <w:t xml:space="preserve">Clients are responsible for encryption of all data transmitted to SMX or in client defined storage environments. </w:t>
      </w:r>
    </w:p>
    <w:p w14:paraId="1DEB6988" w14:textId="77777777" w:rsidR="00491F7E" w:rsidRPr="00491F7E" w:rsidRDefault="00491F7E" w:rsidP="00491F7E">
      <w:pPr>
        <w:widowControl/>
        <w:numPr>
          <w:ilvl w:val="0"/>
          <w:numId w:val="22"/>
        </w:numPr>
        <w:autoSpaceDE/>
        <w:autoSpaceDN/>
        <w:spacing w:after="120" w:line="259" w:lineRule="auto"/>
        <w:jc w:val="both"/>
        <w:rPr>
          <w:rFonts w:ascii="Avenir Next LT Pro Light" w:eastAsia="Arial" w:hAnsi="Avenir Next LT Pro Light" w:cs="Avenir Next LT Pro Light"/>
          <w:sz w:val="20"/>
          <w:szCs w:val="20"/>
        </w:rPr>
      </w:pPr>
      <w:r w:rsidRPr="00491F7E">
        <w:rPr>
          <w:rFonts w:ascii="Avenir Next LT Pro Light" w:eastAsia="Arial" w:hAnsi="Avenir Next LT Pro Light" w:cs="Avenir Next LT Pro Light"/>
          <w:sz w:val="20"/>
          <w:szCs w:val="20"/>
        </w:rPr>
        <w:t xml:space="preserve">Clients are responsible for maintaining Root Access and providing SMX Access to act as their agent with named accounts. </w:t>
      </w:r>
    </w:p>
    <w:sectPr w:rsidR="00491F7E" w:rsidRPr="00491F7E">
      <w:pgSz w:w="12240" w:h="15840"/>
      <w:pgMar w:top="1440" w:right="13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6B7D4" w14:textId="77777777" w:rsidR="00EC39F7" w:rsidRDefault="00EC39F7">
      <w:r>
        <w:separator/>
      </w:r>
    </w:p>
  </w:endnote>
  <w:endnote w:type="continuationSeparator" w:id="0">
    <w:p w14:paraId="7C814632" w14:textId="77777777" w:rsidR="00EC39F7" w:rsidRDefault="00EC3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altName w:val="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 Next LT Pro">
    <w:charset w:val="00"/>
    <w:family w:val="swiss"/>
    <w:pitch w:val="variable"/>
    <w:sig w:usb0="800000EF" w:usb1="5000204A" w:usb2="00000000" w:usb3="00000000" w:csb0="00000093" w:csb1="00000000"/>
  </w:font>
  <w:font w:name="Poppins">
    <w:charset w:val="00"/>
    <w:family w:val="auto"/>
    <w:pitch w:val="variable"/>
    <w:sig w:usb0="00008007" w:usb1="00000000" w:usb2="00000000" w:usb3="00000000" w:csb0="00000093" w:csb1="00000000"/>
  </w:font>
  <w:font w:name="Avenir Next LT Pro Light">
    <w:charset w:val="00"/>
    <w:family w:val="swiss"/>
    <w:pitch w:val="variable"/>
    <w:sig w:usb0="A00000EF" w:usb1="5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E9A8" w14:textId="77777777" w:rsidR="00A3350E" w:rsidRPr="00155F4A" w:rsidRDefault="00491F7E" w:rsidP="003C2C6F">
    <w:pPr>
      <w:pStyle w:val="Footer1"/>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9119" w14:textId="77777777" w:rsidR="00A3350E" w:rsidRDefault="00A3350E">
    <w:pPr>
      <w:pStyle w:val="Footer1"/>
      <w:jc w:val="center"/>
    </w:pPr>
  </w:p>
  <w:p w14:paraId="09DE3F8E" w14:textId="77777777" w:rsidR="00A3350E" w:rsidRPr="00613C74" w:rsidRDefault="00491F7E" w:rsidP="00613C74">
    <w:pPr>
      <w:pStyle w:val="Footer1"/>
    </w:pPr>
    <w:r w:rsidRPr="00BB772D">
      <w:t>C-6-01-02</w:t>
    </w:r>
    <w:r>
      <w:tab/>
    </w:r>
    <w:r>
      <w:fldChar w:fldCharType="begin"/>
    </w:r>
    <w:r>
      <w:instrText xml:space="preserve"> PAGE   \* MERGEFORMAT </w:instrText>
    </w:r>
    <w:r>
      <w:fldChar w:fldCharType="separate"/>
    </w:r>
    <w:r>
      <w:rPr>
        <w:noProof/>
      </w:rPr>
      <w:t>1</w:t>
    </w:r>
    <w:r>
      <w:rPr>
        <w:noProof/>
      </w:rPr>
      <w:fldChar w:fldCharType="end"/>
    </w:r>
    <w:r>
      <w:rPr>
        <w:noProof/>
      </w:rPr>
      <w:tab/>
    </w:r>
    <w:r>
      <w:t>Revision 10, 8/15/2023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611A1" w14:textId="77777777" w:rsidR="00EC39F7" w:rsidRDefault="00EC39F7">
      <w:r>
        <w:separator/>
      </w:r>
    </w:p>
  </w:footnote>
  <w:footnote w:type="continuationSeparator" w:id="0">
    <w:p w14:paraId="2CDE3609" w14:textId="77777777" w:rsidR="00EC39F7" w:rsidRDefault="00EC3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1EDCA" w14:textId="77777777" w:rsidR="00A3350E" w:rsidRDefault="00491F7E" w:rsidP="00266F89">
    <w:pPr>
      <w:pStyle w:val="Header1"/>
    </w:pPr>
    <w:r w:rsidRPr="00244696">
      <w:rPr>
        <w:noProof/>
      </w:rPr>
      <mc:AlternateContent>
        <mc:Choice Requires="wps">
          <w:drawing>
            <wp:anchor distT="0" distB="0" distL="114300" distR="114300" simplePos="0" relativeHeight="251659264" behindDoc="0" locked="0" layoutInCell="1" allowOverlap="1" wp14:anchorId="58AB8677" wp14:editId="475257F9">
              <wp:simplePos x="0" y="0"/>
              <wp:positionH relativeFrom="margin">
                <wp:posOffset>-789305</wp:posOffset>
              </wp:positionH>
              <wp:positionV relativeFrom="paragraph">
                <wp:posOffset>-338455</wp:posOffset>
              </wp:positionV>
              <wp:extent cx="7501255" cy="1070610"/>
              <wp:effectExtent l="0" t="0" r="4445" b="0"/>
              <wp:wrapNone/>
              <wp:docPr id="16" name="Rectangle 16"/>
              <wp:cNvGraphicFramePr/>
              <a:graphic xmlns:a="http://schemas.openxmlformats.org/drawingml/2006/main">
                <a:graphicData uri="http://schemas.microsoft.com/office/word/2010/wordprocessingShape">
                  <wps:wsp>
                    <wps:cNvSpPr/>
                    <wps:spPr>
                      <a:xfrm>
                        <a:off x="0" y="0"/>
                        <a:ext cx="7501255" cy="1070610"/>
                      </a:xfrm>
                      <a:prstGeom prst="rect">
                        <a:avLst/>
                      </a:prstGeom>
                      <a:solidFill>
                        <a:srgbClr val="13385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1718" id="Rectangle 16" o:spid="_x0000_s1026" style="position:absolute;margin-left:-62.15pt;margin-top:-26.65pt;width:590.65pt;height:8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" fillcolor="#133857" stroked="f" strokeweight="1pt">
              <w10:wrap anchorx="margin"/>
            </v:rect>
          </w:pict>
        </mc:Fallback>
      </mc:AlternateContent>
    </w:r>
    <w:r w:rsidRPr="00244696">
      <w:rPr>
        <w:noProof/>
      </w:rPr>
      <w:drawing>
        <wp:anchor distT="0" distB="0" distL="114300" distR="114300" simplePos="0" relativeHeight="251660288" behindDoc="0" locked="0" layoutInCell="1" allowOverlap="1" wp14:anchorId="3D05D601" wp14:editId="23EFC972">
          <wp:simplePos x="0" y="0"/>
          <wp:positionH relativeFrom="column">
            <wp:posOffset>4608830</wp:posOffset>
          </wp:positionH>
          <wp:positionV relativeFrom="paragraph">
            <wp:posOffset>-314643</wp:posOffset>
          </wp:positionV>
          <wp:extent cx="2113915" cy="974090"/>
          <wp:effectExtent l="0" t="0" r="635" b="0"/>
          <wp:wrapNone/>
          <wp:docPr id="17" name="Picture 17" descr="A blue and pink line on a black background&#10;&#10;Description automatically generated">
            <a:extLst xmlns:a="http://schemas.openxmlformats.org/drawingml/2006/main">
              <a:ext uri="{FF2B5EF4-FFF2-40B4-BE49-F238E27FC236}">
                <a16:creationId xmlns:a16="http://schemas.microsoft.com/office/drawing/2014/main" id="{6C4C2CCA-4A3D-8342-AF41-784AD72D1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and pink line on a black background&#10;&#10;Description automatically generated">
                    <a:extLst>
                      <a:ext uri="{FF2B5EF4-FFF2-40B4-BE49-F238E27FC236}">
                        <a16:creationId xmlns:a16="http://schemas.microsoft.com/office/drawing/2014/main" id="{6C4C2CCA-4A3D-8342-AF41-784AD72D1A2A}"/>
                      </a:ext>
                    </a:extLst>
                  </pic:cNvPr>
                  <pic:cNvPicPr>
                    <a:picLocks noChangeAspect="1"/>
                  </pic:cNvPicPr>
                </pic:nvPicPr>
                <pic:blipFill rotWithShape="1">
                  <a:blip r:embed="rId1" cstate="screen">
                    <a:alphaModFix amt="78000"/>
                    <a:extLst>
                      <a:ext uri="{28A0092B-C50C-407E-A947-70E740481C1C}">
                        <a14:useLocalDpi xmlns:a14="http://schemas.microsoft.com/office/drawing/2010/main"/>
                      </a:ext>
                    </a:extLst>
                  </a:blip>
                  <a:srcRect t="13717" r="33861"/>
                  <a:stretch/>
                </pic:blipFill>
                <pic:spPr>
                  <a:xfrm>
                    <a:off x="0" y="0"/>
                    <a:ext cx="2113915" cy="974090"/>
                  </a:xfrm>
                  <a:prstGeom prst="rect">
                    <a:avLst/>
                  </a:prstGeom>
                  <a:effectLst/>
                </pic:spPr>
              </pic:pic>
            </a:graphicData>
          </a:graphic>
          <wp14:sizeRelH relativeFrom="margin">
            <wp14:pctWidth>0</wp14:pctWidth>
          </wp14:sizeRelH>
          <wp14:sizeRelV relativeFrom="margin">
            <wp14:pctHeight>0</wp14:pctHeight>
          </wp14:sizeRelV>
        </wp:anchor>
      </w:drawing>
    </w:r>
    <w:r w:rsidRPr="00244696">
      <w:rPr>
        <w:noProof/>
      </w:rPr>
      <w:drawing>
        <wp:anchor distT="0" distB="0" distL="114300" distR="114300" simplePos="0" relativeHeight="251661312" behindDoc="0" locked="0" layoutInCell="1" allowOverlap="1" wp14:anchorId="410FCF2A" wp14:editId="168B534E">
          <wp:simplePos x="0" y="0"/>
          <wp:positionH relativeFrom="margin">
            <wp:posOffset>-490220</wp:posOffset>
          </wp:positionH>
          <wp:positionV relativeFrom="paragraph">
            <wp:posOffset>37465</wp:posOffset>
          </wp:positionV>
          <wp:extent cx="1396365" cy="324485"/>
          <wp:effectExtent l="0" t="0" r="0" b="0"/>
          <wp:wrapNone/>
          <wp:docPr id="18" name="Picture 18" descr="A white letter t in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hite letter t in a black squ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96365" cy="324485"/>
                  </a:xfrm>
                  <a:prstGeom prst="rect">
                    <a:avLst/>
                  </a:prstGeom>
                </pic:spPr>
              </pic:pic>
            </a:graphicData>
          </a:graphic>
          <wp14:sizeRelH relativeFrom="margin">
            <wp14:pctWidth>0</wp14:pctWidth>
          </wp14:sizeRelH>
          <wp14:sizeRelV relativeFrom="margin">
            <wp14:pctHeight>0</wp14:pctHeight>
          </wp14:sizeRelV>
        </wp:anchor>
      </w:drawing>
    </w:r>
    <w:r w:rsidRPr="00244696">
      <w:rPr>
        <w:noProof/>
      </w:rPr>
      <w:drawing>
        <wp:anchor distT="0" distB="0" distL="114300" distR="114300" simplePos="0" relativeHeight="251662336" behindDoc="0" locked="0" layoutInCell="1" allowOverlap="1" wp14:anchorId="7A079107" wp14:editId="0F53B481">
          <wp:simplePos x="0" y="0"/>
          <wp:positionH relativeFrom="column">
            <wp:posOffset>4517072</wp:posOffset>
          </wp:positionH>
          <wp:positionV relativeFrom="paragraph">
            <wp:posOffset>-313055</wp:posOffset>
          </wp:positionV>
          <wp:extent cx="2216785" cy="1481455"/>
          <wp:effectExtent l="0" t="0" r="0" b="4445"/>
          <wp:wrapNone/>
          <wp:docPr id="19" name="Picture 19" descr="Looking up at a skyscraper&#10;&#10;Description automatically generated">
            <a:extLst xmlns:a="http://schemas.openxmlformats.org/drawingml/2006/main">
              <a:ext uri="{FF2B5EF4-FFF2-40B4-BE49-F238E27FC236}">
                <a16:creationId xmlns:a16="http://schemas.microsoft.com/office/drawing/2014/main" id="{1FE9A9E9-EE56-45B5-AA9E-101B76358D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Picture 19" descr="Looking up at a skyscraper&#10;&#10;Description automatically generated">
                    <a:extLst>
                      <a:ext uri="{FF2B5EF4-FFF2-40B4-BE49-F238E27FC236}">
                        <a16:creationId xmlns:a16="http://schemas.microsoft.com/office/drawing/2014/main" id="{1FE9A9E9-EE56-45B5-AA9E-101B76358D62}"/>
                      </a:ext>
                    </a:extLst>
                  </pic:cNvPr>
                  <pic:cNvPicPr>
                    <a:picLocks noGrp="1" noChangeAspect="1"/>
                  </pic:cNvPicPr>
                </pic:nvPicPr>
                <pic:blipFill>
                  <a:blip r:embed="rId3">
                    <a:extLst>
                      <a:ext uri="{28A0092B-C50C-407E-A947-70E740481C1C}">
                        <a14:useLocalDpi xmlns:a14="http://schemas.microsoft.com/office/drawing/2010/main" val="0"/>
                      </a:ext>
                    </a:extLst>
                  </a:blip>
                  <a:srcRect t="199" b="199"/>
                  <a:stretch>
                    <a:fillRect/>
                  </a:stretch>
                </pic:blipFill>
                <pic:spPr>
                  <a:xfrm>
                    <a:off x="0" y="0"/>
                    <a:ext cx="2216785" cy="1481455"/>
                  </a:xfrm>
                  <a:custGeom>
                    <a:avLst/>
                    <a:gdLst>
                      <a:gd name="connsiteX0" fmla="*/ 0 w 9285767"/>
                      <a:gd name="connsiteY0" fmla="*/ 6858000 h 13716000"/>
                      <a:gd name="connsiteX1" fmla="*/ 4642884 w 9285767"/>
                      <a:gd name="connsiteY1" fmla="*/ 0 h 13716000"/>
                      <a:gd name="connsiteX2" fmla="*/ 9285767 w 9285767"/>
                      <a:gd name="connsiteY2" fmla="*/ 0 h 13716000"/>
                      <a:gd name="connsiteX3" fmla="*/ 0 w 9285767"/>
                      <a:gd name="connsiteY3" fmla="*/ 13716000 h 13716000"/>
                      <a:gd name="connsiteX4" fmla="*/ 0 w 9285767"/>
                      <a:gd name="connsiteY4" fmla="*/ 6858000 h 13716000"/>
                      <a:gd name="connsiteX0" fmla="*/ 0 w 9392092"/>
                      <a:gd name="connsiteY0" fmla="*/ 4752754 h 13716000"/>
                      <a:gd name="connsiteX1" fmla="*/ 4749209 w 9392092"/>
                      <a:gd name="connsiteY1" fmla="*/ 0 h 13716000"/>
                      <a:gd name="connsiteX2" fmla="*/ 9392092 w 9392092"/>
                      <a:gd name="connsiteY2" fmla="*/ 0 h 13716000"/>
                      <a:gd name="connsiteX3" fmla="*/ 106325 w 9392092"/>
                      <a:gd name="connsiteY3" fmla="*/ 13716000 h 13716000"/>
                      <a:gd name="connsiteX4" fmla="*/ 0 w 9392092"/>
                      <a:gd name="connsiteY4" fmla="*/ 4752754 h 13716000"/>
                      <a:gd name="connsiteX0" fmla="*/ 8201247 w 17593339"/>
                      <a:gd name="connsiteY0" fmla="*/ 4752754 h 13716000"/>
                      <a:gd name="connsiteX1" fmla="*/ 0 w 17593339"/>
                      <a:gd name="connsiteY1" fmla="*/ 0 h 13716000"/>
                      <a:gd name="connsiteX2" fmla="*/ 17593339 w 17593339"/>
                      <a:gd name="connsiteY2" fmla="*/ 0 h 13716000"/>
                      <a:gd name="connsiteX3" fmla="*/ 8307572 w 17593339"/>
                      <a:gd name="connsiteY3" fmla="*/ 13716000 h 13716000"/>
                      <a:gd name="connsiteX4" fmla="*/ 8201247 w 17593339"/>
                      <a:gd name="connsiteY4" fmla="*/ 4752754 h 13716000"/>
                      <a:gd name="connsiteX0" fmla="*/ 8201247 w 10852298"/>
                      <a:gd name="connsiteY0" fmla="*/ 4752754 h 13716000"/>
                      <a:gd name="connsiteX1" fmla="*/ 0 w 10852298"/>
                      <a:gd name="connsiteY1" fmla="*/ 0 h 13716000"/>
                      <a:gd name="connsiteX2" fmla="*/ 10852298 w 10852298"/>
                      <a:gd name="connsiteY2" fmla="*/ 0 h 13716000"/>
                      <a:gd name="connsiteX3" fmla="*/ 8307572 w 10852298"/>
                      <a:gd name="connsiteY3" fmla="*/ 13716000 h 13716000"/>
                      <a:gd name="connsiteX4" fmla="*/ 8201247 w 10852298"/>
                      <a:gd name="connsiteY4" fmla="*/ 4752754 h 13716000"/>
                      <a:gd name="connsiteX0" fmla="*/ 8201247 w 10852298"/>
                      <a:gd name="connsiteY0" fmla="*/ 4752754 h 13716000"/>
                      <a:gd name="connsiteX1" fmla="*/ 0 w 10852298"/>
                      <a:gd name="connsiteY1" fmla="*/ 0 h 13716000"/>
                      <a:gd name="connsiteX2" fmla="*/ 10852298 w 10852298"/>
                      <a:gd name="connsiteY2" fmla="*/ 0 h 13716000"/>
                      <a:gd name="connsiteX3" fmla="*/ 8307572 w 10852298"/>
                      <a:gd name="connsiteY3" fmla="*/ 13716000 h 13716000"/>
                      <a:gd name="connsiteX4" fmla="*/ 8201247 w 10852298"/>
                      <a:gd name="connsiteY4" fmla="*/ 4752754 h 13716000"/>
                      <a:gd name="connsiteX0" fmla="*/ 8201247 w 17724466"/>
                      <a:gd name="connsiteY0" fmla="*/ 4752754 h 6868632"/>
                      <a:gd name="connsiteX1" fmla="*/ 0 w 17724466"/>
                      <a:gd name="connsiteY1" fmla="*/ 0 h 6868632"/>
                      <a:gd name="connsiteX2" fmla="*/ 10852298 w 17724466"/>
                      <a:gd name="connsiteY2" fmla="*/ 0 h 6868632"/>
                      <a:gd name="connsiteX3" fmla="*/ 17664223 w 17724466"/>
                      <a:gd name="connsiteY3" fmla="*/ 6868632 h 6868632"/>
                      <a:gd name="connsiteX4" fmla="*/ 8201247 w 17724466"/>
                      <a:gd name="connsiteY4" fmla="*/ 4752754 h 6868632"/>
                      <a:gd name="connsiteX0" fmla="*/ 8201247 w 17739110"/>
                      <a:gd name="connsiteY0" fmla="*/ 4752754 h 6868632"/>
                      <a:gd name="connsiteX1" fmla="*/ 0 w 17739110"/>
                      <a:gd name="connsiteY1" fmla="*/ 0 h 6868632"/>
                      <a:gd name="connsiteX2" fmla="*/ 10852298 w 17739110"/>
                      <a:gd name="connsiteY2" fmla="*/ 0 h 6868632"/>
                      <a:gd name="connsiteX3" fmla="*/ 17664223 w 17739110"/>
                      <a:gd name="connsiteY3" fmla="*/ 6868632 h 6868632"/>
                      <a:gd name="connsiteX4" fmla="*/ 8201247 w 17739110"/>
                      <a:gd name="connsiteY4" fmla="*/ 4752754 h 6868632"/>
                      <a:gd name="connsiteX0" fmla="*/ 8201247 w 17664223"/>
                      <a:gd name="connsiteY0" fmla="*/ 4752754 h 6868632"/>
                      <a:gd name="connsiteX1" fmla="*/ 0 w 17664223"/>
                      <a:gd name="connsiteY1" fmla="*/ 0 h 6868632"/>
                      <a:gd name="connsiteX2" fmla="*/ 10852298 w 17664223"/>
                      <a:gd name="connsiteY2" fmla="*/ 0 h 6868632"/>
                      <a:gd name="connsiteX3" fmla="*/ 17664223 w 17664223"/>
                      <a:gd name="connsiteY3" fmla="*/ 6868632 h 6868632"/>
                      <a:gd name="connsiteX4" fmla="*/ 8201247 w 17664223"/>
                      <a:gd name="connsiteY4" fmla="*/ 4752754 h 6868632"/>
                      <a:gd name="connsiteX0" fmla="*/ 8201247 w 17642959"/>
                      <a:gd name="connsiteY0" fmla="*/ 4752754 h 6996223"/>
                      <a:gd name="connsiteX1" fmla="*/ 0 w 17642959"/>
                      <a:gd name="connsiteY1" fmla="*/ 0 h 6996223"/>
                      <a:gd name="connsiteX2" fmla="*/ 10852298 w 17642959"/>
                      <a:gd name="connsiteY2" fmla="*/ 0 h 6996223"/>
                      <a:gd name="connsiteX3" fmla="*/ 17642959 w 17642959"/>
                      <a:gd name="connsiteY3" fmla="*/ 6996223 h 6996223"/>
                      <a:gd name="connsiteX4" fmla="*/ 8201247 w 17642959"/>
                      <a:gd name="connsiteY4" fmla="*/ 4752754 h 6996223"/>
                      <a:gd name="connsiteX0" fmla="*/ 8201247 w 17642959"/>
                      <a:gd name="connsiteY0" fmla="*/ 4752754 h 6996223"/>
                      <a:gd name="connsiteX1" fmla="*/ 0 w 17642959"/>
                      <a:gd name="connsiteY1" fmla="*/ 0 h 6996223"/>
                      <a:gd name="connsiteX2" fmla="*/ 10852298 w 17642959"/>
                      <a:gd name="connsiteY2" fmla="*/ 0 h 6996223"/>
                      <a:gd name="connsiteX3" fmla="*/ 17642959 w 17642959"/>
                      <a:gd name="connsiteY3" fmla="*/ 6996223 h 6996223"/>
                      <a:gd name="connsiteX4" fmla="*/ 8201247 w 17642959"/>
                      <a:gd name="connsiteY4" fmla="*/ 4752754 h 6996223"/>
                      <a:gd name="connsiteX0" fmla="*/ 8201247 w 17642959"/>
                      <a:gd name="connsiteY0" fmla="*/ 4752754 h 6996223"/>
                      <a:gd name="connsiteX1" fmla="*/ 0 w 17642959"/>
                      <a:gd name="connsiteY1" fmla="*/ 0 h 6996223"/>
                      <a:gd name="connsiteX2" fmla="*/ 10852298 w 17642959"/>
                      <a:gd name="connsiteY2" fmla="*/ 0 h 6996223"/>
                      <a:gd name="connsiteX3" fmla="*/ 17642959 w 17642959"/>
                      <a:gd name="connsiteY3" fmla="*/ 6996223 h 6996223"/>
                      <a:gd name="connsiteX4" fmla="*/ 8201247 w 17642959"/>
                      <a:gd name="connsiteY4" fmla="*/ 4752754 h 6996223"/>
                      <a:gd name="connsiteX0" fmla="*/ 10561675 w 17642959"/>
                      <a:gd name="connsiteY0" fmla="*/ 10749517 h 10749517"/>
                      <a:gd name="connsiteX1" fmla="*/ 0 w 17642959"/>
                      <a:gd name="connsiteY1" fmla="*/ 0 h 10749517"/>
                      <a:gd name="connsiteX2" fmla="*/ 10852298 w 17642959"/>
                      <a:gd name="connsiteY2" fmla="*/ 0 h 10749517"/>
                      <a:gd name="connsiteX3" fmla="*/ 17642959 w 17642959"/>
                      <a:gd name="connsiteY3" fmla="*/ 6996223 h 10749517"/>
                      <a:gd name="connsiteX4" fmla="*/ 10561675 w 17642959"/>
                      <a:gd name="connsiteY4" fmla="*/ 10749517 h 10749517"/>
                      <a:gd name="connsiteX0" fmla="*/ 10561675 w 17642959"/>
                      <a:gd name="connsiteY0" fmla="*/ 10749517 h 10749517"/>
                      <a:gd name="connsiteX1" fmla="*/ 0 w 17642959"/>
                      <a:gd name="connsiteY1" fmla="*/ 0 h 10749517"/>
                      <a:gd name="connsiteX2" fmla="*/ 10852298 w 17642959"/>
                      <a:gd name="connsiteY2" fmla="*/ 0 h 10749517"/>
                      <a:gd name="connsiteX3" fmla="*/ 17642959 w 17642959"/>
                      <a:gd name="connsiteY3" fmla="*/ 6996223 h 10749517"/>
                      <a:gd name="connsiteX4" fmla="*/ 10561675 w 17642959"/>
                      <a:gd name="connsiteY4" fmla="*/ 10749517 h 10749517"/>
                      <a:gd name="connsiteX0" fmla="*/ 10561675 w 17755873"/>
                      <a:gd name="connsiteY0" fmla="*/ 10749517 h 11238026"/>
                      <a:gd name="connsiteX1" fmla="*/ 0 w 17755873"/>
                      <a:gd name="connsiteY1" fmla="*/ 0 h 11238026"/>
                      <a:gd name="connsiteX2" fmla="*/ 10852298 w 17755873"/>
                      <a:gd name="connsiteY2" fmla="*/ 0 h 11238026"/>
                      <a:gd name="connsiteX3" fmla="*/ 17642959 w 17755873"/>
                      <a:gd name="connsiteY3" fmla="*/ 6996223 h 11238026"/>
                      <a:gd name="connsiteX4" fmla="*/ 14772169 w 17755873"/>
                      <a:gd name="connsiteY4" fmla="*/ 9165265 h 11238026"/>
                      <a:gd name="connsiteX5" fmla="*/ 10561675 w 17755873"/>
                      <a:gd name="connsiteY5" fmla="*/ 10749517 h 11238026"/>
                      <a:gd name="connsiteX0" fmla="*/ 10561675 w 17761069"/>
                      <a:gd name="connsiteY0" fmla="*/ 10749517 h 11489881"/>
                      <a:gd name="connsiteX1" fmla="*/ 0 w 17761069"/>
                      <a:gd name="connsiteY1" fmla="*/ 0 h 11489881"/>
                      <a:gd name="connsiteX2" fmla="*/ 10852298 w 17761069"/>
                      <a:gd name="connsiteY2" fmla="*/ 0 h 11489881"/>
                      <a:gd name="connsiteX3" fmla="*/ 17642959 w 17761069"/>
                      <a:gd name="connsiteY3" fmla="*/ 6996223 h 11489881"/>
                      <a:gd name="connsiteX4" fmla="*/ 14899760 w 17761069"/>
                      <a:gd name="connsiteY4" fmla="*/ 10441172 h 11489881"/>
                      <a:gd name="connsiteX5" fmla="*/ 10561675 w 17761069"/>
                      <a:gd name="connsiteY5" fmla="*/ 10749517 h 11489881"/>
                      <a:gd name="connsiteX0" fmla="*/ 10561675 w 17761069"/>
                      <a:gd name="connsiteY0" fmla="*/ 10749517 h 11654262"/>
                      <a:gd name="connsiteX1" fmla="*/ 0 w 17761069"/>
                      <a:gd name="connsiteY1" fmla="*/ 0 h 11654262"/>
                      <a:gd name="connsiteX2" fmla="*/ 10852298 w 17761069"/>
                      <a:gd name="connsiteY2" fmla="*/ 0 h 11654262"/>
                      <a:gd name="connsiteX3" fmla="*/ 17642959 w 17761069"/>
                      <a:gd name="connsiteY3" fmla="*/ 6996223 h 11654262"/>
                      <a:gd name="connsiteX4" fmla="*/ 14899760 w 17761069"/>
                      <a:gd name="connsiteY4" fmla="*/ 10441172 h 11654262"/>
                      <a:gd name="connsiteX5" fmla="*/ 10561675 w 17761069"/>
                      <a:gd name="connsiteY5" fmla="*/ 10749517 h 11654262"/>
                      <a:gd name="connsiteX0" fmla="*/ 10561675 w 17761069"/>
                      <a:gd name="connsiteY0" fmla="*/ 10749517 h 11744893"/>
                      <a:gd name="connsiteX1" fmla="*/ 0 w 17761069"/>
                      <a:gd name="connsiteY1" fmla="*/ 0 h 11744893"/>
                      <a:gd name="connsiteX2" fmla="*/ 10852298 w 17761069"/>
                      <a:gd name="connsiteY2" fmla="*/ 0 h 11744893"/>
                      <a:gd name="connsiteX3" fmla="*/ 17642959 w 17761069"/>
                      <a:gd name="connsiteY3" fmla="*/ 6996223 h 11744893"/>
                      <a:gd name="connsiteX4" fmla="*/ 14899760 w 17761069"/>
                      <a:gd name="connsiteY4" fmla="*/ 10441172 h 11744893"/>
                      <a:gd name="connsiteX5" fmla="*/ 10561675 w 17761069"/>
                      <a:gd name="connsiteY5" fmla="*/ 10749517 h 11744893"/>
                      <a:gd name="connsiteX0" fmla="*/ 10561675 w 17761069"/>
                      <a:gd name="connsiteY0" fmla="*/ 10749517 h 11763116"/>
                      <a:gd name="connsiteX1" fmla="*/ 0 w 17761069"/>
                      <a:gd name="connsiteY1" fmla="*/ 0 h 11763116"/>
                      <a:gd name="connsiteX2" fmla="*/ 10852298 w 17761069"/>
                      <a:gd name="connsiteY2" fmla="*/ 0 h 11763116"/>
                      <a:gd name="connsiteX3" fmla="*/ 17642959 w 17761069"/>
                      <a:gd name="connsiteY3" fmla="*/ 6996223 h 11763116"/>
                      <a:gd name="connsiteX4" fmla="*/ 14899760 w 17761069"/>
                      <a:gd name="connsiteY4" fmla="*/ 10441172 h 11763116"/>
                      <a:gd name="connsiteX5" fmla="*/ 10561675 w 17761069"/>
                      <a:gd name="connsiteY5" fmla="*/ 10749517 h 11763116"/>
                      <a:gd name="connsiteX0" fmla="*/ 10561675 w 17761069"/>
                      <a:gd name="connsiteY0" fmla="*/ 10749517 h 11775783"/>
                      <a:gd name="connsiteX1" fmla="*/ 0 w 17761069"/>
                      <a:gd name="connsiteY1" fmla="*/ 0 h 11775783"/>
                      <a:gd name="connsiteX2" fmla="*/ 10852298 w 17761069"/>
                      <a:gd name="connsiteY2" fmla="*/ 0 h 11775783"/>
                      <a:gd name="connsiteX3" fmla="*/ 17642959 w 17761069"/>
                      <a:gd name="connsiteY3" fmla="*/ 6996223 h 11775783"/>
                      <a:gd name="connsiteX4" fmla="*/ 14899760 w 17761069"/>
                      <a:gd name="connsiteY4" fmla="*/ 10441172 h 11775783"/>
                      <a:gd name="connsiteX5" fmla="*/ 10561675 w 17761069"/>
                      <a:gd name="connsiteY5" fmla="*/ 10749517 h 11775783"/>
                      <a:gd name="connsiteX0" fmla="*/ 10561675 w 17745330"/>
                      <a:gd name="connsiteY0" fmla="*/ 10749517 h 11923625"/>
                      <a:gd name="connsiteX1" fmla="*/ 0 w 17745330"/>
                      <a:gd name="connsiteY1" fmla="*/ 0 h 11923625"/>
                      <a:gd name="connsiteX2" fmla="*/ 10852298 w 17745330"/>
                      <a:gd name="connsiteY2" fmla="*/ 0 h 11923625"/>
                      <a:gd name="connsiteX3" fmla="*/ 17642959 w 17745330"/>
                      <a:gd name="connsiteY3" fmla="*/ 6996223 h 11923625"/>
                      <a:gd name="connsiteX4" fmla="*/ 14474458 w 17745330"/>
                      <a:gd name="connsiteY4" fmla="*/ 10802679 h 11923625"/>
                      <a:gd name="connsiteX5" fmla="*/ 10561675 w 17745330"/>
                      <a:gd name="connsiteY5" fmla="*/ 10749517 h 11923625"/>
                      <a:gd name="connsiteX0" fmla="*/ 10561675 w 17752973"/>
                      <a:gd name="connsiteY0" fmla="*/ 10749517 h 11927967"/>
                      <a:gd name="connsiteX1" fmla="*/ 0 w 17752973"/>
                      <a:gd name="connsiteY1" fmla="*/ 0 h 11927967"/>
                      <a:gd name="connsiteX2" fmla="*/ 10852298 w 17752973"/>
                      <a:gd name="connsiteY2" fmla="*/ 0 h 11927967"/>
                      <a:gd name="connsiteX3" fmla="*/ 17642959 w 17752973"/>
                      <a:gd name="connsiteY3" fmla="*/ 6996223 h 11927967"/>
                      <a:gd name="connsiteX4" fmla="*/ 14695839 w 17752973"/>
                      <a:gd name="connsiteY4" fmla="*/ 10812304 h 11927967"/>
                      <a:gd name="connsiteX5" fmla="*/ 10561675 w 17752973"/>
                      <a:gd name="connsiteY5" fmla="*/ 10749517 h 11927967"/>
                      <a:gd name="connsiteX0" fmla="*/ 10561675 w 17746583"/>
                      <a:gd name="connsiteY0" fmla="*/ 10749517 h 11923624"/>
                      <a:gd name="connsiteX1" fmla="*/ 0 w 17746583"/>
                      <a:gd name="connsiteY1" fmla="*/ 0 h 11923624"/>
                      <a:gd name="connsiteX2" fmla="*/ 10852298 w 17746583"/>
                      <a:gd name="connsiteY2" fmla="*/ 0 h 11923624"/>
                      <a:gd name="connsiteX3" fmla="*/ 17642959 w 17746583"/>
                      <a:gd name="connsiteY3" fmla="*/ 6996223 h 11923624"/>
                      <a:gd name="connsiteX4" fmla="*/ 14512959 w 17746583"/>
                      <a:gd name="connsiteY4" fmla="*/ 10802678 h 11923624"/>
                      <a:gd name="connsiteX5" fmla="*/ 10561675 w 17746583"/>
                      <a:gd name="connsiteY5" fmla="*/ 10749517 h 11923624"/>
                      <a:gd name="connsiteX0" fmla="*/ 10561675 w 17746583"/>
                      <a:gd name="connsiteY0" fmla="*/ 10749517 h 11762552"/>
                      <a:gd name="connsiteX1" fmla="*/ 0 w 17746583"/>
                      <a:gd name="connsiteY1" fmla="*/ 0 h 11762552"/>
                      <a:gd name="connsiteX2" fmla="*/ 10852298 w 17746583"/>
                      <a:gd name="connsiteY2" fmla="*/ 0 h 11762552"/>
                      <a:gd name="connsiteX3" fmla="*/ 17642959 w 17746583"/>
                      <a:gd name="connsiteY3" fmla="*/ 6996223 h 11762552"/>
                      <a:gd name="connsiteX4" fmla="*/ 14512959 w 17746583"/>
                      <a:gd name="connsiteY4" fmla="*/ 10802678 h 11762552"/>
                      <a:gd name="connsiteX5" fmla="*/ 10561675 w 17746583"/>
                      <a:gd name="connsiteY5" fmla="*/ 10749517 h 11762552"/>
                      <a:gd name="connsiteX0" fmla="*/ 10561675 w 17746583"/>
                      <a:gd name="connsiteY0" fmla="*/ 10749517 h 11758469"/>
                      <a:gd name="connsiteX1" fmla="*/ 0 w 17746583"/>
                      <a:gd name="connsiteY1" fmla="*/ 0 h 11758469"/>
                      <a:gd name="connsiteX2" fmla="*/ 10852298 w 17746583"/>
                      <a:gd name="connsiteY2" fmla="*/ 0 h 11758469"/>
                      <a:gd name="connsiteX3" fmla="*/ 17642959 w 17746583"/>
                      <a:gd name="connsiteY3" fmla="*/ 6996223 h 11758469"/>
                      <a:gd name="connsiteX4" fmla="*/ 14512959 w 17746583"/>
                      <a:gd name="connsiteY4" fmla="*/ 10802678 h 11758469"/>
                      <a:gd name="connsiteX5" fmla="*/ 10561675 w 17746583"/>
                      <a:gd name="connsiteY5" fmla="*/ 10749517 h 11758469"/>
                      <a:gd name="connsiteX0" fmla="*/ 10561675 w 17746583"/>
                      <a:gd name="connsiteY0" fmla="*/ 10749517 h 11782996"/>
                      <a:gd name="connsiteX1" fmla="*/ 0 w 17746583"/>
                      <a:gd name="connsiteY1" fmla="*/ 0 h 11782996"/>
                      <a:gd name="connsiteX2" fmla="*/ 10852298 w 17746583"/>
                      <a:gd name="connsiteY2" fmla="*/ 0 h 11782996"/>
                      <a:gd name="connsiteX3" fmla="*/ 17642959 w 17746583"/>
                      <a:gd name="connsiteY3" fmla="*/ 6996223 h 11782996"/>
                      <a:gd name="connsiteX4" fmla="*/ 14512959 w 17746583"/>
                      <a:gd name="connsiteY4" fmla="*/ 10802678 h 11782996"/>
                      <a:gd name="connsiteX5" fmla="*/ 10561675 w 17746583"/>
                      <a:gd name="connsiteY5" fmla="*/ 10749517 h 11782996"/>
                      <a:gd name="connsiteX0" fmla="*/ 10561675 w 17746583"/>
                      <a:gd name="connsiteY0" fmla="*/ 10749517 h 11788864"/>
                      <a:gd name="connsiteX1" fmla="*/ 0 w 17746583"/>
                      <a:gd name="connsiteY1" fmla="*/ 0 h 11788864"/>
                      <a:gd name="connsiteX2" fmla="*/ 10852298 w 17746583"/>
                      <a:gd name="connsiteY2" fmla="*/ 0 h 11788864"/>
                      <a:gd name="connsiteX3" fmla="*/ 17642959 w 17746583"/>
                      <a:gd name="connsiteY3" fmla="*/ 6996223 h 11788864"/>
                      <a:gd name="connsiteX4" fmla="*/ 14512959 w 17746583"/>
                      <a:gd name="connsiteY4" fmla="*/ 10802678 h 11788864"/>
                      <a:gd name="connsiteX5" fmla="*/ 10561675 w 17746583"/>
                      <a:gd name="connsiteY5" fmla="*/ 10749517 h 11788864"/>
                      <a:gd name="connsiteX0" fmla="*/ 10561675 w 17741914"/>
                      <a:gd name="connsiteY0" fmla="*/ 10749517 h 11788864"/>
                      <a:gd name="connsiteX1" fmla="*/ 0 w 17741914"/>
                      <a:gd name="connsiteY1" fmla="*/ 0 h 11788864"/>
                      <a:gd name="connsiteX2" fmla="*/ 10852298 w 17741914"/>
                      <a:gd name="connsiteY2" fmla="*/ 0 h 11788864"/>
                      <a:gd name="connsiteX3" fmla="*/ 17642959 w 17741914"/>
                      <a:gd name="connsiteY3" fmla="*/ 6996223 h 11788864"/>
                      <a:gd name="connsiteX4" fmla="*/ 14512959 w 17741914"/>
                      <a:gd name="connsiteY4" fmla="*/ 10802678 h 11788864"/>
                      <a:gd name="connsiteX5" fmla="*/ 10561675 w 17741914"/>
                      <a:gd name="connsiteY5" fmla="*/ 10749517 h 11788864"/>
                      <a:gd name="connsiteX0" fmla="*/ 10561675 w 17900470"/>
                      <a:gd name="connsiteY0" fmla="*/ 10749517 h 11788864"/>
                      <a:gd name="connsiteX1" fmla="*/ 0 w 17900470"/>
                      <a:gd name="connsiteY1" fmla="*/ 0 h 11788864"/>
                      <a:gd name="connsiteX2" fmla="*/ 10852298 w 17900470"/>
                      <a:gd name="connsiteY2" fmla="*/ 0 h 11788864"/>
                      <a:gd name="connsiteX3" fmla="*/ 17642959 w 17900470"/>
                      <a:gd name="connsiteY3" fmla="*/ 6996223 h 11788864"/>
                      <a:gd name="connsiteX4" fmla="*/ 16290722 w 17900470"/>
                      <a:gd name="connsiteY4" fmla="*/ 9461631 h 11788864"/>
                      <a:gd name="connsiteX5" fmla="*/ 14512959 w 17900470"/>
                      <a:gd name="connsiteY5" fmla="*/ 10802678 h 11788864"/>
                      <a:gd name="connsiteX6" fmla="*/ 10561675 w 17900470"/>
                      <a:gd name="connsiteY6" fmla="*/ 10749517 h 11788864"/>
                      <a:gd name="connsiteX0" fmla="*/ 10561675 w 18159891"/>
                      <a:gd name="connsiteY0" fmla="*/ 10749517 h 11788864"/>
                      <a:gd name="connsiteX1" fmla="*/ 0 w 18159891"/>
                      <a:gd name="connsiteY1" fmla="*/ 0 h 11788864"/>
                      <a:gd name="connsiteX2" fmla="*/ 10852298 w 18159891"/>
                      <a:gd name="connsiteY2" fmla="*/ 0 h 11788864"/>
                      <a:gd name="connsiteX3" fmla="*/ 17642959 w 18159891"/>
                      <a:gd name="connsiteY3" fmla="*/ 6996223 h 11788864"/>
                      <a:gd name="connsiteX4" fmla="*/ 17570882 w 18159891"/>
                      <a:gd name="connsiteY4" fmla="*/ 9500132 h 11788864"/>
                      <a:gd name="connsiteX5" fmla="*/ 14512959 w 18159891"/>
                      <a:gd name="connsiteY5" fmla="*/ 10802678 h 11788864"/>
                      <a:gd name="connsiteX6" fmla="*/ 10561675 w 18159891"/>
                      <a:gd name="connsiteY6" fmla="*/ 10749517 h 11788864"/>
                      <a:gd name="connsiteX0" fmla="*/ 10561675 w 18159891"/>
                      <a:gd name="connsiteY0" fmla="*/ 10749517 h 11788864"/>
                      <a:gd name="connsiteX1" fmla="*/ 0 w 18159891"/>
                      <a:gd name="connsiteY1" fmla="*/ 0 h 11788864"/>
                      <a:gd name="connsiteX2" fmla="*/ 10852298 w 18159891"/>
                      <a:gd name="connsiteY2" fmla="*/ 0 h 11788864"/>
                      <a:gd name="connsiteX3" fmla="*/ 17642959 w 18159891"/>
                      <a:gd name="connsiteY3" fmla="*/ 6996223 h 11788864"/>
                      <a:gd name="connsiteX4" fmla="*/ 17570882 w 18159891"/>
                      <a:gd name="connsiteY4" fmla="*/ 9500132 h 11788864"/>
                      <a:gd name="connsiteX5" fmla="*/ 14512959 w 18159891"/>
                      <a:gd name="connsiteY5" fmla="*/ 10802678 h 11788864"/>
                      <a:gd name="connsiteX6" fmla="*/ 10561675 w 18159891"/>
                      <a:gd name="connsiteY6" fmla="*/ 10749517 h 11788864"/>
                      <a:gd name="connsiteX0" fmla="*/ 10561675 w 18167141"/>
                      <a:gd name="connsiteY0" fmla="*/ 10749517 h 11788864"/>
                      <a:gd name="connsiteX1" fmla="*/ 0 w 18167141"/>
                      <a:gd name="connsiteY1" fmla="*/ 0 h 11788864"/>
                      <a:gd name="connsiteX2" fmla="*/ 10852298 w 18167141"/>
                      <a:gd name="connsiteY2" fmla="*/ 0 h 11788864"/>
                      <a:gd name="connsiteX3" fmla="*/ 17642959 w 18167141"/>
                      <a:gd name="connsiteY3" fmla="*/ 6996223 h 11788864"/>
                      <a:gd name="connsiteX4" fmla="*/ 17590133 w 18167141"/>
                      <a:gd name="connsiteY4" fmla="*/ 9452006 h 11788864"/>
                      <a:gd name="connsiteX5" fmla="*/ 14512959 w 18167141"/>
                      <a:gd name="connsiteY5" fmla="*/ 10802678 h 11788864"/>
                      <a:gd name="connsiteX6" fmla="*/ 10561675 w 18167141"/>
                      <a:gd name="connsiteY6" fmla="*/ 10749517 h 11788864"/>
                      <a:gd name="connsiteX0" fmla="*/ 10561675 w 18167141"/>
                      <a:gd name="connsiteY0" fmla="*/ 10749517 h 11788864"/>
                      <a:gd name="connsiteX1" fmla="*/ 0 w 18167141"/>
                      <a:gd name="connsiteY1" fmla="*/ 0 h 11788864"/>
                      <a:gd name="connsiteX2" fmla="*/ 10852298 w 18167141"/>
                      <a:gd name="connsiteY2" fmla="*/ 0 h 11788864"/>
                      <a:gd name="connsiteX3" fmla="*/ 17642959 w 18167141"/>
                      <a:gd name="connsiteY3" fmla="*/ 6996223 h 11788864"/>
                      <a:gd name="connsiteX4" fmla="*/ 17590133 w 18167141"/>
                      <a:gd name="connsiteY4" fmla="*/ 9452006 h 11788864"/>
                      <a:gd name="connsiteX5" fmla="*/ 14512959 w 18167141"/>
                      <a:gd name="connsiteY5" fmla="*/ 10802678 h 11788864"/>
                      <a:gd name="connsiteX6" fmla="*/ 10561675 w 18167141"/>
                      <a:gd name="connsiteY6" fmla="*/ 10749517 h 11788864"/>
                      <a:gd name="connsiteX0" fmla="*/ 10561675 w 18167141"/>
                      <a:gd name="connsiteY0" fmla="*/ 10749517 h 11788864"/>
                      <a:gd name="connsiteX1" fmla="*/ 0 w 18167141"/>
                      <a:gd name="connsiteY1" fmla="*/ 0 h 11788864"/>
                      <a:gd name="connsiteX2" fmla="*/ 10852298 w 18167141"/>
                      <a:gd name="connsiteY2" fmla="*/ 0 h 11788864"/>
                      <a:gd name="connsiteX3" fmla="*/ 17642959 w 18167141"/>
                      <a:gd name="connsiteY3" fmla="*/ 6996223 h 11788864"/>
                      <a:gd name="connsiteX4" fmla="*/ 17590133 w 18167141"/>
                      <a:gd name="connsiteY4" fmla="*/ 9452006 h 11788864"/>
                      <a:gd name="connsiteX5" fmla="*/ 14512959 w 18167141"/>
                      <a:gd name="connsiteY5" fmla="*/ 10802678 h 11788864"/>
                      <a:gd name="connsiteX6" fmla="*/ 10561675 w 18167141"/>
                      <a:gd name="connsiteY6" fmla="*/ 10749517 h 11788864"/>
                      <a:gd name="connsiteX0" fmla="*/ 10561675 w 18167141"/>
                      <a:gd name="connsiteY0" fmla="*/ 10749517 h 11788864"/>
                      <a:gd name="connsiteX1" fmla="*/ 0 w 18167141"/>
                      <a:gd name="connsiteY1" fmla="*/ 0 h 11788864"/>
                      <a:gd name="connsiteX2" fmla="*/ 10852298 w 18167141"/>
                      <a:gd name="connsiteY2" fmla="*/ 0 h 11788864"/>
                      <a:gd name="connsiteX3" fmla="*/ 17642959 w 18167141"/>
                      <a:gd name="connsiteY3" fmla="*/ 6996223 h 11788864"/>
                      <a:gd name="connsiteX4" fmla="*/ 17590133 w 18167141"/>
                      <a:gd name="connsiteY4" fmla="*/ 9452006 h 11788864"/>
                      <a:gd name="connsiteX5" fmla="*/ 14512959 w 18167141"/>
                      <a:gd name="connsiteY5" fmla="*/ 10802678 h 11788864"/>
                      <a:gd name="connsiteX6" fmla="*/ 10561675 w 18167141"/>
                      <a:gd name="connsiteY6" fmla="*/ 10749517 h 11788864"/>
                      <a:gd name="connsiteX0" fmla="*/ 10561675 w 18167141"/>
                      <a:gd name="connsiteY0" fmla="*/ 10749517 h 11788864"/>
                      <a:gd name="connsiteX1" fmla="*/ 0 w 18167141"/>
                      <a:gd name="connsiteY1" fmla="*/ 0 h 11788864"/>
                      <a:gd name="connsiteX2" fmla="*/ 10852298 w 18167141"/>
                      <a:gd name="connsiteY2" fmla="*/ 0 h 11788864"/>
                      <a:gd name="connsiteX3" fmla="*/ 17642959 w 18167141"/>
                      <a:gd name="connsiteY3" fmla="*/ 6996223 h 11788864"/>
                      <a:gd name="connsiteX4" fmla="*/ 17590133 w 18167141"/>
                      <a:gd name="connsiteY4" fmla="*/ 9452006 h 11788864"/>
                      <a:gd name="connsiteX5" fmla="*/ 14512959 w 18167141"/>
                      <a:gd name="connsiteY5" fmla="*/ 10802678 h 11788864"/>
                      <a:gd name="connsiteX6" fmla="*/ 10561675 w 18167141"/>
                      <a:gd name="connsiteY6" fmla="*/ 10749517 h 11788864"/>
                      <a:gd name="connsiteX0" fmla="*/ 10561675 w 18167141"/>
                      <a:gd name="connsiteY0" fmla="*/ 10749517 h 11788864"/>
                      <a:gd name="connsiteX1" fmla="*/ 0 w 18167141"/>
                      <a:gd name="connsiteY1" fmla="*/ 0 h 11788864"/>
                      <a:gd name="connsiteX2" fmla="*/ 10852298 w 18167141"/>
                      <a:gd name="connsiteY2" fmla="*/ 0 h 11788864"/>
                      <a:gd name="connsiteX3" fmla="*/ 17642959 w 18167141"/>
                      <a:gd name="connsiteY3" fmla="*/ 6996223 h 11788864"/>
                      <a:gd name="connsiteX4" fmla="*/ 17590133 w 18167141"/>
                      <a:gd name="connsiteY4" fmla="*/ 9452006 h 11788864"/>
                      <a:gd name="connsiteX5" fmla="*/ 14512959 w 18167141"/>
                      <a:gd name="connsiteY5" fmla="*/ 10802678 h 11788864"/>
                      <a:gd name="connsiteX6" fmla="*/ 10561675 w 18167141"/>
                      <a:gd name="connsiteY6" fmla="*/ 10749517 h 11788864"/>
                      <a:gd name="connsiteX0" fmla="*/ 10561675 w 18167141"/>
                      <a:gd name="connsiteY0" fmla="*/ 10749517 h 11788864"/>
                      <a:gd name="connsiteX1" fmla="*/ 0 w 18167141"/>
                      <a:gd name="connsiteY1" fmla="*/ 0 h 11788864"/>
                      <a:gd name="connsiteX2" fmla="*/ 10852298 w 18167141"/>
                      <a:gd name="connsiteY2" fmla="*/ 0 h 11788864"/>
                      <a:gd name="connsiteX3" fmla="*/ 17642959 w 18167141"/>
                      <a:gd name="connsiteY3" fmla="*/ 6996223 h 11788864"/>
                      <a:gd name="connsiteX4" fmla="*/ 17590133 w 18167141"/>
                      <a:gd name="connsiteY4" fmla="*/ 9452006 h 11788864"/>
                      <a:gd name="connsiteX5" fmla="*/ 14512959 w 18167141"/>
                      <a:gd name="connsiteY5" fmla="*/ 10802678 h 11788864"/>
                      <a:gd name="connsiteX6" fmla="*/ 10561675 w 18167141"/>
                      <a:gd name="connsiteY6" fmla="*/ 10749517 h 11788864"/>
                      <a:gd name="connsiteX0" fmla="*/ 10561675 w 18167141"/>
                      <a:gd name="connsiteY0" fmla="*/ 10749517 h 11788864"/>
                      <a:gd name="connsiteX1" fmla="*/ 0 w 18167141"/>
                      <a:gd name="connsiteY1" fmla="*/ 0 h 11788864"/>
                      <a:gd name="connsiteX2" fmla="*/ 10852298 w 18167141"/>
                      <a:gd name="connsiteY2" fmla="*/ 0 h 11788864"/>
                      <a:gd name="connsiteX3" fmla="*/ 17642959 w 18167141"/>
                      <a:gd name="connsiteY3" fmla="*/ 6996223 h 11788864"/>
                      <a:gd name="connsiteX4" fmla="*/ 17590133 w 18167141"/>
                      <a:gd name="connsiteY4" fmla="*/ 9452006 h 11788864"/>
                      <a:gd name="connsiteX5" fmla="*/ 14512959 w 18167141"/>
                      <a:gd name="connsiteY5" fmla="*/ 10802678 h 11788864"/>
                      <a:gd name="connsiteX6" fmla="*/ 10561675 w 18167141"/>
                      <a:gd name="connsiteY6" fmla="*/ 10749517 h 11788864"/>
                      <a:gd name="connsiteX0" fmla="*/ 10561675 w 17830891"/>
                      <a:gd name="connsiteY0" fmla="*/ 10749517 h 11788864"/>
                      <a:gd name="connsiteX1" fmla="*/ 0 w 17830891"/>
                      <a:gd name="connsiteY1" fmla="*/ 0 h 11788864"/>
                      <a:gd name="connsiteX2" fmla="*/ 10852298 w 17830891"/>
                      <a:gd name="connsiteY2" fmla="*/ 0 h 11788864"/>
                      <a:gd name="connsiteX3" fmla="*/ 17642959 w 17830891"/>
                      <a:gd name="connsiteY3" fmla="*/ 6996223 h 11788864"/>
                      <a:gd name="connsiteX4" fmla="*/ 17590133 w 17830891"/>
                      <a:gd name="connsiteY4" fmla="*/ 9452006 h 11788864"/>
                      <a:gd name="connsiteX5" fmla="*/ 14512959 w 17830891"/>
                      <a:gd name="connsiteY5" fmla="*/ 10802678 h 11788864"/>
                      <a:gd name="connsiteX6" fmla="*/ 10561675 w 17830891"/>
                      <a:gd name="connsiteY6" fmla="*/ 10749517 h 11788864"/>
                      <a:gd name="connsiteX0" fmla="*/ 10561675 w 17642959"/>
                      <a:gd name="connsiteY0" fmla="*/ 10749517 h 11788864"/>
                      <a:gd name="connsiteX1" fmla="*/ 0 w 17642959"/>
                      <a:gd name="connsiteY1" fmla="*/ 0 h 11788864"/>
                      <a:gd name="connsiteX2" fmla="*/ 10852298 w 17642959"/>
                      <a:gd name="connsiteY2" fmla="*/ 0 h 11788864"/>
                      <a:gd name="connsiteX3" fmla="*/ 17642959 w 17642959"/>
                      <a:gd name="connsiteY3" fmla="*/ 6996223 h 11788864"/>
                      <a:gd name="connsiteX4" fmla="*/ 17590133 w 17642959"/>
                      <a:gd name="connsiteY4" fmla="*/ 9452006 h 11788864"/>
                      <a:gd name="connsiteX5" fmla="*/ 14512959 w 17642959"/>
                      <a:gd name="connsiteY5" fmla="*/ 10802678 h 11788864"/>
                      <a:gd name="connsiteX6" fmla="*/ 10561675 w 17642959"/>
                      <a:gd name="connsiteY6" fmla="*/ 10749517 h 11788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642959" h="11788864">
                        <a:moveTo>
                          <a:pt x="10561675" y="10749517"/>
                        </a:moveTo>
                        <a:lnTo>
                          <a:pt x="0" y="0"/>
                        </a:lnTo>
                        <a:lnTo>
                          <a:pt x="10852298" y="0"/>
                        </a:lnTo>
                        <a:cubicBezTo>
                          <a:pt x="11896651" y="1105786"/>
                          <a:pt x="15024986" y="4253023"/>
                          <a:pt x="17642959" y="6996223"/>
                        </a:cubicBezTo>
                        <a:cubicBezTo>
                          <a:pt x="17619724" y="7003442"/>
                          <a:pt x="17624120" y="9472917"/>
                          <a:pt x="17590133" y="9452006"/>
                        </a:cubicBezTo>
                        <a:cubicBezTo>
                          <a:pt x="16125191" y="9576277"/>
                          <a:pt x="15246419" y="10000890"/>
                          <a:pt x="14512959" y="10802678"/>
                        </a:cubicBezTo>
                        <a:cubicBezTo>
                          <a:pt x="13961297" y="11594542"/>
                          <a:pt x="12187201" y="12580369"/>
                          <a:pt x="10561675" y="10749517"/>
                        </a:cubicBezTo>
                        <a:close/>
                      </a:path>
                    </a:pathLst>
                  </a:custGeom>
                  <a:ln w="12700">
                    <a:miter lim="400000"/>
                  </a:ln>
                  <a:extLst>
                    <a:ext uri="{C572A759-6A51-4108-AA02-DFA0A04FC94B}">
                      <ma14:wrappingTextBoxFlag xmlns:a16="http://schemas.microsoft.com/office/drawing/2014/main" xmlns:a14="http://schemas.microsoft.com/office/drawing/2010/main"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margin">
            <wp14:pctWidth>0</wp14:pctWidth>
          </wp14:sizeRelH>
          <wp14:sizeRelV relativeFrom="margin">
            <wp14:pctHeight>0</wp14:pctHeight>
          </wp14:sizeRelV>
        </wp:anchor>
      </w:drawing>
    </w:r>
  </w:p>
  <w:p w14:paraId="4AEC3945" w14:textId="77777777" w:rsidR="00A3350E" w:rsidRDefault="00A3350E">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E4DAE"/>
    <w:multiLevelType w:val="hybridMultilevel"/>
    <w:tmpl w:val="93EAFF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15690E19"/>
    <w:multiLevelType w:val="hybridMultilevel"/>
    <w:tmpl w:val="1282712C"/>
    <w:lvl w:ilvl="0" w:tplc="036A6AC0">
      <w:start w:val="1"/>
      <w:numFmt w:val="bullet"/>
      <w:lvlText w:val=""/>
      <w:lvlJc w:val="left"/>
      <w:pPr>
        <w:ind w:left="720" w:hanging="360"/>
      </w:pPr>
      <w:rPr>
        <w:rFonts w:ascii="Symbol" w:hAnsi="Symbol" w:hint="default"/>
      </w:rPr>
    </w:lvl>
    <w:lvl w:ilvl="1" w:tplc="9FF4F7E8">
      <w:start w:val="1"/>
      <w:numFmt w:val="bullet"/>
      <w:lvlText w:val="o"/>
      <w:lvlJc w:val="left"/>
      <w:pPr>
        <w:ind w:left="1440" w:hanging="360"/>
      </w:pPr>
      <w:rPr>
        <w:rFonts w:ascii="Courier New" w:hAnsi="Courier New" w:hint="default"/>
      </w:rPr>
    </w:lvl>
    <w:lvl w:ilvl="2" w:tplc="3C02A140">
      <w:start w:val="1"/>
      <w:numFmt w:val="bullet"/>
      <w:lvlText w:val=""/>
      <w:lvlJc w:val="left"/>
      <w:pPr>
        <w:ind w:left="2160" w:hanging="360"/>
      </w:pPr>
      <w:rPr>
        <w:rFonts w:ascii="Wingdings" w:hAnsi="Wingdings" w:hint="default"/>
      </w:rPr>
    </w:lvl>
    <w:lvl w:ilvl="3" w:tplc="865E6E40">
      <w:start w:val="1"/>
      <w:numFmt w:val="bullet"/>
      <w:lvlText w:val=""/>
      <w:lvlJc w:val="left"/>
      <w:pPr>
        <w:ind w:left="2880" w:hanging="360"/>
      </w:pPr>
      <w:rPr>
        <w:rFonts w:ascii="Symbol" w:hAnsi="Symbol" w:hint="default"/>
      </w:rPr>
    </w:lvl>
    <w:lvl w:ilvl="4" w:tplc="128CE188">
      <w:start w:val="1"/>
      <w:numFmt w:val="bullet"/>
      <w:lvlText w:val="o"/>
      <w:lvlJc w:val="left"/>
      <w:pPr>
        <w:ind w:left="3600" w:hanging="360"/>
      </w:pPr>
      <w:rPr>
        <w:rFonts w:ascii="Courier New" w:hAnsi="Courier New" w:hint="default"/>
      </w:rPr>
    </w:lvl>
    <w:lvl w:ilvl="5" w:tplc="B0FE999A">
      <w:start w:val="1"/>
      <w:numFmt w:val="bullet"/>
      <w:lvlText w:val=""/>
      <w:lvlJc w:val="left"/>
      <w:pPr>
        <w:ind w:left="4320" w:hanging="360"/>
      </w:pPr>
      <w:rPr>
        <w:rFonts w:ascii="Wingdings" w:hAnsi="Wingdings" w:hint="default"/>
      </w:rPr>
    </w:lvl>
    <w:lvl w:ilvl="6" w:tplc="12BCF2CE">
      <w:start w:val="1"/>
      <w:numFmt w:val="bullet"/>
      <w:lvlText w:val=""/>
      <w:lvlJc w:val="left"/>
      <w:pPr>
        <w:ind w:left="5040" w:hanging="360"/>
      </w:pPr>
      <w:rPr>
        <w:rFonts w:ascii="Symbol" w:hAnsi="Symbol" w:hint="default"/>
      </w:rPr>
    </w:lvl>
    <w:lvl w:ilvl="7" w:tplc="6B006AB2">
      <w:start w:val="1"/>
      <w:numFmt w:val="bullet"/>
      <w:lvlText w:val="o"/>
      <w:lvlJc w:val="left"/>
      <w:pPr>
        <w:ind w:left="5760" w:hanging="360"/>
      </w:pPr>
      <w:rPr>
        <w:rFonts w:ascii="Courier New" w:hAnsi="Courier New" w:hint="default"/>
      </w:rPr>
    </w:lvl>
    <w:lvl w:ilvl="8" w:tplc="926C9BE8">
      <w:start w:val="1"/>
      <w:numFmt w:val="bullet"/>
      <w:lvlText w:val=""/>
      <w:lvlJc w:val="left"/>
      <w:pPr>
        <w:ind w:left="6480" w:hanging="360"/>
      </w:pPr>
      <w:rPr>
        <w:rFonts w:ascii="Wingdings" w:hAnsi="Wingdings" w:hint="default"/>
      </w:rPr>
    </w:lvl>
  </w:abstractNum>
  <w:abstractNum w:abstractNumId="2" w15:restartNumberingAfterBreak="0">
    <w:nsid w:val="255B4995"/>
    <w:multiLevelType w:val="multilevel"/>
    <w:tmpl w:val="17E059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1953EB"/>
    <w:multiLevelType w:val="hybridMultilevel"/>
    <w:tmpl w:val="47829DDE"/>
    <w:lvl w:ilvl="0" w:tplc="B3789F9A">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5D18F7D8">
      <w:numFmt w:val="bullet"/>
      <w:lvlText w:val="•"/>
      <w:lvlJc w:val="left"/>
      <w:pPr>
        <w:ind w:left="1694" w:hanging="360"/>
      </w:pPr>
      <w:rPr>
        <w:rFonts w:hint="default"/>
        <w:lang w:val="en-US" w:eastAsia="en-US" w:bidi="ar-SA"/>
      </w:rPr>
    </w:lvl>
    <w:lvl w:ilvl="2" w:tplc="D818AD18">
      <w:numFmt w:val="bullet"/>
      <w:lvlText w:val="•"/>
      <w:lvlJc w:val="left"/>
      <w:pPr>
        <w:ind w:left="2568" w:hanging="360"/>
      </w:pPr>
      <w:rPr>
        <w:rFonts w:hint="default"/>
        <w:lang w:val="en-US" w:eastAsia="en-US" w:bidi="ar-SA"/>
      </w:rPr>
    </w:lvl>
    <w:lvl w:ilvl="3" w:tplc="018C94DC">
      <w:numFmt w:val="bullet"/>
      <w:lvlText w:val="•"/>
      <w:lvlJc w:val="left"/>
      <w:pPr>
        <w:ind w:left="3442" w:hanging="360"/>
      </w:pPr>
      <w:rPr>
        <w:rFonts w:hint="default"/>
        <w:lang w:val="en-US" w:eastAsia="en-US" w:bidi="ar-SA"/>
      </w:rPr>
    </w:lvl>
    <w:lvl w:ilvl="4" w:tplc="5D889B3C">
      <w:numFmt w:val="bullet"/>
      <w:lvlText w:val="•"/>
      <w:lvlJc w:val="left"/>
      <w:pPr>
        <w:ind w:left="4316" w:hanging="360"/>
      </w:pPr>
      <w:rPr>
        <w:rFonts w:hint="default"/>
        <w:lang w:val="en-US" w:eastAsia="en-US" w:bidi="ar-SA"/>
      </w:rPr>
    </w:lvl>
    <w:lvl w:ilvl="5" w:tplc="B5E82770">
      <w:numFmt w:val="bullet"/>
      <w:lvlText w:val="•"/>
      <w:lvlJc w:val="left"/>
      <w:pPr>
        <w:ind w:left="5190" w:hanging="360"/>
      </w:pPr>
      <w:rPr>
        <w:rFonts w:hint="default"/>
        <w:lang w:val="en-US" w:eastAsia="en-US" w:bidi="ar-SA"/>
      </w:rPr>
    </w:lvl>
    <w:lvl w:ilvl="6" w:tplc="7916A42E">
      <w:numFmt w:val="bullet"/>
      <w:lvlText w:val="•"/>
      <w:lvlJc w:val="left"/>
      <w:pPr>
        <w:ind w:left="6064" w:hanging="360"/>
      </w:pPr>
      <w:rPr>
        <w:rFonts w:hint="default"/>
        <w:lang w:val="en-US" w:eastAsia="en-US" w:bidi="ar-SA"/>
      </w:rPr>
    </w:lvl>
    <w:lvl w:ilvl="7" w:tplc="18000366">
      <w:numFmt w:val="bullet"/>
      <w:lvlText w:val="•"/>
      <w:lvlJc w:val="left"/>
      <w:pPr>
        <w:ind w:left="6938" w:hanging="360"/>
      </w:pPr>
      <w:rPr>
        <w:rFonts w:hint="default"/>
        <w:lang w:val="en-US" w:eastAsia="en-US" w:bidi="ar-SA"/>
      </w:rPr>
    </w:lvl>
    <w:lvl w:ilvl="8" w:tplc="CC74F3C4">
      <w:numFmt w:val="bullet"/>
      <w:lvlText w:val="•"/>
      <w:lvlJc w:val="left"/>
      <w:pPr>
        <w:ind w:left="7812" w:hanging="360"/>
      </w:pPr>
      <w:rPr>
        <w:rFonts w:hint="default"/>
        <w:lang w:val="en-US" w:eastAsia="en-US" w:bidi="ar-SA"/>
      </w:rPr>
    </w:lvl>
  </w:abstractNum>
  <w:abstractNum w:abstractNumId="4" w15:restartNumberingAfterBreak="0">
    <w:nsid w:val="2A0653B1"/>
    <w:multiLevelType w:val="hybridMultilevel"/>
    <w:tmpl w:val="4E9049AE"/>
    <w:lvl w:ilvl="0" w:tplc="FFFFFFFF">
      <w:start w:val="1"/>
      <w:numFmt w:val="bullet"/>
      <w:pStyle w:val="BulletList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425BA"/>
    <w:multiLevelType w:val="hybridMultilevel"/>
    <w:tmpl w:val="6002BEF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32082099"/>
    <w:multiLevelType w:val="hybridMultilevel"/>
    <w:tmpl w:val="FFFFFFFF"/>
    <w:lvl w:ilvl="0" w:tplc="98B6E430">
      <w:start w:val="1"/>
      <w:numFmt w:val="bullet"/>
      <w:lvlText w:val=""/>
      <w:lvlJc w:val="left"/>
      <w:pPr>
        <w:ind w:left="720" w:hanging="360"/>
      </w:pPr>
      <w:rPr>
        <w:rFonts w:ascii="Symbol" w:hAnsi="Symbol" w:hint="default"/>
      </w:rPr>
    </w:lvl>
    <w:lvl w:ilvl="1" w:tplc="9FC4C18C">
      <w:start w:val="1"/>
      <w:numFmt w:val="bullet"/>
      <w:lvlText w:val=""/>
      <w:lvlJc w:val="left"/>
      <w:pPr>
        <w:ind w:left="1440" w:hanging="360"/>
      </w:pPr>
      <w:rPr>
        <w:rFonts w:ascii="Symbol" w:hAnsi="Symbol" w:hint="default"/>
      </w:rPr>
    </w:lvl>
    <w:lvl w:ilvl="2" w:tplc="AA26EF6A">
      <w:start w:val="1"/>
      <w:numFmt w:val="bullet"/>
      <w:lvlText w:val=""/>
      <w:lvlJc w:val="left"/>
      <w:pPr>
        <w:ind w:left="2160" w:hanging="360"/>
      </w:pPr>
      <w:rPr>
        <w:rFonts w:ascii="Symbol" w:hAnsi="Symbol" w:hint="default"/>
      </w:rPr>
    </w:lvl>
    <w:lvl w:ilvl="3" w:tplc="46185B46">
      <w:start w:val="1"/>
      <w:numFmt w:val="bullet"/>
      <w:lvlText w:val=""/>
      <w:lvlJc w:val="left"/>
      <w:pPr>
        <w:ind w:left="2880" w:hanging="360"/>
      </w:pPr>
      <w:rPr>
        <w:rFonts w:ascii="Symbol" w:hAnsi="Symbol" w:hint="default"/>
      </w:rPr>
    </w:lvl>
    <w:lvl w:ilvl="4" w:tplc="150CBC88">
      <w:start w:val="1"/>
      <w:numFmt w:val="bullet"/>
      <w:lvlText w:val="o"/>
      <w:lvlJc w:val="left"/>
      <w:pPr>
        <w:ind w:left="3600" w:hanging="360"/>
      </w:pPr>
      <w:rPr>
        <w:rFonts w:ascii="Courier New" w:hAnsi="Courier New" w:hint="default"/>
      </w:rPr>
    </w:lvl>
    <w:lvl w:ilvl="5" w:tplc="406E42E2">
      <w:start w:val="1"/>
      <w:numFmt w:val="bullet"/>
      <w:lvlText w:val=""/>
      <w:lvlJc w:val="left"/>
      <w:pPr>
        <w:ind w:left="4320" w:hanging="360"/>
      </w:pPr>
      <w:rPr>
        <w:rFonts w:ascii="Wingdings" w:hAnsi="Wingdings" w:hint="default"/>
      </w:rPr>
    </w:lvl>
    <w:lvl w:ilvl="6" w:tplc="427AC650">
      <w:start w:val="1"/>
      <w:numFmt w:val="bullet"/>
      <w:lvlText w:val=""/>
      <w:lvlJc w:val="left"/>
      <w:pPr>
        <w:ind w:left="5040" w:hanging="360"/>
      </w:pPr>
      <w:rPr>
        <w:rFonts w:ascii="Symbol" w:hAnsi="Symbol" w:hint="default"/>
      </w:rPr>
    </w:lvl>
    <w:lvl w:ilvl="7" w:tplc="62721CD4">
      <w:start w:val="1"/>
      <w:numFmt w:val="bullet"/>
      <w:lvlText w:val="o"/>
      <w:lvlJc w:val="left"/>
      <w:pPr>
        <w:ind w:left="5760" w:hanging="360"/>
      </w:pPr>
      <w:rPr>
        <w:rFonts w:ascii="Courier New" w:hAnsi="Courier New" w:hint="default"/>
      </w:rPr>
    </w:lvl>
    <w:lvl w:ilvl="8" w:tplc="402E8156">
      <w:start w:val="1"/>
      <w:numFmt w:val="bullet"/>
      <w:lvlText w:val=""/>
      <w:lvlJc w:val="left"/>
      <w:pPr>
        <w:ind w:left="6480" w:hanging="360"/>
      </w:pPr>
      <w:rPr>
        <w:rFonts w:ascii="Wingdings" w:hAnsi="Wingdings" w:hint="default"/>
      </w:rPr>
    </w:lvl>
  </w:abstractNum>
  <w:abstractNum w:abstractNumId="7" w15:restartNumberingAfterBreak="0">
    <w:nsid w:val="3643604C"/>
    <w:multiLevelType w:val="hybridMultilevel"/>
    <w:tmpl w:val="30AEE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1DED1B"/>
    <w:multiLevelType w:val="hybridMultilevel"/>
    <w:tmpl w:val="3A900958"/>
    <w:lvl w:ilvl="0" w:tplc="D8C82438">
      <w:start w:val="1"/>
      <w:numFmt w:val="bullet"/>
      <w:lvlText w:val=""/>
      <w:lvlJc w:val="left"/>
      <w:pPr>
        <w:ind w:left="720" w:hanging="360"/>
      </w:pPr>
      <w:rPr>
        <w:rFonts w:ascii="Symbol" w:hAnsi="Symbol" w:hint="default"/>
      </w:rPr>
    </w:lvl>
    <w:lvl w:ilvl="1" w:tplc="F0F2123A">
      <w:start w:val="1"/>
      <w:numFmt w:val="bullet"/>
      <w:lvlText w:val="o"/>
      <w:lvlJc w:val="left"/>
      <w:pPr>
        <w:ind w:left="1440" w:hanging="360"/>
      </w:pPr>
      <w:rPr>
        <w:rFonts w:ascii="Courier New" w:hAnsi="Courier New" w:hint="default"/>
      </w:rPr>
    </w:lvl>
    <w:lvl w:ilvl="2" w:tplc="7892D710">
      <w:start w:val="1"/>
      <w:numFmt w:val="bullet"/>
      <w:lvlText w:val=""/>
      <w:lvlJc w:val="left"/>
      <w:pPr>
        <w:ind w:left="2160" w:hanging="360"/>
      </w:pPr>
      <w:rPr>
        <w:rFonts w:ascii="Wingdings" w:hAnsi="Wingdings" w:hint="default"/>
      </w:rPr>
    </w:lvl>
    <w:lvl w:ilvl="3" w:tplc="12C2EC54">
      <w:start w:val="1"/>
      <w:numFmt w:val="bullet"/>
      <w:lvlText w:val=""/>
      <w:lvlJc w:val="left"/>
      <w:pPr>
        <w:ind w:left="2880" w:hanging="360"/>
      </w:pPr>
      <w:rPr>
        <w:rFonts w:ascii="Symbol" w:hAnsi="Symbol" w:hint="default"/>
      </w:rPr>
    </w:lvl>
    <w:lvl w:ilvl="4" w:tplc="D4043638">
      <w:start w:val="1"/>
      <w:numFmt w:val="bullet"/>
      <w:lvlText w:val="o"/>
      <w:lvlJc w:val="left"/>
      <w:pPr>
        <w:ind w:left="3600" w:hanging="360"/>
      </w:pPr>
      <w:rPr>
        <w:rFonts w:ascii="Courier New" w:hAnsi="Courier New" w:hint="default"/>
      </w:rPr>
    </w:lvl>
    <w:lvl w:ilvl="5" w:tplc="6D304054">
      <w:start w:val="1"/>
      <w:numFmt w:val="bullet"/>
      <w:lvlText w:val=""/>
      <w:lvlJc w:val="left"/>
      <w:pPr>
        <w:ind w:left="4320" w:hanging="360"/>
      </w:pPr>
      <w:rPr>
        <w:rFonts w:ascii="Wingdings" w:hAnsi="Wingdings" w:hint="default"/>
      </w:rPr>
    </w:lvl>
    <w:lvl w:ilvl="6" w:tplc="3B4C33BE">
      <w:start w:val="1"/>
      <w:numFmt w:val="bullet"/>
      <w:lvlText w:val=""/>
      <w:lvlJc w:val="left"/>
      <w:pPr>
        <w:ind w:left="5040" w:hanging="360"/>
      </w:pPr>
      <w:rPr>
        <w:rFonts w:ascii="Symbol" w:hAnsi="Symbol" w:hint="default"/>
      </w:rPr>
    </w:lvl>
    <w:lvl w:ilvl="7" w:tplc="9202EDC4">
      <w:start w:val="1"/>
      <w:numFmt w:val="bullet"/>
      <w:lvlText w:val="o"/>
      <w:lvlJc w:val="left"/>
      <w:pPr>
        <w:ind w:left="5760" w:hanging="360"/>
      </w:pPr>
      <w:rPr>
        <w:rFonts w:ascii="Courier New" w:hAnsi="Courier New" w:hint="default"/>
      </w:rPr>
    </w:lvl>
    <w:lvl w:ilvl="8" w:tplc="04B4DE82">
      <w:start w:val="1"/>
      <w:numFmt w:val="bullet"/>
      <w:lvlText w:val=""/>
      <w:lvlJc w:val="left"/>
      <w:pPr>
        <w:ind w:left="6480" w:hanging="360"/>
      </w:pPr>
      <w:rPr>
        <w:rFonts w:ascii="Wingdings" w:hAnsi="Wingdings" w:hint="default"/>
      </w:rPr>
    </w:lvl>
  </w:abstractNum>
  <w:abstractNum w:abstractNumId="9" w15:restartNumberingAfterBreak="0">
    <w:nsid w:val="39BD5967"/>
    <w:multiLevelType w:val="hybridMultilevel"/>
    <w:tmpl w:val="1D5E1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F77064"/>
    <w:multiLevelType w:val="hybridMultilevel"/>
    <w:tmpl w:val="F3F82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32E79D9"/>
    <w:multiLevelType w:val="multilevel"/>
    <w:tmpl w:val="E604AFEA"/>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F763CA"/>
    <w:multiLevelType w:val="hybridMultilevel"/>
    <w:tmpl w:val="F118D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8507B"/>
    <w:multiLevelType w:val="hybridMultilevel"/>
    <w:tmpl w:val="A642C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B751399"/>
    <w:multiLevelType w:val="hybridMultilevel"/>
    <w:tmpl w:val="0BA40B4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BA6FD7"/>
    <w:multiLevelType w:val="hybridMultilevel"/>
    <w:tmpl w:val="93CEC404"/>
    <w:lvl w:ilvl="0" w:tplc="3FA4E48C">
      <w:start w:val="1"/>
      <w:numFmt w:val="decimal"/>
      <w:lvlText w:val="%1."/>
      <w:lvlJc w:val="left"/>
      <w:pPr>
        <w:ind w:left="710" w:hanging="360"/>
      </w:pPr>
    </w:lvl>
    <w:lvl w:ilvl="1" w:tplc="92F67002">
      <w:start w:val="1"/>
      <w:numFmt w:val="lowerLetter"/>
      <w:lvlText w:val="%2."/>
      <w:lvlJc w:val="left"/>
      <w:pPr>
        <w:ind w:left="1430" w:hanging="360"/>
      </w:pPr>
    </w:lvl>
    <w:lvl w:ilvl="2" w:tplc="7AF459F0">
      <w:start w:val="1"/>
      <w:numFmt w:val="lowerRoman"/>
      <w:lvlText w:val="%3."/>
      <w:lvlJc w:val="right"/>
      <w:pPr>
        <w:ind w:left="2150" w:hanging="180"/>
      </w:pPr>
    </w:lvl>
    <w:lvl w:ilvl="3" w:tplc="9FA054CE">
      <w:start w:val="1"/>
      <w:numFmt w:val="decimal"/>
      <w:lvlText w:val="%4."/>
      <w:lvlJc w:val="left"/>
      <w:pPr>
        <w:ind w:left="2870" w:hanging="360"/>
      </w:pPr>
    </w:lvl>
    <w:lvl w:ilvl="4" w:tplc="CD20DB2E">
      <w:start w:val="1"/>
      <w:numFmt w:val="lowerLetter"/>
      <w:lvlText w:val="%5."/>
      <w:lvlJc w:val="left"/>
      <w:pPr>
        <w:ind w:left="3590" w:hanging="360"/>
      </w:pPr>
    </w:lvl>
    <w:lvl w:ilvl="5" w:tplc="F056A0A8">
      <w:start w:val="1"/>
      <w:numFmt w:val="lowerRoman"/>
      <w:lvlText w:val="%6."/>
      <w:lvlJc w:val="right"/>
      <w:pPr>
        <w:ind w:left="4310" w:hanging="180"/>
      </w:pPr>
    </w:lvl>
    <w:lvl w:ilvl="6" w:tplc="CD140C6C">
      <w:start w:val="1"/>
      <w:numFmt w:val="decimal"/>
      <w:lvlText w:val="%7."/>
      <w:lvlJc w:val="left"/>
      <w:pPr>
        <w:ind w:left="5030" w:hanging="360"/>
      </w:pPr>
    </w:lvl>
    <w:lvl w:ilvl="7" w:tplc="E3F4C044">
      <w:start w:val="1"/>
      <w:numFmt w:val="lowerLetter"/>
      <w:lvlText w:val="%8."/>
      <w:lvlJc w:val="left"/>
      <w:pPr>
        <w:ind w:left="5750" w:hanging="360"/>
      </w:pPr>
    </w:lvl>
    <w:lvl w:ilvl="8" w:tplc="76B2E61C">
      <w:start w:val="1"/>
      <w:numFmt w:val="lowerRoman"/>
      <w:lvlText w:val="%9."/>
      <w:lvlJc w:val="right"/>
      <w:pPr>
        <w:ind w:left="6470" w:hanging="180"/>
      </w:pPr>
    </w:lvl>
  </w:abstractNum>
  <w:abstractNum w:abstractNumId="16" w15:restartNumberingAfterBreak="0">
    <w:nsid w:val="55FF4E87"/>
    <w:multiLevelType w:val="hybridMultilevel"/>
    <w:tmpl w:val="891EA8F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7D3010B"/>
    <w:multiLevelType w:val="hybridMultilevel"/>
    <w:tmpl w:val="73DADED0"/>
    <w:lvl w:ilvl="0" w:tplc="6454435A">
      <w:start w:val="1"/>
      <w:numFmt w:val="bullet"/>
      <w:lvlText w:val=""/>
      <w:lvlJc w:val="left"/>
      <w:pPr>
        <w:ind w:left="720" w:hanging="360"/>
      </w:pPr>
      <w:rPr>
        <w:rFonts w:ascii="Symbol" w:hAnsi="Symbol" w:hint="default"/>
      </w:rPr>
    </w:lvl>
    <w:lvl w:ilvl="1" w:tplc="3DA8BF9C">
      <w:start w:val="1"/>
      <w:numFmt w:val="bullet"/>
      <w:lvlText w:val="o"/>
      <w:lvlJc w:val="left"/>
      <w:pPr>
        <w:ind w:left="1440" w:hanging="360"/>
      </w:pPr>
      <w:rPr>
        <w:rFonts w:ascii="Courier New" w:hAnsi="Courier New" w:hint="default"/>
      </w:rPr>
    </w:lvl>
    <w:lvl w:ilvl="2" w:tplc="4092B234">
      <w:start w:val="1"/>
      <w:numFmt w:val="bullet"/>
      <w:lvlText w:val=""/>
      <w:lvlJc w:val="left"/>
      <w:pPr>
        <w:ind w:left="2160" w:hanging="360"/>
      </w:pPr>
      <w:rPr>
        <w:rFonts w:ascii="Wingdings" w:hAnsi="Wingdings" w:hint="default"/>
      </w:rPr>
    </w:lvl>
    <w:lvl w:ilvl="3" w:tplc="F56245AC">
      <w:start w:val="1"/>
      <w:numFmt w:val="bullet"/>
      <w:lvlText w:val=""/>
      <w:lvlJc w:val="left"/>
      <w:pPr>
        <w:ind w:left="2880" w:hanging="360"/>
      </w:pPr>
      <w:rPr>
        <w:rFonts w:ascii="Symbol" w:hAnsi="Symbol" w:hint="default"/>
      </w:rPr>
    </w:lvl>
    <w:lvl w:ilvl="4" w:tplc="414C5D20">
      <w:start w:val="1"/>
      <w:numFmt w:val="bullet"/>
      <w:lvlText w:val="o"/>
      <w:lvlJc w:val="left"/>
      <w:pPr>
        <w:ind w:left="3600" w:hanging="360"/>
      </w:pPr>
      <w:rPr>
        <w:rFonts w:ascii="Courier New" w:hAnsi="Courier New" w:hint="default"/>
      </w:rPr>
    </w:lvl>
    <w:lvl w:ilvl="5" w:tplc="21DAF5FE">
      <w:start w:val="1"/>
      <w:numFmt w:val="bullet"/>
      <w:lvlText w:val=""/>
      <w:lvlJc w:val="left"/>
      <w:pPr>
        <w:ind w:left="4320" w:hanging="360"/>
      </w:pPr>
      <w:rPr>
        <w:rFonts w:ascii="Wingdings" w:hAnsi="Wingdings" w:hint="default"/>
      </w:rPr>
    </w:lvl>
    <w:lvl w:ilvl="6" w:tplc="A990A906">
      <w:start w:val="1"/>
      <w:numFmt w:val="bullet"/>
      <w:lvlText w:val=""/>
      <w:lvlJc w:val="left"/>
      <w:pPr>
        <w:ind w:left="5040" w:hanging="360"/>
      </w:pPr>
      <w:rPr>
        <w:rFonts w:ascii="Symbol" w:hAnsi="Symbol" w:hint="default"/>
      </w:rPr>
    </w:lvl>
    <w:lvl w:ilvl="7" w:tplc="C00E6428">
      <w:start w:val="1"/>
      <w:numFmt w:val="bullet"/>
      <w:lvlText w:val="o"/>
      <w:lvlJc w:val="left"/>
      <w:pPr>
        <w:ind w:left="5760" w:hanging="360"/>
      </w:pPr>
      <w:rPr>
        <w:rFonts w:ascii="Courier New" w:hAnsi="Courier New" w:hint="default"/>
      </w:rPr>
    </w:lvl>
    <w:lvl w:ilvl="8" w:tplc="BEA41A50">
      <w:start w:val="1"/>
      <w:numFmt w:val="bullet"/>
      <w:lvlText w:val=""/>
      <w:lvlJc w:val="left"/>
      <w:pPr>
        <w:ind w:left="6480" w:hanging="360"/>
      </w:pPr>
      <w:rPr>
        <w:rFonts w:ascii="Wingdings" w:hAnsi="Wingdings" w:hint="default"/>
      </w:rPr>
    </w:lvl>
  </w:abstractNum>
  <w:abstractNum w:abstractNumId="18" w15:restartNumberingAfterBreak="0">
    <w:nsid w:val="5C4C10BB"/>
    <w:multiLevelType w:val="hybridMultilevel"/>
    <w:tmpl w:val="F3327BC2"/>
    <w:lvl w:ilvl="0" w:tplc="FFFFFFFF">
      <w:start w:val="1"/>
      <w:numFmt w:val="bullet"/>
      <w:lvlText w:val=""/>
      <w:lvlJc w:val="left"/>
      <w:pPr>
        <w:ind w:left="720" w:hanging="360"/>
      </w:pPr>
      <w:rPr>
        <w:rFonts w:ascii="Symbol" w:hAnsi="Symbol" w:hint="default"/>
      </w:rPr>
    </w:lvl>
    <w:lvl w:ilvl="1" w:tplc="D0166EDE">
      <w:start w:val="1"/>
      <w:numFmt w:val="bullet"/>
      <w:lvlText w:val="o"/>
      <w:lvlJc w:val="left"/>
      <w:pPr>
        <w:ind w:left="1440" w:hanging="360"/>
      </w:pPr>
      <w:rPr>
        <w:rFonts w:ascii="Courier New" w:hAnsi="Courier New" w:hint="default"/>
      </w:rPr>
    </w:lvl>
    <w:lvl w:ilvl="2" w:tplc="94F4E906">
      <w:start w:val="1"/>
      <w:numFmt w:val="bullet"/>
      <w:lvlText w:val=""/>
      <w:lvlJc w:val="left"/>
      <w:pPr>
        <w:ind w:left="2160" w:hanging="360"/>
      </w:pPr>
      <w:rPr>
        <w:rFonts w:ascii="Wingdings" w:hAnsi="Wingdings" w:hint="default"/>
      </w:rPr>
    </w:lvl>
    <w:lvl w:ilvl="3" w:tplc="0C6E59B0">
      <w:start w:val="1"/>
      <w:numFmt w:val="bullet"/>
      <w:lvlText w:val=""/>
      <w:lvlJc w:val="left"/>
      <w:pPr>
        <w:ind w:left="2880" w:hanging="360"/>
      </w:pPr>
      <w:rPr>
        <w:rFonts w:ascii="Symbol" w:hAnsi="Symbol" w:hint="default"/>
      </w:rPr>
    </w:lvl>
    <w:lvl w:ilvl="4" w:tplc="3C94879E">
      <w:start w:val="1"/>
      <w:numFmt w:val="bullet"/>
      <w:lvlText w:val="o"/>
      <w:lvlJc w:val="left"/>
      <w:pPr>
        <w:ind w:left="3600" w:hanging="360"/>
      </w:pPr>
      <w:rPr>
        <w:rFonts w:ascii="Courier New" w:hAnsi="Courier New" w:hint="default"/>
      </w:rPr>
    </w:lvl>
    <w:lvl w:ilvl="5" w:tplc="3F1A5852">
      <w:start w:val="1"/>
      <w:numFmt w:val="bullet"/>
      <w:lvlText w:val=""/>
      <w:lvlJc w:val="left"/>
      <w:pPr>
        <w:ind w:left="4320" w:hanging="360"/>
      </w:pPr>
      <w:rPr>
        <w:rFonts w:ascii="Wingdings" w:hAnsi="Wingdings" w:hint="default"/>
      </w:rPr>
    </w:lvl>
    <w:lvl w:ilvl="6" w:tplc="BAFCE708">
      <w:start w:val="1"/>
      <w:numFmt w:val="bullet"/>
      <w:lvlText w:val=""/>
      <w:lvlJc w:val="left"/>
      <w:pPr>
        <w:ind w:left="5040" w:hanging="360"/>
      </w:pPr>
      <w:rPr>
        <w:rFonts w:ascii="Symbol" w:hAnsi="Symbol" w:hint="default"/>
      </w:rPr>
    </w:lvl>
    <w:lvl w:ilvl="7" w:tplc="E0B8ADAC">
      <w:start w:val="1"/>
      <w:numFmt w:val="bullet"/>
      <w:lvlText w:val="o"/>
      <w:lvlJc w:val="left"/>
      <w:pPr>
        <w:ind w:left="5760" w:hanging="360"/>
      </w:pPr>
      <w:rPr>
        <w:rFonts w:ascii="Courier New" w:hAnsi="Courier New" w:hint="default"/>
      </w:rPr>
    </w:lvl>
    <w:lvl w:ilvl="8" w:tplc="505C55DC">
      <w:start w:val="1"/>
      <w:numFmt w:val="bullet"/>
      <w:lvlText w:val=""/>
      <w:lvlJc w:val="left"/>
      <w:pPr>
        <w:ind w:left="6480" w:hanging="360"/>
      </w:pPr>
      <w:rPr>
        <w:rFonts w:ascii="Wingdings" w:hAnsi="Wingdings" w:hint="default"/>
      </w:rPr>
    </w:lvl>
  </w:abstractNum>
  <w:abstractNum w:abstractNumId="19" w15:restartNumberingAfterBreak="0">
    <w:nsid w:val="60097217"/>
    <w:multiLevelType w:val="hybridMultilevel"/>
    <w:tmpl w:val="65A86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5925FA"/>
    <w:multiLevelType w:val="hybridMultilevel"/>
    <w:tmpl w:val="32A8E226"/>
    <w:lvl w:ilvl="0" w:tplc="7AFA671E">
      <w:numFmt w:val="bullet"/>
      <w:lvlText w:val=""/>
      <w:lvlJc w:val="left"/>
      <w:pPr>
        <w:ind w:left="551" w:hanging="360"/>
      </w:pPr>
      <w:rPr>
        <w:rFonts w:ascii="Symbol" w:eastAsia="Symbol" w:hAnsi="Symbol" w:cs="Symbol" w:hint="default"/>
        <w:b w:val="0"/>
        <w:bCs w:val="0"/>
        <w:i w:val="0"/>
        <w:iCs w:val="0"/>
        <w:color w:val="333333"/>
        <w:w w:val="99"/>
        <w:sz w:val="20"/>
        <w:szCs w:val="20"/>
        <w:lang w:val="en-US" w:eastAsia="en-US" w:bidi="ar-SA"/>
      </w:rPr>
    </w:lvl>
    <w:lvl w:ilvl="1" w:tplc="649E81E4">
      <w:numFmt w:val="bullet"/>
      <w:lvlText w:val="•"/>
      <w:lvlJc w:val="left"/>
      <w:pPr>
        <w:ind w:left="1460" w:hanging="360"/>
      </w:pPr>
      <w:rPr>
        <w:rFonts w:hint="default"/>
        <w:lang w:val="en-US" w:eastAsia="en-US" w:bidi="ar-SA"/>
      </w:rPr>
    </w:lvl>
    <w:lvl w:ilvl="2" w:tplc="6F9ADBCC">
      <w:numFmt w:val="bullet"/>
      <w:lvlText w:val="•"/>
      <w:lvlJc w:val="left"/>
      <w:pPr>
        <w:ind w:left="2360" w:hanging="360"/>
      </w:pPr>
      <w:rPr>
        <w:rFonts w:hint="default"/>
        <w:lang w:val="en-US" w:eastAsia="en-US" w:bidi="ar-SA"/>
      </w:rPr>
    </w:lvl>
    <w:lvl w:ilvl="3" w:tplc="B31CD6EC">
      <w:numFmt w:val="bullet"/>
      <w:lvlText w:val="•"/>
      <w:lvlJc w:val="left"/>
      <w:pPr>
        <w:ind w:left="3260" w:hanging="360"/>
      </w:pPr>
      <w:rPr>
        <w:rFonts w:hint="default"/>
        <w:lang w:val="en-US" w:eastAsia="en-US" w:bidi="ar-SA"/>
      </w:rPr>
    </w:lvl>
    <w:lvl w:ilvl="4" w:tplc="A0603120">
      <w:numFmt w:val="bullet"/>
      <w:lvlText w:val="•"/>
      <w:lvlJc w:val="left"/>
      <w:pPr>
        <w:ind w:left="4160" w:hanging="360"/>
      </w:pPr>
      <w:rPr>
        <w:rFonts w:hint="default"/>
        <w:lang w:val="en-US" w:eastAsia="en-US" w:bidi="ar-SA"/>
      </w:rPr>
    </w:lvl>
    <w:lvl w:ilvl="5" w:tplc="FD1CC360">
      <w:numFmt w:val="bullet"/>
      <w:lvlText w:val="•"/>
      <w:lvlJc w:val="left"/>
      <w:pPr>
        <w:ind w:left="5060" w:hanging="360"/>
      </w:pPr>
      <w:rPr>
        <w:rFonts w:hint="default"/>
        <w:lang w:val="en-US" w:eastAsia="en-US" w:bidi="ar-SA"/>
      </w:rPr>
    </w:lvl>
    <w:lvl w:ilvl="6" w:tplc="DE32DE5E">
      <w:numFmt w:val="bullet"/>
      <w:lvlText w:val="•"/>
      <w:lvlJc w:val="left"/>
      <w:pPr>
        <w:ind w:left="5960" w:hanging="360"/>
      </w:pPr>
      <w:rPr>
        <w:rFonts w:hint="default"/>
        <w:lang w:val="en-US" w:eastAsia="en-US" w:bidi="ar-SA"/>
      </w:rPr>
    </w:lvl>
    <w:lvl w:ilvl="7" w:tplc="69183D6E">
      <w:numFmt w:val="bullet"/>
      <w:lvlText w:val="•"/>
      <w:lvlJc w:val="left"/>
      <w:pPr>
        <w:ind w:left="6860" w:hanging="360"/>
      </w:pPr>
      <w:rPr>
        <w:rFonts w:hint="default"/>
        <w:lang w:val="en-US" w:eastAsia="en-US" w:bidi="ar-SA"/>
      </w:rPr>
    </w:lvl>
    <w:lvl w:ilvl="8" w:tplc="30B62E0E">
      <w:numFmt w:val="bullet"/>
      <w:lvlText w:val="•"/>
      <w:lvlJc w:val="left"/>
      <w:pPr>
        <w:ind w:left="7760" w:hanging="360"/>
      </w:pPr>
      <w:rPr>
        <w:rFonts w:hint="default"/>
        <w:lang w:val="en-US" w:eastAsia="en-US" w:bidi="ar-SA"/>
      </w:rPr>
    </w:lvl>
  </w:abstractNum>
  <w:abstractNum w:abstractNumId="21" w15:restartNumberingAfterBreak="0">
    <w:nsid w:val="65EE2FF8"/>
    <w:multiLevelType w:val="hybridMultilevel"/>
    <w:tmpl w:val="0C3496EA"/>
    <w:lvl w:ilvl="0" w:tplc="0FE66F60">
      <w:start w:val="1"/>
      <w:numFmt w:val="decimal"/>
      <w:lvlText w:val="%1."/>
      <w:lvlJc w:val="left"/>
      <w:pPr>
        <w:ind w:left="720" w:hanging="360"/>
      </w:pPr>
    </w:lvl>
    <w:lvl w:ilvl="1" w:tplc="1CFC5FB0">
      <w:start w:val="1"/>
      <w:numFmt w:val="lowerLetter"/>
      <w:lvlText w:val="%2."/>
      <w:lvlJc w:val="left"/>
      <w:pPr>
        <w:ind w:left="1440" w:hanging="360"/>
      </w:pPr>
    </w:lvl>
    <w:lvl w:ilvl="2" w:tplc="4A065B9E">
      <w:start w:val="1"/>
      <w:numFmt w:val="lowerRoman"/>
      <w:lvlText w:val="%3."/>
      <w:lvlJc w:val="right"/>
      <w:pPr>
        <w:ind w:left="2160" w:hanging="180"/>
      </w:pPr>
    </w:lvl>
    <w:lvl w:ilvl="3" w:tplc="2DC42320">
      <w:start w:val="1"/>
      <w:numFmt w:val="decimal"/>
      <w:lvlText w:val="%4."/>
      <w:lvlJc w:val="left"/>
      <w:pPr>
        <w:ind w:left="2880" w:hanging="360"/>
      </w:pPr>
    </w:lvl>
    <w:lvl w:ilvl="4" w:tplc="074A25F0">
      <w:start w:val="1"/>
      <w:numFmt w:val="lowerLetter"/>
      <w:lvlText w:val="%5."/>
      <w:lvlJc w:val="left"/>
      <w:pPr>
        <w:ind w:left="3600" w:hanging="360"/>
      </w:pPr>
    </w:lvl>
    <w:lvl w:ilvl="5" w:tplc="EB06DD80">
      <w:start w:val="1"/>
      <w:numFmt w:val="lowerRoman"/>
      <w:lvlText w:val="%6."/>
      <w:lvlJc w:val="right"/>
      <w:pPr>
        <w:ind w:left="4320" w:hanging="180"/>
      </w:pPr>
    </w:lvl>
    <w:lvl w:ilvl="6" w:tplc="07EC44B2">
      <w:start w:val="1"/>
      <w:numFmt w:val="decimal"/>
      <w:lvlText w:val="%7."/>
      <w:lvlJc w:val="left"/>
      <w:pPr>
        <w:ind w:left="5040" w:hanging="360"/>
      </w:pPr>
    </w:lvl>
    <w:lvl w:ilvl="7" w:tplc="BF64E41A">
      <w:start w:val="1"/>
      <w:numFmt w:val="lowerLetter"/>
      <w:lvlText w:val="%8."/>
      <w:lvlJc w:val="left"/>
      <w:pPr>
        <w:ind w:left="5760" w:hanging="360"/>
      </w:pPr>
    </w:lvl>
    <w:lvl w:ilvl="8" w:tplc="790C43EE">
      <w:start w:val="1"/>
      <w:numFmt w:val="lowerRoman"/>
      <w:lvlText w:val="%9."/>
      <w:lvlJc w:val="right"/>
      <w:pPr>
        <w:ind w:left="6480" w:hanging="180"/>
      </w:pPr>
    </w:lvl>
  </w:abstractNum>
  <w:abstractNum w:abstractNumId="22" w15:restartNumberingAfterBreak="0">
    <w:nsid w:val="6C3A3E5B"/>
    <w:multiLevelType w:val="hybridMultilevel"/>
    <w:tmpl w:val="D8C0D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310751F"/>
    <w:multiLevelType w:val="hybridMultilevel"/>
    <w:tmpl w:val="3202FB2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2081362688">
    <w:abstractNumId w:val="20"/>
  </w:num>
  <w:num w:numId="2" w16cid:durableId="285162759">
    <w:abstractNumId w:val="3"/>
  </w:num>
  <w:num w:numId="3" w16cid:durableId="2039773435">
    <w:abstractNumId w:val="8"/>
  </w:num>
  <w:num w:numId="4" w16cid:durableId="319621664">
    <w:abstractNumId w:val="21"/>
  </w:num>
  <w:num w:numId="5" w16cid:durableId="468983636">
    <w:abstractNumId w:val="15"/>
  </w:num>
  <w:num w:numId="6" w16cid:durableId="2974268">
    <w:abstractNumId w:val="1"/>
  </w:num>
  <w:num w:numId="7" w16cid:durableId="1774738626">
    <w:abstractNumId w:val="17"/>
  </w:num>
  <w:num w:numId="8" w16cid:durableId="1071737985">
    <w:abstractNumId w:val="18"/>
  </w:num>
  <w:num w:numId="9" w16cid:durableId="1833370668">
    <w:abstractNumId w:val="11"/>
  </w:num>
  <w:num w:numId="10" w16cid:durableId="1082485453">
    <w:abstractNumId w:val="2"/>
  </w:num>
  <w:num w:numId="11" w16cid:durableId="69355491">
    <w:abstractNumId w:val="22"/>
  </w:num>
  <w:num w:numId="12" w16cid:durableId="170800969">
    <w:abstractNumId w:val="19"/>
  </w:num>
  <w:num w:numId="13" w16cid:durableId="819004029">
    <w:abstractNumId w:val="12"/>
  </w:num>
  <w:num w:numId="14" w16cid:durableId="540553097">
    <w:abstractNumId w:val="7"/>
  </w:num>
  <w:num w:numId="15" w16cid:durableId="1608612879">
    <w:abstractNumId w:val="9"/>
  </w:num>
  <w:num w:numId="16" w16cid:durableId="440610240">
    <w:abstractNumId w:val="10"/>
  </w:num>
  <w:num w:numId="17" w16cid:durableId="1254969938">
    <w:abstractNumId w:val="6"/>
  </w:num>
  <w:num w:numId="18" w16cid:durableId="1371805531">
    <w:abstractNumId w:val="4"/>
  </w:num>
  <w:num w:numId="19" w16cid:durableId="549726244">
    <w:abstractNumId w:val="5"/>
  </w:num>
  <w:num w:numId="20" w16cid:durableId="562562360">
    <w:abstractNumId w:val="16"/>
  </w:num>
  <w:num w:numId="21" w16cid:durableId="1548956860">
    <w:abstractNumId w:val="0"/>
  </w:num>
  <w:num w:numId="22" w16cid:durableId="1229069449">
    <w:abstractNumId w:val="23"/>
  </w:num>
  <w:num w:numId="23" w16cid:durableId="1604916810">
    <w:abstractNumId w:val="14"/>
  </w:num>
  <w:num w:numId="24" w16cid:durableId="13282478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23"/>
    <w:rsid w:val="00030ADB"/>
    <w:rsid w:val="00120ED7"/>
    <w:rsid w:val="00132A83"/>
    <w:rsid w:val="00142DA5"/>
    <w:rsid w:val="0014655F"/>
    <w:rsid w:val="00200564"/>
    <w:rsid w:val="0021781C"/>
    <w:rsid w:val="00234647"/>
    <w:rsid w:val="00264A2F"/>
    <w:rsid w:val="002D437F"/>
    <w:rsid w:val="003A0052"/>
    <w:rsid w:val="00485081"/>
    <w:rsid w:val="00491F7E"/>
    <w:rsid w:val="004F5723"/>
    <w:rsid w:val="00517684"/>
    <w:rsid w:val="00532A84"/>
    <w:rsid w:val="005439B5"/>
    <w:rsid w:val="00564019"/>
    <w:rsid w:val="0056587C"/>
    <w:rsid w:val="0057335D"/>
    <w:rsid w:val="00600F55"/>
    <w:rsid w:val="00662B6B"/>
    <w:rsid w:val="006B4288"/>
    <w:rsid w:val="006D3850"/>
    <w:rsid w:val="00782CA6"/>
    <w:rsid w:val="007A5C22"/>
    <w:rsid w:val="007E0402"/>
    <w:rsid w:val="00803FD7"/>
    <w:rsid w:val="00825264"/>
    <w:rsid w:val="008C42C3"/>
    <w:rsid w:val="00925051"/>
    <w:rsid w:val="00963327"/>
    <w:rsid w:val="00987FB3"/>
    <w:rsid w:val="00A05CF0"/>
    <w:rsid w:val="00A3350E"/>
    <w:rsid w:val="00A56B90"/>
    <w:rsid w:val="00AA3EE8"/>
    <w:rsid w:val="00AB480A"/>
    <w:rsid w:val="00AE7F2F"/>
    <w:rsid w:val="00AF359E"/>
    <w:rsid w:val="00B87922"/>
    <w:rsid w:val="00BC078D"/>
    <w:rsid w:val="00C45EA9"/>
    <w:rsid w:val="00C9708A"/>
    <w:rsid w:val="00CC1CB9"/>
    <w:rsid w:val="00D265E6"/>
    <w:rsid w:val="00D45666"/>
    <w:rsid w:val="00D719D3"/>
    <w:rsid w:val="00D97618"/>
    <w:rsid w:val="00DA4DFD"/>
    <w:rsid w:val="00DB53CC"/>
    <w:rsid w:val="00DC2F75"/>
    <w:rsid w:val="00E77FCF"/>
    <w:rsid w:val="00E84C8E"/>
    <w:rsid w:val="00EC39F7"/>
    <w:rsid w:val="00ED0A15"/>
    <w:rsid w:val="00F238DB"/>
    <w:rsid w:val="00F748BA"/>
    <w:rsid w:val="00F7607D"/>
    <w:rsid w:val="00FB62A9"/>
    <w:rsid w:val="00FD34F2"/>
    <w:rsid w:val="00FF6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01B0E"/>
  <w15:docId w15:val="{2A76564B-1F3D-435C-A08C-A69C07D8B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100"/>
      <w:outlineLvl w:val="0"/>
    </w:pPr>
    <w:rPr>
      <w:b/>
      <w:bCs/>
    </w:rPr>
  </w:style>
  <w:style w:type="paragraph" w:styleId="Heading2">
    <w:name w:val="heading 2"/>
    <w:basedOn w:val="Normal"/>
    <w:next w:val="Normal"/>
    <w:link w:val="Heading2Char"/>
    <w:uiPriority w:val="9"/>
    <w:semiHidden/>
    <w:unhideWhenUsed/>
    <w:qFormat/>
    <w:rsid w:val="00491F7E"/>
    <w:pPr>
      <w:keepNext/>
      <w:keepLines/>
      <w:spacing w:before="4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1"/>
    <w:uiPriority w:val="9"/>
    <w:semiHidden/>
    <w:unhideWhenUsed/>
    <w:qFormat/>
    <w:rsid w:val="00491F7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Heading3"/>
    <w:next w:val="Normal"/>
    <w:link w:val="Heading4Char"/>
    <w:uiPriority w:val="9"/>
    <w:unhideWhenUsed/>
    <w:qFormat/>
    <w:rsid w:val="00491F7E"/>
    <w:pPr>
      <w:widowControl/>
      <w:autoSpaceDE/>
      <w:autoSpaceDN/>
      <w:spacing w:before="200" w:line="259" w:lineRule="auto"/>
      <w:ind w:left="864" w:hanging="864"/>
      <w:jc w:val="both"/>
      <w:outlineLvl w:val="3"/>
    </w:pPr>
    <w:rPr>
      <w:rFonts w:ascii="Arial" w:hAnsi="Arial"/>
      <w:b/>
      <w:bCs/>
      <w:color w:val="auto"/>
    </w:rPr>
  </w:style>
  <w:style w:type="paragraph" w:styleId="Heading5">
    <w:name w:val="heading 5"/>
    <w:basedOn w:val="Normal"/>
    <w:next w:val="Normal"/>
    <w:link w:val="Heading5Char2"/>
    <w:uiPriority w:val="9"/>
    <w:semiHidden/>
    <w:unhideWhenUsed/>
    <w:qFormat/>
    <w:rsid w:val="00491F7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aliases w:val="sub-dash,sd,5"/>
    <w:basedOn w:val="Heading5"/>
    <w:next w:val="Normal"/>
    <w:link w:val="Heading6Char"/>
    <w:qFormat/>
    <w:rsid w:val="00491F7E"/>
    <w:pPr>
      <w:widowControl/>
      <w:autoSpaceDE/>
      <w:autoSpaceDN/>
      <w:spacing w:before="200" w:line="259" w:lineRule="auto"/>
      <w:ind w:left="4310" w:hanging="180"/>
      <w:outlineLvl w:val="5"/>
    </w:pPr>
    <w:rPr>
      <w:b/>
      <w:i/>
      <w:iCs/>
      <w:color w:val="auto"/>
      <w:sz w:val="20"/>
      <w:szCs w:val="24"/>
    </w:rPr>
  </w:style>
  <w:style w:type="paragraph" w:styleId="Heading7">
    <w:name w:val="heading 7"/>
    <w:basedOn w:val="Normal"/>
    <w:next w:val="Normal"/>
    <w:link w:val="Heading7Char"/>
    <w:semiHidden/>
    <w:unhideWhenUsed/>
    <w:qFormat/>
    <w:rsid w:val="00491F7E"/>
    <w:pPr>
      <w:keepNext/>
      <w:keepLines/>
      <w:widowControl/>
      <w:autoSpaceDE/>
      <w:autoSpaceDN/>
      <w:spacing w:before="40" w:line="259" w:lineRule="auto"/>
      <w:outlineLvl w:val="6"/>
    </w:pPr>
    <w:rPr>
      <w:rFonts w:ascii="Avenir Next LT Pro Demi" w:eastAsia="MS Gothic" w:hAnsi="Avenir Next LT Pro Demi" w:cs="Times New Roman"/>
      <w:i/>
      <w:iCs/>
      <w:color w:val="404040"/>
      <w:sz w:val="20"/>
      <w:szCs w:val="24"/>
    </w:rPr>
  </w:style>
  <w:style w:type="paragraph" w:styleId="Heading8">
    <w:name w:val="heading 8"/>
    <w:basedOn w:val="Normal"/>
    <w:next w:val="Normal"/>
    <w:link w:val="Heading8Char"/>
    <w:semiHidden/>
    <w:unhideWhenUsed/>
    <w:qFormat/>
    <w:rsid w:val="00491F7E"/>
    <w:pPr>
      <w:keepNext/>
      <w:keepLines/>
      <w:widowControl/>
      <w:autoSpaceDE/>
      <w:autoSpaceDN/>
      <w:spacing w:before="40" w:line="259" w:lineRule="auto"/>
      <w:outlineLvl w:val="7"/>
    </w:pPr>
    <w:rPr>
      <w:rFonts w:ascii="Avenir Next LT Pro Demi" w:eastAsia="MS Gothic" w:hAnsi="Avenir Next LT Pro Demi" w:cs="Times New Roman"/>
      <w:color w:val="363636"/>
      <w:sz w:val="20"/>
      <w:szCs w:val="20"/>
    </w:rPr>
  </w:style>
  <w:style w:type="paragraph" w:styleId="Heading9">
    <w:name w:val="heading 9"/>
    <w:basedOn w:val="Normal"/>
    <w:next w:val="Normal"/>
    <w:link w:val="Heading9Char"/>
    <w:semiHidden/>
    <w:unhideWhenUsed/>
    <w:qFormat/>
    <w:rsid w:val="00491F7E"/>
    <w:pPr>
      <w:keepNext/>
      <w:keepLines/>
      <w:widowControl/>
      <w:autoSpaceDE/>
      <w:autoSpaceDN/>
      <w:spacing w:before="40" w:line="259" w:lineRule="auto"/>
      <w:outlineLvl w:val="8"/>
    </w:pPr>
    <w:rPr>
      <w:rFonts w:ascii="Avenir Next LT Pro Demi" w:eastAsia="MS Gothic" w:hAnsi="Avenir Next LT Pro Demi" w:cs="Times New Roman"/>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80"/>
      <w:ind w:left="100"/>
    </w:pPr>
  </w:style>
  <w:style w:type="paragraph" w:styleId="ListParagraph">
    <w:name w:val="List Paragraph"/>
    <w:aliases w:val="numbered,FooterText,List Paragraph1,Paragraphe de liste1,Bulletr List Paragraph,列出段落,列出段落1"/>
    <w:basedOn w:val="Normal"/>
    <w:link w:val="ListParagraphChar"/>
    <w:uiPriority w:val="34"/>
    <w:qFormat/>
    <w:pPr>
      <w:spacing w:before="19"/>
      <w:ind w:left="820" w:hanging="361"/>
    </w:pPr>
  </w:style>
  <w:style w:type="paragraph" w:customStyle="1" w:styleId="TableParagraph">
    <w:name w:val="Table Paragraph"/>
    <w:basedOn w:val="Normal"/>
    <w:uiPriority w:val="1"/>
    <w:qFormat/>
    <w:pPr>
      <w:spacing w:before="30"/>
      <w:ind w:left="112"/>
    </w:pPr>
    <w:rPr>
      <w:rFonts w:ascii="Arial" w:eastAsia="Arial" w:hAnsi="Arial" w:cs="Arial"/>
    </w:rPr>
  </w:style>
  <w:style w:type="character" w:styleId="CommentReference">
    <w:name w:val="annotation reference"/>
    <w:basedOn w:val="DefaultParagraphFont"/>
    <w:uiPriority w:val="99"/>
    <w:semiHidden/>
    <w:unhideWhenUsed/>
    <w:rsid w:val="00ED0A15"/>
    <w:rPr>
      <w:sz w:val="16"/>
      <w:szCs w:val="16"/>
    </w:rPr>
  </w:style>
  <w:style w:type="paragraph" w:styleId="CommentText">
    <w:name w:val="annotation text"/>
    <w:basedOn w:val="Normal"/>
    <w:link w:val="CommentTextChar"/>
    <w:uiPriority w:val="99"/>
    <w:unhideWhenUsed/>
    <w:rsid w:val="00ED0A15"/>
    <w:rPr>
      <w:sz w:val="20"/>
      <w:szCs w:val="20"/>
    </w:rPr>
  </w:style>
  <w:style w:type="character" w:customStyle="1" w:styleId="CommentTextChar">
    <w:name w:val="Comment Text Char"/>
    <w:basedOn w:val="DefaultParagraphFont"/>
    <w:link w:val="CommentText"/>
    <w:uiPriority w:val="99"/>
    <w:rsid w:val="00ED0A15"/>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D0A15"/>
    <w:rPr>
      <w:b/>
      <w:bCs/>
    </w:rPr>
  </w:style>
  <w:style w:type="character" w:customStyle="1" w:styleId="CommentSubjectChar">
    <w:name w:val="Comment Subject Char"/>
    <w:basedOn w:val="CommentTextChar"/>
    <w:link w:val="CommentSubject"/>
    <w:uiPriority w:val="99"/>
    <w:semiHidden/>
    <w:rsid w:val="00ED0A15"/>
    <w:rPr>
      <w:rFonts w:ascii="Calibri" w:eastAsia="Calibri" w:hAnsi="Calibri" w:cs="Calibri"/>
      <w:b/>
      <w:bCs/>
      <w:sz w:val="20"/>
      <w:szCs w:val="20"/>
    </w:rPr>
  </w:style>
  <w:style w:type="character" w:styleId="Hyperlink">
    <w:name w:val="Hyperlink"/>
    <w:basedOn w:val="DefaultParagraphFont"/>
    <w:uiPriority w:val="99"/>
    <w:unhideWhenUsed/>
    <w:rsid w:val="006D3850"/>
    <w:rPr>
      <w:color w:val="0000FF" w:themeColor="hyperlink"/>
      <w:u w:val="single"/>
    </w:rPr>
  </w:style>
  <w:style w:type="character" w:styleId="UnresolvedMention">
    <w:name w:val="Unresolved Mention"/>
    <w:basedOn w:val="DefaultParagraphFont"/>
    <w:uiPriority w:val="99"/>
    <w:unhideWhenUsed/>
    <w:rsid w:val="006D3850"/>
    <w:rPr>
      <w:color w:val="605E5C"/>
      <w:shd w:val="clear" w:color="auto" w:fill="E1DFDD"/>
    </w:rPr>
  </w:style>
  <w:style w:type="paragraph" w:customStyle="1" w:styleId="h211">
    <w:name w:val="h211"/>
    <w:basedOn w:val="Normal"/>
    <w:next w:val="Normal"/>
    <w:uiPriority w:val="9"/>
    <w:unhideWhenUsed/>
    <w:qFormat/>
    <w:rsid w:val="00491F7E"/>
    <w:pPr>
      <w:keepNext/>
      <w:keepLines/>
      <w:widowControl/>
      <w:autoSpaceDE/>
      <w:autoSpaceDN/>
      <w:spacing w:before="40" w:line="259" w:lineRule="auto"/>
      <w:outlineLvl w:val="1"/>
    </w:pPr>
    <w:rPr>
      <w:rFonts w:ascii="Calibri Light" w:eastAsia="Times New Roman" w:hAnsi="Calibri Light" w:cs="Times New Roman"/>
      <w:color w:val="2F5496"/>
      <w:sz w:val="26"/>
      <w:szCs w:val="26"/>
    </w:rPr>
  </w:style>
  <w:style w:type="paragraph" w:customStyle="1" w:styleId="131">
    <w:name w:val="1.31"/>
    <w:basedOn w:val="Normal"/>
    <w:next w:val="Normal"/>
    <w:link w:val="Heading3Char"/>
    <w:uiPriority w:val="9"/>
    <w:unhideWhenUsed/>
    <w:qFormat/>
    <w:rsid w:val="00491F7E"/>
    <w:pPr>
      <w:keepNext/>
      <w:keepLines/>
      <w:widowControl/>
      <w:autoSpaceDE/>
      <w:autoSpaceDN/>
      <w:spacing w:before="40" w:line="259" w:lineRule="auto"/>
      <w:outlineLvl w:val="2"/>
    </w:pPr>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491F7E"/>
    <w:rPr>
      <w:rFonts w:ascii="Arial" w:eastAsiaTheme="majorEastAsia" w:hAnsi="Arial" w:cstheme="majorBidi"/>
      <w:b/>
      <w:bCs/>
      <w:sz w:val="24"/>
      <w:szCs w:val="24"/>
    </w:rPr>
  </w:style>
  <w:style w:type="paragraph" w:customStyle="1" w:styleId="Heading51">
    <w:name w:val="Heading 51"/>
    <w:basedOn w:val="Normal"/>
    <w:next w:val="Normal"/>
    <w:link w:val="Heading5Char1"/>
    <w:uiPriority w:val="9"/>
    <w:unhideWhenUsed/>
    <w:qFormat/>
    <w:rsid w:val="00491F7E"/>
    <w:pPr>
      <w:keepNext/>
      <w:keepLines/>
      <w:widowControl/>
      <w:autoSpaceDE/>
      <w:autoSpaceDN/>
      <w:spacing w:before="40" w:line="259" w:lineRule="auto"/>
      <w:outlineLvl w:val="4"/>
    </w:pPr>
    <w:rPr>
      <w:rFonts w:ascii="Calibri Light" w:eastAsia="Times New Roman" w:hAnsi="Calibri Light" w:cs="Times New Roman"/>
      <w:color w:val="2F5496"/>
    </w:rPr>
  </w:style>
  <w:style w:type="character" w:customStyle="1" w:styleId="Heading6Char">
    <w:name w:val="Heading 6 Char"/>
    <w:aliases w:val="sub-dash Char,sd Char,5 Char"/>
    <w:basedOn w:val="DefaultParagraphFont"/>
    <w:link w:val="Heading6"/>
    <w:rsid w:val="00491F7E"/>
    <w:rPr>
      <w:rFonts w:asciiTheme="majorHAnsi" w:eastAsiaTheme="majorEastAsia" w:hAnsiTheme="majorHAnsi" w:cstheme="majorBidi"/>
      <w:b/>
      <w:i/>
      <w:iCs/>
      <w:sz w:val="20"/>
      <w:szCs w:val="24"/>
    </w:rPr>
  </w:style>
  <w:style w:type="character" w:customStyle="1" w:styleId="Heading7Char">
    <w:name w:val="Heading 7 Char"/>
    <w:basedOn w:val="DefaultParagraphFont"/>
    <w:link w:val="Heading7"/>
    <w:semiHidden/>
    <w:rsid w:val="00491F7E"/>
    <w:rPr>
      <w:rFonts w:ascii="Avenir Next LT Pro Demi" w:eastAsia="MS Gothic" w:hAnsi="Avenir Next LT Pro Demi" w:cs="Times New Roman"/>
      <w:i/>
      <w:iCs/>
      <w:color w:val="404040"/>
      <w:sz w:val="20"/>
      <w:szCs w:val="24"/>
    </w:rPr>
  </w:style>
  <w:style w:type="character" w:customStyle="1" w:styleId="Heading8Char">
    <w:name w:val="Heading 8 Char"/>
    <w:basedOn w:val="DefaultParagraphFont"/>
    <w:link w:val="Heading8"/>
    <w:semiHidden/>
    <w:rsid w:val="00491F7E"/>
    <w:rPr>
      <w:rFonts w:ascii="Avenir Next LT Pro Demi" w:eastAsia="MS Gothic" w:hAnsi="Avenir Next LT Pro Demi" w:cs="Times New Roman"/>
      <w:color w:val="363636"/>
      <w:sz w:val="20"/>
      <w:szCs w:val="20"/>
    </w:rPr>
  </w:style>
  <w:style w:type="character" w:customStyle="1" w:styleId="Heading9Char">
    <w:name w:val="Heading 9 Char"/>
    <w:basedOn w:val="DefaultParagraphFont"/>
    <w:link w:val="Heading9"/>
    <w:semiHidden/>
    <w:rsid w:val="00491F7E"/>
    <w:rPr>
      <w:rFonts w:ascii="Avenir Next LT Pro Demi" w:eastAsia="MS Gothic" w:hAnsi="Avenir Next LT Pro Demi" w:cs="Times New Roman"/>
      <w:i/>
      <w:iCs/>
      <w:color w:val="363636"/>
      <w:sz w:val="20"/>
      <w:szCs w:val="20"/>
    </w:rPr>
  </w:style>
  <w:style w:type="numbering" w:customStyle="1" w:styleId="NoList1">
    <w:name w:val="No List1"/>
    <w:next w:val="NoList"/>
    <w:uiPriority w:val="99"/>
    <w:semiHidden/>
    <w:unhideWhenUsed/>
    <w:rsid w:val="00491F7E"/>
  </w:style>
  <w:style w:type="paragraph" w:customStyle="1" w:styleId="Header1">
    <w:name w:val="Header1"/>
    <w:basedOn w:val="Normal"/>
    <w:next w:val="Header"/>
    <w:link w:val="HeaderChar"/>
    <w:uiPriority w:val="99"/>
    <w:unhideWhenUsed/>
    <w:rsid w:val="00491F7E"/>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1"/>
    <w:uiPriority w:val="99"/>
    <w:rsid w:val="00491F7E"/>
  </w:style>
  <w:style w:type="paragraph" w:customStyle="1" w:styleId="Footer1">
    <w:name w:val="Footer1"/>
    <w:basedOn w:val="Normal"/>
    <w:next w:val="Footer"/>
    <w:link w:val="FooterChar"/>
    <w:uiPriority w:val="99"/>
    <w:unhideWhenUsed/>
    <w:rsid w:val="00491F7E"/>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1"/>
    <w:uiPriority w:val="99"/>
    <w:rsid w:val="00491F7E"/>
  </w:style>
  <w:style w:type="paragraph" w:customStyle="1" w:styleId="Title1">
    <w:name w:val="Title1"/>
    <w:basedOn w:val="Normal"/>
    <w:next w:val="Normal"/>
    <w:uiPriority w:val="10"/>
    <w:qFormat/>
    <w:rsid w:val="00491F7E"/>
    <w:pPr>
      <w:widowControl/>
      <w:autoSpaceDE/>
      <w:autoSpaceDN/>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491F7E"/>
    <w:rPr>
      <w:rFonts w:ascii="Calibri Light" w:eastAsia="Times New Roman" w:hAnsi="Calibri Light" w:cs="Times New Roman"/>
      <w:spacing w:val="-10"/>
      <w:kern w:val="28"/>
      <w:sz w:val="56"/>
      <w:szCs w:val="56"/>
    </w:rPr>
  </w:style>
  <w:style w:type="character" w:customStyle="1" w:styleId="Heading1Char">
    <w:name w:val="Heading 1 Char"/>
    <w:basedOn w:val="DefaultParagraphFont"/>
    <w:link w:val="Heading1"/>
    <w:uiPriority w:val="9"/>
    <w:rsid w:val="00491F7E"/>
    <w:rPr>
      <w:rFonts w:ascii="Calibri" w:eastAsia="Calibri" w:hAnsi="Calibri" w:cs="Calibri"/>
      <w:b/>
      <w:bCs/>
    </w:rPr>
  </w:style>
  <w:style w:type="character" w:styleId="Mention">
    <w:name w:val="Mention"/>
    <w:basedOn w:val="DefaultParagraphFont"/>
    <w:uiPriority w:val="99"/>
    <w:unhideWhenUsed/>
    <w:rsid w:val="00491F7E"/>
    <w:rPr>
      <w:color w:val="2B579A"/>
      <w:shd w:val="clear" w:color="auto" w:fill="E6E6E6"/>
    </w:rPr>
  </w:style>
  <w:style w:type="character" w:customStyle="1" w:styleId="Heading2Char">
    <w:name w:val="Heading 2 Char"/>
    <w:basedOn w:val="DefaultParagraphFont"/>
    <w:link w:val="Heading2"/>
    <w:uiPriority w:val="9"/>
    <w:rsid w:val="00491F7E"/>
    <w:rPr>
      <w:rFonts w:ascii="Calibri Light" w:eastAsia="Times New Roman" w:hAnsi="Calibri Light" w:cs="Times New Roman"/>
      <w:color w:val="2F5496"/>
      <w:sz w:val="26"/>
      <w:szCs w:val="26"/>
    </w:rPr>
  </w:style>
  <w:style w:type="character" w:customStyle="1" w:styleId="Heading3Char">
    <w:name w:val="Heading 3 Char"/>
    <w:aliases w:val="3 bullet Char,b Char,H3 Char,h3 Char,Level 3 Topic Heading Char,h31 Char,h32 Char,L3 Char,l3 Char,l31 Char,3 Char,3rd level Char,Head 3 Char,subhead Char,1. Char,TF-Overskrift 3 Char,Subhead Char,titre 1.1.1 Char,ITT t3 Char,l32 Char"/>
    <w:basedOn w:val="DefaultParagraphFont"/>
    <w:link w:val="131"/>
    <w:uiPriority w:val="9"/>
    <w:rsid w:val="00491F7E"/>
    <w:rPr>
      <w:rFonts w:ascii="Calibri Light" w:eastAsia="Times New Roman" w:hAnsi="Calibri Light" w:cs="Times New Roman"/>
      <w:color w:val="1F3763"/>
      <w:sz w:val="24"/>
      <w:szCs w:val="24"/>
    </w:rPr>
  </w:style>
  <w:style w:type="paragraph" w:customStyle="1" w:styleId="Heading71">
    <w:name w:val="Heading 71"/>
    <w:basedOn w:val="Normal"/>
    <w:next w:val="Normal"/>
    <w:qFormat/>
    <w:rsid w:val="00491F7E"/>
    <w:pPr>
      <w:keepNext/>
      <w:keepLines/>
      <w:widowControl/>
      <w:autoSpaceDE/>
      <w:autoSpaceDN/>
      <w:spacing w:before="200" w:line="259" w:lineRule="auto"/>
      <w:ind w:left="5030" w:hanging="360"/>
      <w:outlineLvl w:val="6"/>
    </w:pPr>
    <w:rPr>
      <w:rFonts w:ascii="Avenir Next LT Pro Demi" w:eastAsia="MS Gothic" w:hAnsi="Avenir Next LT Pro Demi" w:cs="Times New Roman"/>
      <w:i/>
      <w:iCs/>
      <w:color w:val="404040"/>
      <w:sz w:val="20"/>
      <w:szCs w:val="24"/>
    </w:rPr>
  </w:style>
  <w:style w:type="paragraph" w:customStyle="1" w:styleId="Heading81">
    <w:name w:val="Heading 81"/>
    <w:basedOn w:val="Normal"/>
    <w:next w:val="Normal"/>
    <w:qFormat/>
    <w:rsid w:val="00491F7E"/>
    <w:pPr>
      <w:keepNext/>
      <w:keepLines/>
      <w:widowControl/>
      <w:autoSpaceDE/>
      <w:autoSpaceDN/>
      <w:spacing w:before="200" w:line="259" w:lineRule="auto"/>
      <w:ind w:left="5750" w:hanging="360"/>
      <w:outlineLvl w:val="7"/>
    </w:pPr>
    <w:rPr>
      <w:rFonts w:ascii="Avenir Next LT Pro Demi" w:eastAsia="MS Gothic" w:hAnsi="Avenir Next LT Pro Demi" w:cs="Times New Roman"/>
      <w:color w:val="363636"/>
      <w:sz w:val="20"/>
      <w:szCs w:val="20"/>
    </w:rPr>
  </w:style>
  <w:style w:type="paragraph" w:customStyle="1" w:styleId="Heading91">
    <w:name w:val="Heading 91"/>
    <w:basedOn w:val="Normal"/>
    <w:next w:val="Normal"/>
    <w:qFormat/>
    <w:rsid w:val="00491F7E"/>
    <w:pPr>
      <w:keepNext/>
      <w:keepLines/>
      <w:widowControl/>
      <w:autoSpaceDE/>
      <w:autoSpaceDN/>
      <w:spacing w:before="200" w:line="259" w:lineRule="auto"/>
      <w:ind w:left="6470" w:hanging="180"/>
      <w:outlineLvl w:val="8"/>
    </w:pPr>
    <w:rPr>
      <w:rFonts w:ascii="Avenir Next LT Pro Demi" w:eastAsia="MS Gothic" w:hAnsi="Avenir Next LT Pro Demi" w:cs="Times New Roman"/>
      <w:i/>
      <w:iCs/>
      <w:color w:val="363636"/>
      <w:sz w:val="20"/>
      <w:szCs w:val="20"/>
    </w:rPr>
  </w:style>
  <w:style w:type="character" w:customStyle="1" w:styleId="Heading5Char">
    <w:name w:val="Heading 5 Char"/>
    <w:basedOn w:val="DefaultParagraphFont"/>
    <w:rsid w:val="00491F7E"/>
    <w:rPr>
      <w:rFonts w:ascii="Avenir Next LT Pro Demi" w:eastAsia="MS Gothic" w:hAnsi="Avenir Next LT Pro Demi" w:cs="Times New Roman"/>
      <w:b/>
      <w:sz w:val="20"/>
      <w:szCs w:val="24"/>
    </w:rPr>
  </w:style>
  <w:style w:type="character" w:customStyle="1" w:styleId="ListParagraphChar">
    <w:name w:val="List Paragraph Char"/>
    <w:aliases w:val="numbered Char,FooterText Char,List Paragraph1 Char,Paragraphe de liste1 Char,Bulletr List Paragraph Char,列出段落 Char,列出段落1 Char"/>
    <w:link w:val="ListParagraph"/>
    <w:uiPriority w:val="34"/>
    <w:locked/>
    <w:rsid w:val="00491F7E"/>
    <w:rPr>
      <w:rFonts w:ascii="Calibri" w:eastAsia="Calibri" w:hAnsi="Calibri" w:cs="Calibri"/>
    </w:rPr>
  </w:style>
  <w:style w:type="table" w:customStyle="1" w:styleId="GridTable1Light-Accent11">
    <w:name w:val="Grid Table 1 Light - Accent 11"/>
    <w:basedOn w:val="TableNormal"/>
    <w:next w:val="GridTable1Light-Accent1"/>
    <w:uiPriority w:val="46"/>
    <w:rsid w:val="00491F7E"/>
    <w:pPr>
      <w:widowControl/>
      <w:autoSpaceDE/>
      <w:autoSpaceDN/>
    </w:pPr>
    <w:rPr>
      <w:rFonts w:ascii="Calibri" w:eastAsia="SimSun" w:hAnsi="Calibri" w:cs="Times New Roman"/>
      <w:sz w:val="20"/>
      <w:szCs w:val="20"/>
    </w:rPr>
    <w:tblPr>
      <w:tblStyleRowBandSize w:val="1"/>
      <w:tblStyleColBandSize w:val="1"/>
      <w:tblBorders>
        <w:top w:val="single" w:sz="4" w:space="0" w:color="5990FF"/>
        <w:left w:val="single" w:sz="4" w:space="0" w:color="5990FF"/>
        <w:bottom w:val="single" w:sz="4" w:space="0" w:color="5990FF"/>
        <w:right w:val="single" w:sz="4" w:space="0" w:color="5990FF"/>
        <w:insideH w:val="single" w:sz="4" w:space="0" w:color="5990FF"/>
        <w:insideV w:val="single" w:sz="4" w:space="0" w:color="5990FF"/>
      </w:tblBorders>
    </w:tblPr>
    <w:tblStylePr w:type="firstRow">
      <w:rPr>
        <w:b/>
        <w:bCs/>
      </w:rPr>
      <w:tblPr/>
      <w:tcPr>
        <w:tcBorders>
          <w:bottom w:val="single" w:sz="12" w:space="0" w:color="0659FF"/>
        </w:tcBorders>
      </w:tcPr>
    </w:tblStylePr>
    <w:tblStylePr w:type="lastRow">
      <w:rPr>
        <w:b/>
        <w:bCs/>
      </w:rPr>
      <w:tblPr/>
      <w:tcPr>
        <w:tcBorders>
          <w:top w:val="double" w:sz="2" w:space="0" w:color="0659FF"/>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491F7E"/>
    <w:pPr>
      <w:widowControl/>
      <w:autoSpaceDE/>
      <w:autoSpaceDN/>
    </w:p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paragraph" w:styleId="Caption">
    <w:name w:val="caption"/>
    <w:aliases w:val="Figure Caption,Graphic Caption,gc,EDS Caption,cp,Picture - Caption"/>
    <w:basedOn w:val="Normal"/>
    <w:next w:val="Normal"/>
    <w:link w:val="CaptionChar"/>
    <w:uiPriority w:val="99"/>
    <w:unhideWhenUsed/>
    <w:qFormat/>
    <w:rsid w:val="00491F7E"/>
    <w:pPr>
      <w:widowControl/>
      <w:autoSpaceDE/>
      <w:autoSpaceDN/>
      <w:spacing w:after="200" w:line="259" w:lineRule="auto"/>
      <w:jc w:val="center"/>
    </w:pPr>
    <w:rPr>
      <w:rFonts w:eastAsia="SimSun" w:cs="Times New Roman"/>
      <w:b/>
      <w:bCs/>
      <w:color w:val="4F81BD"/>
      <w:sz w:val="18"/>
      <w:szCs w:val="18"/>
    </w:rPr>
  </w:style>
  <w:style w:type="character" w:customStyle="1" w:styleId="CaptionChar">
    <w:name w:val="Caption Char"/>
    <w:aliases w:val="Figure Caption Char,Graphic Caption Char,gc Char,EDS Caption Char,cp Char,Picture - Caption Char"/>
    <w:link w:val="Caption"/>
    <w:uiPriority w:val="99"/>
    <w:locked/>
    <w:rsid w:val="00491F7E"/>
    <w:rPr>
      <w:rFonts w:ascii="Calibri" w:eastAsia="SimSun" w:hAnsi="Calibri" w:cs="Times New Roman"/>
      <w:b/>
      <w:bCs/>
      <w:color w:val="4F81BD"/>
      <w:sz w:val="18"/>
      <w:szCs w:val="18"/>
    </w:rPr>
  </w:style>
  <w:style w:type="table" w:customStyle="1" w:styleId="ListTable3-Accent11">
    <w:name w:val="List Table 3 - Accent 11"/>
    <w:basedOn w:val="TableNormal"/>
    <w:next w:val="ListTable3-Accent1"/>
    <w:uiPriority w:val="48"/>
    <w:rsid w:val="00491F7E"/>
    <w:pPr>
      <w:widowControl/>
      <w:autoSpaceDE/>
      <w:autoSpaceDN/>
    </w:pPr>
    <w:rPr>
      <w:rFonts w:ascii="Calibri" w:eastAsia="SimSun" w:hAnsi="Calibri" w:cs="Times New Roman"/>
      <w:sz w:val="20"/>
      <w:szCs w:val="20"/>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character" w:styleId="PageNumber">
    <w:name w:val="page number"/>
    <w:basedOn w:val="DefaultParagraphFont"/>
    <w:rsid w:val="00491F7E"/>
  </w:style>
  <w:style w:type="paragraph" w:customStyle="1" w:styleId="TableColumnHeading">
    <w:name w:val="TableColumnHeading"/>
    <w:basedOn w:val="Normal"/>
    <w:next w:val="Normal"/>
    <w:rsid w:val="00491F7E"/>
    <w:pPr>
      <w:widowControl/>
      <w:autoSpaceDE/>
      <w:autoSpaceDN/>
      <w:spacing w:before="60" w:after="60" w:line="259" w:lineRule="auto"/>
      <w:jc w:val="center"/>
    </w:pPr>
    <w:rPr>
      <w:rFonts w:ascii="Arial" w:eastAsia="Times New Roman" w:hAnsi="Arial" w:cs="Arial"/>
      <w:b/>
      <w:sz w:val="20"/>
      <w:szCs w:val="20"/>
    </w:rPr>
  </w:style>
  <w:style w:type="paragraph" w:styleId="BalloonText">
    <w:name w:val="Balloon Text"/>
    <w:basedOn w:val="Normal"/>
    <w:link w:val="BalloonTextChar"/>
    <w:uiPriority w:val="99"/>
    <w:semiHidden/>
    <w:unhideWhenUsed/>
    <w:rsid w:val="00491F7E"/>
    <w:pPr>
      <w:widowControl/>
      <w:autoSpaceDE/>
      <w:autoSpaceDN/>
      <w:spacing w:line="259"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491F7E"/>
    <w:rPr>
      <w:rFonts w:ascii="Segoe UI" w:eastAsia="Times New Roman" w:hAnsi="Segoe UI" w:cs="Segoe UI"/>
      <w:sz w:val="18"/>
      <w:szCs w:val="18"/>
    </w:rPr>
  </w:style>
  <w:style w:type="paragraph" w:customStyle="1" w:styleId="paragraph">
    <w:name w:val="paragraph"/>
    <w:basedOn w:val="Normal"/>
    <w:rsid w:val="00491F7E"/>
    <w:pPr>
      <w:widowControl/>
      <w:autoSpaceDE/>
      <w:autoSpaceDN/>
      <w:spacing w:before="100" w:beforeAutospacing="1" w:after="100" w:afterAutospacing="1" w:line="259"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91F7E"/>
  </w:style>
  <w:style w:type="character" w:customStyle="1" w:styleId="eop">
    <w:name w:val="eop"/>
    <w:basedOn w:val="DefaultParagraphFont"/>
    <w:rsid w:val="00491F7E"/>
  </w:style>
  <w:style w:type="table" w:customStyle="1" w:styleId="GridTable4-Accent51">
    <w:name w:val="Grid Table 4 - Accent 51"/>
    <w:basedOn w:val="TableNormal"/>
    <w:next w:val="GridTable4-Accent5"/>
    <w:uiPriority w:val="49"/>
    <w:rsid w:val="00491F7E"/>
    <w:pPr>
      <w:widowControl/>
      <w:autoSpaceDE/>
      <w:autoSpaceDN/>
    </w:pPr>
    <w:tblPr>
      <w:tblStyleRowBandSize w:val="1"/>
      <w:tblStyleColBandSize w:val="1"/>
      <w:tblBorders>
        <w:top w:val="single" w:sz="4" w:space="0" w:color="F8CFB4"/>
        <w:left w:val="single" w:sz="4" w:space="0" w:color="F8CFB4"/>
        <w:bottom w:val="single" w:sz="4" w:space="0" w:color="F8CFB4"/>
        <w:right w:val="single" w:sz="4" w:space="0" w:color="F8CFB4"/>
        <w:insideH w:val="single" w:sz="4" w:space="0" w:color="F8CFB4"/>
        <w:insideV w:val="single" w:sz="4" w:space="0" w:color="F8CFB4"/>
      </w:tblBorders>
    </w:tblPr>
    <w:tblStylePr w:type="firstRow">
      <w:rPr>
        <w:b/>
        <w:bCs/>
        <w:color w:val="FFFFFF"/>
      </w:rPr>
      <w:tblPr/>
      <w:tcPr>
        <w:tcBorders>
          <w:top w:val="single" w:sz="4" w:space="0" w:color="F4B183"/>
          <w:left w:val="single" w:sz="4" w:space="0" w:color="F4B183"/>
          <w:bottom w:val="single" w:sz="4" w:space="0" w:color="F4B183"/>
          <w:right w:val="single" w:sz="4" w:space="0" w:color="F4B183"/>
          <w:insideH w:val="nil"/>
          <w:insideV w:val="nil"/>
        </w:tcBorders>
        <w:shd w:val="clear" w:color="auto" w:fill="F4B183"/>
      </w:tcPr>
    </w:tblStylePr>
    <w:tblStylePr w:type="lastRow">
      <w:rPr>
        <w:b/>
        <w:bCs/>
      </w:rPr>
      <w:tblPr/>
      <w:tcPr>
        <w:tcBorders>
          <w:top w:val="double" w:sz="4" w:space="0" w:color="F4B183"/>
        </w:tcBorders>
      </w:tcPr>
    </w:tblStylePr>
    <w:tblStylePr w:type="firstCol">
      <w:rPr>
        <w:b/>
        <w:bCs/>
      </w:rPr>
    </w:tblStylePr>
    <w:tblStylePr w:type="lastCol">
      <w:rPr>
        <w:b/>
        <w:bCs/>
      </w:rPr>
    </w:tblStylePr>
    <w:tblStylePr w:type="band1Vert">
      <w:tblPr/>
      <w:tcPr>
        <w:shd w:val="clear" w:color="auto" w:fill="FCEFE6"/>
      </w:tcPr>
    </w:tblStylePr>
    <w:tblStylePr w:type="band1Horz">
      <w:tblPr/>
      <w:tcPr>
        <w:shd w:val="clear" w:color="auto" w:fill="FCEFE6"/>
      </w:tcPr>
    </w:tblStylePr>
  </w:style>
  <w:style w:type="paragraph" w:styleId="Revision">
    <w:name w:val="Revision"/>
    <w:hidden/>
    <w:uiPriority w:val="99"/>
    <w:semiHidden/>
    <w:rsid w:val="00491F7E"/>
    <w:pPr>
      <w:widowControl/>
      <w:autoSpaceDE/>
      <w:autoSpaceDN/>
    </w:pPr>
  </w:style>
  <w:style w:type="paragraph" w:styleId="NormalWeb">
    <w:name w:val="Normal (Web)"/>
    <w:basedOn w:val="Normal"/>
    <w:uiPriority w:val="99"/>
    <w:unhideWhenUsed/>
    <w:rsid w:val="00491F7E"/>
    <w:pPr>
      <w:widowControl/>
      <w:autoSpaceDE/>
      <w:autoSpaceDN/>
      <w:spacing w:before="100" w:beforeAutospacing="1" w:after="100" w:afterAutospacing="1" w:line="259"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91F7E"/>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Header">
    <w:name w:val="Tbl Header"/>
    <w:basedOn w:val="Normal"/>
    <w:rsid w:val="00491F7E"/>
    <w:pPr>
      <w:widowControl/>
      <w:tabs>
        <w:tab w:val="center" w:pos="4680"/>
      </w:tabs>
      <w:autoSpaceDE/>
      <w:autoSpaceDN/>
      <w:spacing w:before="120" w:after="160" w:line="259" w:lineRule="auto"/>
      <w:jc w:val="center"/>
    </w:pPr>
    <w:rPr>
      <w:rFonts w:ascii="Verdana" w:eastAsia="Times New Roman" w:hAnsi="Verdana" w:cs="Times New Roman"/>
      <w:b/>
      <w:i/>
      <w:color w:val="FFFFFF"/>
      <w:sz w:val="20"/>
      <w:szCs w:val="20"/>
    </w:rPr>
  </w:style>
  <w:style w:type="paragraph" w:customStyle="1" w:styleId="rightalign">
    <w:name w:val="right align"/>
    <w:basedOn w:val="Normal"/>
    <w:rsid w:val="00491F7E"/>
    <w:pPr>
      <w:widowControl/>
      <w:tabs>
        <w:tab w:val="center" w:pos="4680"/>
      </w:tabs>
      <w:autoSpaceDE/>
      <w:autoSpaceDN/>
      <w:spacing w:line="259" w:lineRule="auto"/>
      <w:jc w:val="right"/>
    </w:pPr>
    <w:rPr>
      <w:rFonts w:ascii="Verdana" w:eastAsia="Times New Roman" w:hAnsi="Verdana" w:cs="Times New Roman"/>
      <w:sz w:val="20"/>
      <w:szCs w:val="20"/>
    </w:rPr>
  </w:style>
  <w:style w:type="character" w:customStyle="1" w:styleId="FollowedHyperlink1">
    <w:name w:val="FollowedHyperlink1"/>
    <w:basedOn w:val="DefaultParagraphFont"/>
    <w:uiPriority w:val="99"/>
    <w:semiHidden/>
    <w:unhideWhenUsed/>
    <w:rsid w:val="00491F7E"/>
    <w:rPr>
      <w:color w:val="954F72"/>
      <w:u w:val="single"/>
    </w:rPr>
  </w:style>
  <w:style w:type="paragraph" w:customStyle="1" w:styleId="TableTitle">
    <w:name w:val="TableTitle"/>
    <w:basedOn w:val="Caption"/>
    <w:link w:val="TableTitleChar"/>
    <w:qFormat/>
    <w:rsid w:val="00491F7E"/>
    <w:pPr>
      <w:keepNext/>
      <w:spacing w:before="120"/>
    </w:pPr>
  </w:style>
  <w:style w:type="paragraph" w:customStyle="1" w:styleId="BulletListItem">
    <w:name w:val="BulletListItem"/>
    <w:basedOn w:val="ListParagraph"/>
    <w:link w:val="BulletListItemChar"/>
    <w:qFormat/>
    <w:rsid w:val="00491F7E"/>
    <w:pPr>
      <w:widowControl/>
      <w:numPr>
        <w:numId w:val="18"/>
      </w:numPr>
      <w:autoSpaceDE/>
      <w:autoSpaceDN/>
      <w:spacing w:before="0" w:line="259" w:lineRule="auto"/>
      <w:contextualSpacing/>
      <w:jc w:val="both"/>
    </w:pPr>
    <w:rPr>
      <w:rFonts w:eastAsia="SimSun" w:cs="Times New Roman"/>
      <w:sz w:val="20"/>
      <w:szCs w:val="20"/>
    </w:rPr>
  </w:style>
  <w:style w:type="character" w:customStyle="1" w:styleId="TableTitleChar">
    <w:name w:val="TableTitle Char"/>
    <w:basedOn w:val="CaptionChar"/>
    <w:link w:val="TableTitle"/>
    <w:rsid w:val="00491F7E"/>
    <w:rPr>
      <w:rFonts w:ascii="Calibri" w:eastAsia="SimSun" w:hAnsi="Calibri" w:cs="Times New Roman"/>
      <w:b/>
      <w:bCs/>
      <w:color w:val="4F81BD"/>
      <w:sz w:val="18"/>
      <w:szCs w:val="18"/>
    </w:rPr>
  </w:style>
  <w:style w:type="character" w:customStyle="1" w:styleId="BulletListItemChar">
    <w:name w:val="BulletListItem Char"/>
    <w:basedOn w:val="ListParagraphChar"/>
    <w:link w:val="BulletListItem"/>
    <w:rsid w:val="00491F7E"/>
    <w:rPr>
      <w:rFonts w:ascii="Calibri" w:eastAsia="SimSun" w:hAnsi="Calibri" w:cs="Times New Roman"/>
      <w:sz w:val="20"/>
      <w:szCs w:val="20"/>
    </w:rPr>
  </w:style>
  <w:style w:type="paragraph" w:styleId="z-TopofForm">
    <w:name w:val="HTML Top of Form"/>
    <w:basedOn w:val="Normal"/>
    <w:next w:val="Normal"/>
    <w:link w:val="z-TopofFormChar"/>
    <w:hidden/>
    <w:uiPriority w:val="99"/>
    <w:semiHidden/>
    <w:unhideWhenUsed/>
    <w:rsid w:val="00491F7E"/>
    <w:pPr>
      <w:widowControl/>
      <w:pBdr>
        <w:bottom w:val="single" w:sz="6" w:space="1" w:color="auto"/>
      </w:pBdr>
      <w:autoSpaceDE/>
      <w:autoSpaceDN/>
      <w:spacing w:line="259"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91F7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91F7E"/>
    <w:pPr>
      <w:widowControl/>
      <w:pBdr>
        <w:top w:val="single" w:sz="6" w:space="1" w:color="auto"/>
      </w:pBdr>
      <w:autoSpaceDE/>
      <w:autoSpaceDN/>
      <w:spacing w:line="259"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91F7E"/>
    <w:rPr>
      <w:rFonts w:ascii="Arial" w:eastAsia="Times New Roman" w:hAnsi="Arial" w:cs="Arial"/>
      <w:vanish/>
      <w:sz w:val="16"/>
      <w:szCs w:val="16"/>
    </w:rPr>
  </w:style>
  <w:style w:type="character" w:customStyle="1" w:styleId="cf01">
    <w:name w:val="cf01"/>
    <w:basedOn w:val="DefaultParagraphFont"/>
    <w:rsid w:val="00491F7E"/>
    <w:rPr>
      <w:rFonts w:ascii="Segoe UI" w:hAnsi="Segoe UI" w:cs="Segoe UI" w:hint="default"/>
      <w:sz w:val="18"/>
      <w:szCs w:val="18"/>
    </w:rPr>
  </w:style>
  <w:style w:type="character" w:customStyle="1" w:styleId="Heading5Char1">
    <w:name w:val="Heading 5 Char1"/>
    <w:basedOn w:val="DefaultParagraphFont"/>
    <w:link w:val="Heading51"/>
    <w:uiPriority w:val="9"/>
    <w:semiHidden/>
    <w:rsid w:val="00491F7E"/>
    <w:rPr>
      <w:rFonts w:ascii="Calibri Light" w:eastAsia="Times New Roman" w:hAnsi="Calibri Light" w:cs="Times New Roman"/>
      <w:color w:val="2F5496"/>
    </w:rPr>
  </w:style>
  <w:style w:type="character" w:customStyle="1" w:styleId="Heading7Char1">
    <w:name w:val="Heading 7 Char1"/>
    <w:basedOn w:val="DefaultParagraphFont"/>
    <w:uiPriority w:val="9"/>
    <w:semiHidden/>
    <w:rsid w:val="00491F7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491F7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491F7E"/>
    <w:rPr>
      <w:rFonts w:ascii="Calibri Light" w:eastAsia="Times New Roman" w:hAnsi="Calibri Light" w:cs="Times New Roman"/>
      <w:i/>
      <w:iCs/>
      <w:color w:val="272727"/>
      <w:sz w:val="21"/>
      <w:szCs w:val="21"/>
    </w:rPr>
  </w:style>
  <w:style w:type="table" w:customStyle="1" w:styleId="GridTable1Light-Accent12">
    <w:name w:val="Grid Table 1 Light - Accent 12"/>
    <w:basedOn w:val="TableNormal"/>
    <w:next w:val="GridTable1Light-Accent1"/>
    <w:uiPriority w:val="46"/>
    <w:rsid w:val="00491F7E"/>
    <w:pPr>
      <w:widowControl/>
      <w:autoSpaceDE/>
      <w:autoSpaceDN/>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2">
    <w:name w:val="Grid Table 4 - Accent 12"/>
    <w:basedOn w:val="TableNormal"/>
    <w:next w:val="GridTable4-Accent1"/>
    <w:uiPriority w:val="49"/>
    <w:rsid w:val="00491F7E"/>
    <w:pPr>
      <w:widowControl/>
      <w:autoSpaceDE/>
      <w:autoSpaceDN/>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2">
    <w:name w:val="List Table 3 - Accent 12"/>
    <w:basedOn w:val="TableNormal"/>
    <w:next w:val="ListTable3-Accent1"/>
    <w:uiPriority w:val="48"/>
    <w:rsid w:val="00491F7E"/>
    <w:pPr>
      <w:widowControl/>
      <w:autoSpaceDE/>
      <w:autoSpaceDN/>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52">
    <w:name w:val="Grid Table 4 - Accent 52"/>
    <w:basedOn w:val="TableNormal"/>
    <w:next w:val="GridTable4-Accent5"/>
    <w:uiPriority w:val="49"/>
    <w:rsid w:val="00491F7E"/>
    <w:pPr>
      <w:widowControl/>
      <w:autoSpaceDE/>
      <w:autoSpaceDN/>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Grid">
    <w:name w:val="Table Grid"/>
    <w:basedOn w:val="TableNormal"/>
    <w:uiPriority w:val="39"/>
    <w:rsid w:val="00491F7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2">
    <w:name w:val="FollowedHyperlink2"/>
    <w:basedOn w:val="DefaultParagraphFont"/>
    <w:uiPriority w:val="99"/>
    <w:semiHidden/>
    <w:unhideWhenUsed/>
    <w:rsid w:val="00491F7E"/>
    <w:rPr>
      <w:color w:val="954F72"/>
      <w:u w:val="single"/>
    </w:rPr>
  </w:style>
  <w:style w:type="character" w:customStyle="1" w:styleId="Heading3Char1">
    <w:name w:val="Heading 3 Char1"/>
    <w:basedOn w:val="DefaultParagraphFont"/>
    <w:link w:val="Heading3"/>
    <w:uiPriority w:val="9"/>
    <w:semiHidden/>
    <w:rsid w:val="00491F7E"/>
    <w:rPr>
      <w:rFonts w:asciiTheme="majorHAnsi" w:eastAsiaTheme="majorEastAsia" w:hAnsiTheme="majorHAnsi" w:cstheme="majorBidi"/>
      <w:color w:val="243F60" w:themeColor="accent1" w:themeShade="7F"/>
      <w:sz w:val="24"/>
      <w:szCs w:val="24"/>
    </w:rPr>
  </w:style>
  <w:style w:type="character" w:customStyle="1" w:styleId="Heading5Char2">
    <w:name w:val="Heading 5 Char2"/>
    <w:basedOn w:val="DefaultParagraphFont"/>
    <w:link w:val="Heading5"/>
    <w:uiPriority w:val="9"/>
    <w:semiHidden/>
    <w:rsid w:val="00491F7E"/>
    <w:rPr>
      <w:rFonts w:asciiTheme="majorHAnsi" w:eastAsiaTheme="majorEastAsia" w:hAnsiTheme="majorHAnsi" w:cstheme="majorBidi"/>
      <w:color w:val="365F91" w:themeColor="accent1" w:themeShade="BF"/>
    </w:rPr>
  </w:style>
  <w:style w:type="paragraph" w:styleId="Header">
    <w:name w:val="header"/>
    <w:basedOn w:val="Normal"/>
    <w:link w:val="HeaderChar1"/>
    <w:uiPriority w:val="99"/>
    <w:semiHidden/>
    <w:unhideWhenUsed/>
    <w:rsid w:val="00491F7E"/>
    <w:pPr>
      <w:tabs>
        <w:tab w:val="center" w:pos="4680"/>
        <w:tab w:val="right" w:pos="9360"/>
      </w:tabs>
    </w:pPr>
  </w:style>
  <w:style w:type="character" w:customStyle="1" w:styleId="HeaderChar1">
    <w:name w:val="Header Char1"/>
    <w:basedOn w:val="DefaultParagraphFont"/>
    <w:link w:val="Header"/>
    <w:uiPriority w:val="99"/>
    <w:semiHidden/>
    <w:rsid w:val="00491F7E"/>
    <w:rPr>
      <w:rFonts w:ascii="Calibri" w:eastAsia="Calibri" w:hAnsi="Calibri" w:cs="Calibri"/>
    </w:rPr>
  </w:style>
  <w:style w:type="paragraph" w:styleId="Footer">
    <w:name w:val="footer"/>
    <w:basedOn w:val="Normal"/>
    <w:link w:val="FooterChar1"/>
    <w:uiPriority w:val="99"/>
    <w:semiHidden/>
    <w:unhideWhenUsed/>
    <w:rsid w:val="00491F7E"/>
    <w:pPr>
      <w:tabs>
        <w:tab w:val="center" w:pos="4680"/>
        <w:tab w:val="right" w:pos="9360"/>
      </w:tabs>
    </w:pPr>
  </w:style>
  <w:style w:type="character" w:customStyle="1" w:styleId="FooterChar1">
    <w:name w:val="Footer Char1"/>
    <w:basedOn w:val="DefaultParagraphFont"/>
    <w:link w:val="Footer"/>
    <w:uiPriority w:val="99"/>
    <w:semiHidden/>
    <w:rsid w:val="00491F7E"/>
    <w:rPr>
      <w:rFonts w:ascii="Calibri" w:eastAsia="Calibri" w:hAnsi="Calibri" w:cs="Calibri"/>
    </w:rPr>
  </w:style>
  <w:style w:type="paragraph" w:styleId="Title">
    <w:name w:val="Title"/>
    <w:basedOn w:val="Normal"/>
    <w:next w:val="Normal"/>
    <w:link w:val="TitleChar"/>
    <w:uiPriority w:val="10"/>
    <w:qFormat/>
    <w:rsid w:val="00491F7E"/>
    <w:pPr>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491F7E"/>
    <w:rPr>
      <w:rFonts w:asciiTheme="majorHAnsi" w:eastAsiaTheme="majorEastAsia" w:hAnsiTheme="majorHAnsi" w:cstheme="majorBidi"/>
      <w:spacing w:val="-10"/>
      <w:kern w:val="28"/>
      <w:sz w:val="56"/>
      <w:szCs w:val="56"/>
    </w:rPr>
  </w:style>
  <w:style w:type="character" w:customStyle="1" w:styleId="Heading2Char1">
    <w:name w:val="Heading 2 Char1"/>
    <w:basedOn w:val="DefaultParagraphFont"/>
    <w:uiPriority w:val="9"/>
    <w:semiHidden/>
    <w:rsid w:val="00491F7E"/>
    <w:rPr>
      <w:rFonts w:asciiTheme="majorHAnsi" w:eastAsiaTheme="majorEastAsia" w:hAnsiTheme="majorHAnsi" w:cstheme="majorBidi"/>
      <w:color w:val="365F91" w:themeColor="accent1" w:themeShade="BF"/>
      <w:sz w:val="26"/>
      <w:szCs w:val="26"/>
    </w:rPr>
  </w:style>
  <w:style w:type="table" w:styleId="GridTable1Light-Accent1">
    <w:name w:val="Grid Table 1 Light Accent 1"/>
    <w:basedOn w:val="TableNormal"/>
    <w:uiPriority w:val="46"/>
    <w:rsid w:val="00491F7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491F7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91F7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5">
    <w:name w:val="Grid Table 4 Accent 5"/>
    <w:basedOn w:val="TableNormal"/>
    <w:uiPriority w:val="49"/>
    <w:rsid w:val="00491F7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491F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6472381">
      <w:bodyDiv w:val="1"/>
      <w:marLeft w:val="0"/>
      <w:marRight w:val="0"/>
      <w:marTop w:val="0"/>
      <w:marBottom w:val="0"/>
      <w:divBdr>
        <w:top w:val="none" w:sz="0" w:space="0" w:color="auto"/>
        <w:left w:val="none" w:sz="0" w:space="0" w:color="auto"/>
        <w:bottom w:val="none" w:sz="0" w:space="0" w:color="auto"/>
        <w:right w:val="none" w:sz="0" w:space="0" w:color="auto"/>
      </w:divBdr>
    </w:div>
    <w:div w:id="2075156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ws.amazon.com/pricing/services/" TargetMode="External"/><Relationship Id="rId18" Type="http://schemas.openxmlformats.org/officeDocument/2006/relationships/hyperlink" Target="https://cloud.google.com/products/calculator/" TargetMode="External"/><Relationship Id="rId26" Type="http://schemas.openxmlformats.org/officeDocument/2006/relationships/hyperlink" Target="https://aws.amazon.com/managed-services/features/accelerate-operations-plan/" TargetMode="External"/><Relationship Id="rId3" Type="http://schemas.openxmlformats.org/officeDocument/2006/relationships/customXml" Target="../customXml/item3.xml"/><Relationship Id="rId21" Type="http://schemas.openxmlformats.org/officeDocument/2006/relationships/hyperlink" Target="https://www.snowflake.com/en/"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loud.google.com/products/" TargetMode="External"/><Relationship Id="rId17" Type="http://schemas.openxmlformats.org/officeDocument/2006/relationships/hyperlink" Target="https://azure.microsoft.com/en-us/pricing/" TargetMode="External"/><Relationship Id="rId25" Type="http://schemas.openxmlformats.org/officeDocument/2006/relationships/hyperlink" Target="https://aws.amazon.com/managed-services/features/advanced-operations-pla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alculator.s3.amazonaws.com/index.html" TargetMode="External"/><Relationship Id="rId20" Type="http://schemas.openxmlformats.org/officeDocument/2006/relationships/hyperlink" Target="https://www.alation.com/" TargetMode="External"/><Relationship Id="rId29" Type="http://schemas.openxmlformats.org/officeDocument/2006/relationships/hyperlink" Target="https://azure.microsoft.com/en-us/support/legal/sla/virtual-machines/v1_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zure.microsoft.com/en-us/services/" TargetMode="External"/><Relationship Id="rId24" Type="http://schemas.openxmlformats.org/officeDocument/2006/relationships/hyperlink" Target="http://www.oracle.com/corporate/pricing/naspo-cloud-solutions.html"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cloud.google.com/pricing/" TargetMode="External"/><Relationship Id="rId23" Type="http://schemas.openxmlformats.org/officeDocument/2006/relationships/hyperlink" Target="https://www.cardinality.ai/" TargetMode="External"/><Relationship Id="rId28" Type="http://schemas.openxmlformats.org/officeDocument/2006/relationships/hyperlink" Target="https://aws.amazon.com/ec2/sla/" TargetMode="External"/><Relationship Id="rId10" Type="http://schemas.openxmlformats.org/officeDocument/2006/relationships/hyperlink" Target="https://aws.amazon.com/products" TargetMode="External"/><Relationship Id="rId19" Type="http://schemas.openxmlformats.org/officeDocument/2006/relationships/hyperlink" Target="https://aws.amazon.com/marketplace/seller-profile?id=cb17135a-f9d6-4e4a-8818-9377c415134e"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zure.microsoft.com/en-us/pricing/" TargetMode="External"/><Relationship Id="rId22" Type="http://schemas.openxmlformats.org/officeDocument/2006/relationships/hyperlink" Target="https://www.informatica.com/" TargetMode="External"/><Relationship Id="rId27" Type="http://schemas.openxmlformats.org/officeDocument/2006/relationships/image" Target="media/image1.jpg"/><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C9EDD7073C554499AEB2A7F09991BF" ma:contentTypeVersion="11" ma:contentTypeDescription="Create a new document." ma:contentTypeScope="" ma:versionID="741b502af9d41d384aa0433fccb22e0d">
  <xsd:schema xmlns:xsd="http://www.w3.org/2001/XMLSchema" xmlns:xs="http://www.w3.org/2001/XMLSchema" xmlns:p="http://schemas.microsoft.com/office/2006/metadata/properties" xmlns:ns2="b6f330a4-1ea3-410d-a9df-b685bfb9c7c8" xmlns:ns3="606e1944-51b0-418c-abbe-2f4e737d5015" targetNamespace="http://schemas.microsoft.com/office/2006/metadata/properties" ma:root="true" ma:fieldsID="e8bc3a2da9a227a11f67115051bb0af9" ns2:_="" ns3:_="">
    <xsd:import namespace="b6f330a4-1ea3-410d-a9df-b685bfb9c7c8"/>
    <xsd:import namespace="606e1944-51b0-418c-abbe-2f4e737d50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f330a4-1ea3-410d-a9df-b685bfb9c7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1bce62-6017-4388-8835-9aaf46f534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6e1944-51b0-418c-abbe-2f4e737d501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93fb81-8c2c-4c49-b6ba-6a3cda76363f}" ma:internalName="TaxCatchAll" ma:showField="CatchAllData" ma:web="606e1944-51b0-418c-abbe-2f4e737d50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f330a4-1ea3-410d-a9df-b685bfb9c7c8">
      <Terms xmlns="http://schemas.microsoft.com/office/infopath/2007/PartnerControls"/>
    </lcf76f155ced4ddcb4097134ff3c332f>
    <TaxCatchAll xmlns="606e1944-51b0-418c-abbe-2f4e737d5015" xsi:nil="true"/>
  </documentManagement>
</p:properties>
</file>

<file path=customXml/itemProps1.xml><?xml version="1.0" encoding="utf-8"?>
<ds:datastoreItem xmlns:ds="http://schemas.openxmlformats.org/officeDocument/2006/customXml" ds:itemID="{6B08F6AC-5CC7-4716-92D8-827F6668BACE}">
  <ds:schemaRefs>
    <ds:schemaRef ds:uri="http://schemas.microsoft.com/sharepoint/v3/contenttype/forms"/>
  </ds:schemaRefs>
</ds:datastoreItem>
</file>

<file path=customXml/itemProps2.xml><?xml version="1.0" encoding="utf-8"?>
<ds:datastoreItem xmlns:ds="http://schemas.openxmlformats.org/officeDocument/2006/customXml" ds:itemID="{54512924-7AD3-480F-846A-57F060B32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f330a4-1ea3-410d-a9df-b685bfb9c7c8"/>
    <ds:schemaRef ds:uri="606e1944-51b0-418c-abbe-2f4e737d50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6B58AA-414A-46FB-8859-2B16A9A27970}">
  <ds:schemaRefs>
    <ds:schemaRef ds:uri="http://schemas.microsoft.com/office/2006/metadata/properties"/>
    <ds:schemaRef ds:uri="http://schemas.microsoft.com/office/infopath/2007/PartnerControls"/>
    <ds:schemaRef ds:uri="b6f330a4-1ea3-410d-a9df-b685bfb9c7c8"/>
    <ds:schemaRef ds:uri="606e1944-51b0-418c-abbe-2f4e737d5015"/>
  </ds:schemaRefs>
</ds:datastoreItem>
</file>

<file path=docMetadata/LabelInfo.xml><?xml version="1.0" encoding="utf-8"?>
<clbl:labelList xmlns:clbl="http://schemas.microsoft.com/office/2020/mipLabelMetadata">
  <clbl:label id="{67323f29-0c79-4786-9348-68805d4583a0}" enabled="0" method="" siteId="{67323f29-0c79-4786-9348-68805d4583a0}" removed="1"/>
</clbl:labelList>
</file>

<file path=docProps/app.xml><?xml version="1.0" encoding="utf-8"?>
<Properties xmlns="http://schemas.openxmlformats.org/officeDocument/2006/extended-properties" xmlns:vt="http://schemas.openxmlformats.org/officeDocument/2006/docPropsVTypes">
  <Template>Normal.dotm</Template>
  <TotalTime>77</TotalTime>
  <Pages>34</Pages>
  <Words>10001</Words>
  <Characters>62010</Characters>
  <Application>Microsoft Office Word</Application>
  <DocSecurity>0</DocSecurity>
  <Lines>1590</Lines>
  <Paragraphs>847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Jerasa, Eric J.</dc:creator>
  <cp:lastModifiedBy>Mitchell, Dominique</cp:lastModifiedBy>
  <cp:revision>3</cp:revision>
  <cp:lastPrinted>2024-02-28T16:25:00Z</cp:lastPrinted>
  <dcterms:created xsi:type="dcterms:W3CDTF">2026-04-20T16:17:00Z</dcterms:created>
  <dcterms:modified xsi:type="dcterms:W3CDTF">2026-04-20T17:43:00Z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2018-11-14T00:00:00Z</vt:filetime>
  </property>
  <property fmtid="{D5CDD505-2E9C-101B-9397-08002B2CF9AE}" pid="3" name="Creator">
    <vt:lpwstr>Microsoft® Word 2016</vt:lpwstr>
  </property>
  <property fmtid="{D5CDD505-2E9C-101B-9397-08002B2CF9AE}" pid="4" name="LastSaved">
    <vt:filetime>2022-11-02T00:00:00Z</vt:filetime>
  </property>
  <property fmtid="{D5CDD505-2E9C-101B-9397-08002B2CF9AE}" pid="5" name="ContentTypeId">
    <vt:lpwstr>0x010100E6C9EDD7073C554499AEB2A7F09991BF</vt:lpwstr>
  </property>
  <property fmtid="{D5CDD505-2E9C-101B-9397-08002B2CF9AE}" pid="6" name="MediaServiceImageTags">
    <vt:lpwstr/>
  </property>
</Properties>
</file>