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D152C6B" w:rsidR="00CA3225" w:rsidRPr="00373391" w:rsidRDefault="00373391" w:rsidP="00CA3225">
      <w:pPr>
        <w:spacing w:after="0" w:line="240" w:lineRule="auto"/>
        <w:contextualSpacing/>
        <w:jc w:val="center"/>
        <w:rPr>
          <w:rFonts w:ascii="Barlow" w:hAnsi="Barlow" w:cs="Arial"/>
          <w:b/>
          <w:bCs/>
          <w:sz w:val="28"/>
          <w:szCs w:val="28"/>
        </w:rPr>
      </w:pPr>
      <w:proofErr w:type="spellStart"/>
      <w:r w:rsidRPr="00373391">
        <w:rPr>
          <w:rFonts w:ascii="Barlow" w:hAnsi="Barlow" w:cs="Arial"/>
          <w:b/>
          <w:bCs/>
          <w:sz w:val="28"/>
          <w:szCs w:val="28"/>
        </w:rPr>
        <w:t>Peraton</w:t>
      </w:r>
      <w:proofErr w:type="spellEnd"/>
      <w:r w:rsidRPr="00373391">
        <w:rPr>
          <w:rFonts w:ascii="Barlow" w:hAnsi="Barlow" w:cs="Arial"/>
          <w:b/>
          <w:bCs/>
          <w:sz w:val="28"/>
          <w:szCs w:val="28"/>
        </w:rPr>
        <w:t xml:space="preserve">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1154A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373391">
        <w:rPr>
          <w:rFonts w:ascii="Arial" w:hAnsi="Arial" w:cs="Arial"/>
          <w:sz w:val="20"/>
          <w:szCs w:val="20"/>
        </w:rPr>
        <w:t>LS5013</w:t>
      </w:r>
      <w:r w:rsidR="00BE78E0" w:rsidRPr="00487D59">
        <w:rPr>
          <w:rFonts w:ascii="Arial" w:hAnsi="Arial" w:cs="Arial"/>
          <w:sz w:val="20"/>
          <w:szCs w:val="20"/>
        </w:rPr>
        <w:t xml:space="preserve">, executed by Contractor and </w:t>
      </w:r>
      <w:r w:rsidR="00E242AE" w:rsidRPr="00373391">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3C298D1" w:rsidR="0046417B" w:rsidRPr="00373391" w:rsidRDefault="00373391" w:rsidP="009C413F">
      <w:pPr>
        <w:spacing w:after="0"/>
        <w:ind w:firstLine="360"/>
        <w:rPr>
          <w:rFonts w:ascii="Arial" w:hAnsi="Arial" w:cs="Arial"/>
          <w:sz w:val="20"/>
          <w:szCs w:val="20"/>
        </w:rPr>
      </w:pPr>
      <w:bookmarkStart w:id="0" w:name="_Hlk102399448"/>
      <w:proofErr w:type="spellStart"/>
      <w:r w:rsidRPr="00373391">
        <w:rPr>
          <w:rFonts w:ascii="Arial" w:hAnsi="Arial" w:cs="Arial"/>
          <w:sz w:val="20"/>
          <w:szCs w:val="20"/>
        </w:rPr>
        <w:t>Peraton</w:t>
      </w:r>
      <w:proofErr w:type="spellEnd"/>
      <w:r w:rsidRPr="00373391">
        <w:rPr>
          <w:rFonts w:ascii="Arial" w:hAnsi="Arial" w:cs="Arial"/>
          <w:sz w:val="20"/>
          <w:szCs w:val="20"/>
        </w:rPr>
        <w:t xml:space="preserve"> Inc.</w:t>
      </w:r>
      <w:r w:rsidR="002A17D5" w:rsidRPr="00373391">
        <w:rPr>
          <w:rFonts w:ascii="Arial" w:hAnsi="Arial" w:cs="Arial"/>
          <w:sz w:val="20"/>
          <w:szCs w:val="20"/>
        </w:rPr>
        <w:t xml:space="preserve"> </w:t>
      </w:r>
      <w:r w:rsidR="0046417B" w:rsidRPr="00373391">
        <w:rPr>
          <w:rFonts w:ascii="Arial" w:hAnsi="Arial" w:cs="Arial"/>
          <w:sz w:val="20"/>
          <w:szCs w:val="20"/>
        </w:rPr>
        <w:t>(“Contractor”)</w:t>
      </w:r>
    </w:p>
    <w:p w14:paraId="0E4D2E9B" w14:textId="17B36EB2" w:rsidR="0046417B" w:rsidRPr="00373391" w:rsidRDefault="00373391" w:rsidP="00392C07">
      <w:pPr>
        <w:spacing w:after="0"/>
        <w:ind w:firstLine="360"/>
        <w:rPr>
          <w:rFonts w:ascii="Arial" w:hAnsi="Arial" w:cs="Arial"/>
          <w:sz w:val="20"/>
          <w:szCs w:val="20"/>
        </w:rPr>
      </w:pPr>
      <w:r w:rsidRPr="00373391">
        <w:rPr>
          <w:rFonts w:ascii="Arial" w:hAnsi="Arial" w:cs="Arial"/>
          <w:sz w:val="20"/>
          <w:szCs w:val="20"/>
        </w:rPr>
        <w:t>12975 Worldgate Drive</w:t>
      </w:r>
    </w:p>
    <w:p w14:paraId="63F7DF31" w14:textId="4E3DC658" w:rsidR="00373391" w:rsidRPr="00373391" w:rsidRDefault="00373391" w:rsidP="00392C07">
      <w:pPr>
        <w:spacing w:after="0"/>
        <w:ind w:firstLine="360"/>
        <w:rPr>
          <w:rFonts w:ascii="Arial" w:hAnsi="Arial" w:cs="Arial"/>
          <w:sz w:val="20"/>
          <w:szCs w:val="20"/>
        </w:rPr>
      </w:pPr>
      <w:r w:rsidRPr="00373391">
        <w:rPr>
          <w:rFonts w:ascii="Arial" w:hAnsi="Arial" w:cs="Arial"/>
          <w:sz w:val="20"/>
          <w:szCs w:val="20"/>
        </w:rPr>
        <w:t>Herndon, VA 20170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B40ECA2" w:rsidR="001C5CEC" w:rsidRDefault="00373391" w:rsidP="000B5A01">
      <w:pPr>
        <w:spacing w:after="0"/>
        <w:ind w:left="360" w:firstLine="360"/>
        <w:rPr>
          <w:rFonts w:ascii="Arial" w:hAnsi="Arial" w:cs="Arial"/>
          <w:sz w:val="20"/>
          <w:szCs w:val="20"/>
        </w:rPr>
      </w:pPr>
      <w:r>
        <w:rPr>
          <w:rFonts w:ascii="Arial" w:hAnsi="Arial" w:cs="Arial"/>
          <w:color w:val="C00000"/>
          <w:sz w:val="20"/>
          <w:szCs w:val="20"/>
        </w:rPr>
        <w:t>Jeanette Frank</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88E853" w:rsidR="001C5CEC" w:rsidRDefault="00373391" w:rsidP="000B5A01">
      <w:pPr>
        <w:spacing w:after="0"/>
        <w:ind w:left="360" w:firstLine="360"/>
        <w:rPr>
          <w:rFonts w:ascii="Arial" w:hAnsi="Arial" w:cs="Arial"/>
          <w:sz w:val="20"/>
          <w:szCs w:val="20"/>
        </w:rPr>
      </w:pPr>
      <w:r>
        <w:rPr>
          <w:rFonts w:ascii="Arial" w:hAnsi="Arial" w:cs="Arial"/>
          <w:color w:val="C00000"/>
          <w:sz w:val="20"/>
          <w:szCs w:val="20"/>
        </w:rPr>
        <w:t>jeanette.frank@peraton.com</w:t>
      </w:r>
    </w:p>
    <w:p w14:paraId="6FCABA1A" w14:textId="55D93883" w:rsidR="001C5CEC" w:rsidRDefault="00373391" w:rsidP="000B5A01">
      <w:pPr>
        <w:ind w:left="360" w:firstLine="360"/>
        <w:rPr>
          <w:rFonts w:ascii="Arial" w:hAnsi="Arial" w:cs="Arial"/>
          <w:sz w:val="20"/>
          <w:szCs w:val="20"/>
        </w:rPr>
      </w:pPr>
      <w:r>
        <w:rPr>
          <w:rFonts w:ascii="Arial" w:hAnsi="Arial" w:cs="Arial"/>
          <w:color w:val="C00000"/>
          <w:sz w:val="20"/>
          <w:szCs w:val="20"/>
        </w:rPr>
        <w:t>310-242-9188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2" o:title=""/>
          </v:shape>
          <o:OLEObject Type="Embed" ProgID="Acrobat.Document.DC" ShapeID="_x0000_i1025" DrawAspect="Icon" ObjectID="_183518979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6552562" w14:textId="77777777" w:rsidR="00373391" w:rsidRPr="00373391" w:rsidRDefault="00373391" w:rsidP="00373391">
      <w:pPr>
        <w:spacing w:after="0"/>
        <w:ind w:left="360" w:firstLine="360"/>
        <w:rPr>
          <w:rFonts w:ascii="Arial" w:hAnsi="Arial" w:cs="Arial"/>
          <w:sz w:val="20"/>
          <w:szCs w:val="20"/>
          <w:lang w:val="fr-FR"/>
        </w:rPr>
      </w:pPr>
      <w:r w:rsidRPr="00373391">
        <w:rPr>
          <w:rFonts w:ascii="Arial" w:hAnsi="Arial" w:cs="Arial"/>
          <w:color w:val="C00000"/>
          <w:sz w:val="20"/>
          <w:szCs w:val="20"/>
          <w:lang w:val="fr-FR"/>
        </w:rPr>
        <w:t>Jeanette Frank</w:t>
      </w:r>
    </w:p>
    <w:p w14:paraId="5B87D3B4" w14:textId="77777777" w:rsidR="00373391" w:rsidRPr="00373391" w:rsidRDefault="00373391" w:rsidP="00373391">
      <w:pPr>
        <w:spacing w:after="0"/>
        <w:ind w:left="360" w:firstLine="360"/>
        <w:rPr>
          <w:rFonts w:ascii="Arial" w:hAnsi="Arial" w:cs="Arial"/>
          <w:sz w:val="20"/>
          <w:szCs w:val="20"/>
          <w:lang w:val="fr-FR"/>
        </w:rPr>
      </w:pPr>
      <w:r w:rsidRPr="00373391">
        <w:rPr>
          <w:rFonts w:ascii="Arial" w:hAnsi="Arial" w:cs="Arial"/>
          <w:color w:val="C00000"/>
          <w:sz w:val="20"/>
          <w:szCs w:val="20"/>
          <w:lang w:val="fr-FR"/>
        </w:rPr>
        <w:t>[Contact title]</w:t>
      </w:r>
    </w:p>
    <w:p w14:paraId="04D17597" w14:textId="77777777" w:rsidR="00373391" w:rsidRPr="00373391" w:rsidRDefault="00373391" w:rsidP="00373391">
      <w:pPr>
        <w:spacing w:after="0"/>
        <w:ind w:left="360" w:firstLine="360"/>
        <w:rPr>
          <w:rFonts w:ascii="Arial" w:hAnsi="Arial" w:cs="Arial"/>
          <w:sz w:val="20"/>
          <w:szCs w:val="20"/>
          <w:lang w:val="fr-FR"/>
        </w:rPr>
      </w:pPr>
      <w:r w:rsidRPr="00373391">
        <w:rPr>
          <w:rFonts w:ascii="Arial" w:hAnsi="Arial" w:cs="Arial"/>
          <w:color w:val="C00000"/>
          <w:sz w:val="20"/>
          <w:szCs w:val="20"/>
          <w:lang w:val="fr-FR"/>
        </w:rPr>
        <w:t>jeanette.frank@peraton.com</w:t>
      </w:r>
    </w:p>
    <w:p w14:paraId="7298C31F" w14:textId="77777777" w:rsidR="00373391" w:rsidRDefault="00373391" w:rsidP="00373391">
      <w:pPr>
        <w:ind w:left="360" w:firstLine="360"/>
        <w:rPr>
          <w:rFonts w:ascii="Arial" w:hAnsi="Arial" w:cs="Arial"/>
          <w:sz w:val="20"/>
          <w:szCs w:val="20"/>
        </w:rPr>
      </w:pPr>
      <w:r>
        <w:rPr>
          <w:rFonts w:ascii="Arial" w:hAnsi="Arial" w:cs="Arial"/>
          <w:color w:val="C00000"/>
          <w:sz w:val="20"/>
          <w:szCs w:val="20"/>
        </w:rPr>
        <w:t>310-242-9188</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EFC4" w14:textId="77777777" w:rsidR="002239D1" w:rsidRDefault="002239D1" w:rsidP="007922CE">
      <w:pPr>
        <w:spacing w:after="0" w:line="240" w:lineRule="auto"/>
      </w:pPr>
      <w:r>
        <w:separator/>
      </w:r>
    </w:p>
  </w:endnote>
  <w:endnote w:type="continuationSeparator" w:id="0">
    <w:p w14:paraId="2A95066C" w14:textId="77777777" w:rsidR="002239D1" w:rsidRDefault="002239D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7799" w14:textId="77777777" w:rsidR="002239D1" w:rsidRDefault="002239D1" w:rsidP="007922CE">
      <w:pPr>
        <w:spacing w:after="0" w:line="240" w:lineRule="auto"/>
      </w:pPr>
      <w:r>
        <w:separator/>
      </w:r>
    </w:p>
  </w:footnote>
  <w:footnote w:type="continuationSeparator" w:id="0">
    <w:p w14:paraId="359C7462" w14:textId="77777777" w:rsidR="002239D1" w:rsidRDefault="002239D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3CDDA0B" w:rsidR="007922CE" w:rsidRPr="00487D59" w:rsidRDefault="00373391" w:rsidP="00B52BDD">
    <w:pPr>
      <w:spacing w:line="240" w:lineRule="auto"/>
      <w:contextualSpacing/>
      <w:rPr>
        <w:rFonts w:ascii="Barlow" w:hAnsi="Barlow" w:cs="Arial"/>
        <w:sz w:val="20"/>
        <w:szCs w:val="20"/>
      </w:rPr>
    </w:pPr>
    <w:proofErr w:type="spellStart"/>
    <w:r>
      <w:rPr>
        <w:rFonts w:ascii="Barlow" w:hAnsi="Barlow" w:cs="Arial"/>
        <w:b/>
        <w:bCs/>
        <w:color w:val="C00000"/>
        <w:sz w:val="20"/>
        <w:szCs w:val="20"/>
      </w:rPr>
      <w:t>Peraton</w:t>
    </w:r>
    <w:proofErr w:type="spellEnd"/>
    <w:r>
      <w:rPr>
        <w:rFonts w:ascii="Barlow" w:hAnsi="Barlow" w:cs="Arial"/>
        <w:b/>
        <w:bCs/>
        <w:color w:val="C00000"/>
        <w:sz w:val="20"/>
        <w:szCs w:val="20"/>
      </w:rPr>
      <w:t xml:space="preserve">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16958"/>
    <w:rsid w:val="0022359A"/>
    <w:rsid w:val="002239D1"/>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3391"/>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2074</Words>
  <Characters>12823</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2026-03-16T22:10:00Z</dcterms:created>
  <dcterms:modified xsi:type="dcterms:W3CDTF">2026-03-16T22:10:00Z</dcterms:modified>
</cp:coreProperties>
</file>