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8E186" w14:textId="4FB12A5E" w:rsidR="00D72FB9" w:rsidRDefault="00F0165A" w:rsidP="00391882">
      <w:pPr>
        <w:pStyle w:val="Heading7"/>
        <w:jc w:val="center"/>
      </w:pPr>
      <w:r>
        <w:t xml:space="preserve">ATTACHMENT 5 – KMBS </w:t>
      </w:r>
      <w:r w:rsidR="00D72FB9" w:rsidRPr="00D72FB9">
        <w:t>Maste</w:t>
      </w:r>
      <w:r w:rsidR="00D72FB9">
        <w:t>r Installment Payment Agreement</w:t>
      </w:r>
    </w:p>
    <w:p w14:paraId="5AB32EC4" w14:textId="77777777" w:rsidR="00F0165A" w:rsidRPr="00F0165A" w:rsidRDefault="00F0165A" w:rsidP="00F0165A"/>
    <w:p w14:paraId="1C28E187" w14:textId="77777777" w:rsidR="00BE56C2" w:rsidRDefault="00D72FB9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72FB9">
        <w:rPr>
          <w:rFonts w:ascii="Arial" w:hAnsi="Arial" w:cs="Arial"/>
          <w:color w:val="000000"/>
          <w:sz w:val="20"/>
          <w:szCs w:val="20"/>
        </w:rPr>
        <w:t>This Master Installment Payment Agreement (“MIPA”), dated as of</w:t>
      </w:r>
      <w:r w:rsidR="00BE56C2">
        <w:rPr>
          <w:rFonts w:ascii="Arial" w:hAnsi="Arial" w:cs="Arial"/>
          <w:color w:val="000000"/>
          <w:sz w:val="20"/>
          <w:szCs w:val="20"/>
        </w:rPr>
        <w:t>__________________________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 , by and between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C28E188" w14:textId="77777777" w:rsidR="00D72FB9" w:rsidRPr="00D72FB9" w:rsidRDefault="00BE56C2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</w:t>
      </w:r>
      <w:r w:rsidR="00D72FB9">
        <w:rPr>
          <w:rFonts w:ascii="Arial" w:hAnsi="Arial" w:cs="Arial"/>
          <w:color w:val="000000"/>
          <w:sz w:val="20"/>
          <w:szCs w:val="20"/>
        </w:rPr>
        <w:t xml:space="preserve"> </w:t>
      </w:r>
      <w:r w:rsidR="00D72FB9" w:rsidRPr="00D72FB9">
        <w:rPr>
          <w:rFonts w:ascii="Arial" w:hAnsi="Arial" w:cs="Arial"/>
          <w:color w:val="000000"/>
          <w:sz w:val="20"/>
          <w:szCs w:val="20"/>
        </w:rPr>
        <w:t xml:space="preserve">(“Payee”), a </w:t>
      </w:r>
      <w:r>
        <w:rPr>
          <w:rFonts w:ascii="Arial" w:hAnsi="Arial" w:cs="Arial"/>
          <w:color w:val="000000"/>
          <w:sz w:val="20"/>
          <w:szCs w:val="20"/>
        </w:rPr>
        <w:t>__________________</w:t>
      </w:r>
      <w:r w:rsidR="00D72FB9" w:rsidRPr="00D72FB9">
        <w:rPr>
          <w:rFonts w:ascii="Arial" w:hAnsi="Arial" w:cs="Arial"/>
          <w:color w:val="000000"/>
          <w:sz w:val="20"/>
          <w:szCs w:val="20"/>
        </w:rPr>
        <w:t>corporation, with a principal place of business at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___________________________</w:t>
      </w:r>
      <w:r w:rsidR="00D72FB9">
        <w:rPr>
          <w:rFonts w:ascii="Arial" w:hAnsi="Arial" w:cs="Arial"/>
          <w:color w:val="000000"/>
          <w:sz w:val="20"/>
          <w:szCs w:val="20"/>
        </w:rPr>
        <w:t xml:space="preserve">, and </w:t>
      </w:r>
      <w:r w:rsidR="00D72FB9" w:rsidRPr="00D72FB9">
        <w:rPr>
          <w:rFonts w:ascii="Arial" w:hAnsi="Arial" w:cs="Arial"/>
          <w:color w:val="000000"/>
          <w:sz w:val="20"/>
          <w:szCs w:val="20"/>
        </w:rPr>
        <w:t>(“Obligor”), wit</w:t>
      </w:r>
      <w:r w:rsidR="00D72FB9">
        <w:rPr>
          <w:rFonts w:ascii="Arial" w:hAnsi="Arial" w:cs="Arial"/>
          <w:color w:val="000000"/>
          <w:sz w:val="20"/>
          <w:szCs w:val="20"/>
        </w:rPr>
        <w:t xml:space="preserve">h a principal place of business </w:t>
      </w:r>
      <w:r w:rsidR="00D72FB9" w:rsidRPr="00D72FB9">
        <w:rPr>
          <w:rFonts w:ascii="Arial" w:hAnsi="Arial" w:cs="Arial"/>
          <w:color w:val="000000"/>
          <w:sz w:val="20"/>
          <w:szCs w:val="20"/>
        </w:rPr>
        <w:t xml:space="preserve">at </w:t>
      </w:r>
      <w:r>
        <w:rPr>
          <w:rFonts w:ascii="Arial" w:hAnsi="Arial" w:cs="Arial"/>
          <w:color w:val="000000"/>
          <w:sz w:val="20"/>
          <w:szCs w:val="20"/>
        </w:rPr>
        <w:t>_____________________</w:t>
      </w:r>
      <w:r w:rsidR="00D72FB9" w:rsidRPr="00D72FB9">
        <w:rPr>
          <w:rFonts w:ascii="Arial" w:hAnsi="Arial" w:cs="Arial"/>
          <w:color w:val="000000"/>
          <w:sz w:val="20"/>
          <w:szCs w:val="20"/>
        </w:rPr>
        <w:t>.</w:t>
      </w:r>
    </w:p>
    <w:p w14:paraId="0F5DCC39" w14:textId="77777777" w:rsidR="00F0165A" w:rsidRDefault="00F0165A" w:rsidP="00D72FB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28E189" w14:textId="1C7064D3" w:rsidR="00D72FB9" w:rsidRDefault="00D72FB9" w:rsidP="00D72FB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D72FB9">
        <w:rPr>
          <w:rFonts w:ascii="Arial" w:hAnsi="Arial" w:cs="Arial"/>
          <w:b/>
          <w:bCs/>
          <w:color w:val="000000"/>
          <w:sz w:val="20"/>
          <w:szCs w:val="20"/>
        </w:rPr>
        <w:t>TERMS &amp; CONDITIONS</w:t>
      </w:r>
    </w:p>
    <w:p w14:paraId="1ED8BC62" w14:textId="77777777" w:rsidR="00F0165A" w:rsidRPr="00D72FB9" w:rsidRDefault="00F0165A" w:rsidP="00D72FB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28E18A" w14:textId="77777777" w:rsidR="00D72FB9" w:rsidRPr="00D72FB9" w:rsidRDefault="00D72FB9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72FB9">
        <w:rPr>
          <w:rFonts w:ascii="Arial" w:hAnsi="Arial" w:cs="Arial"/>
          <w:b/>
          <w:bCs/>
          <w:color w:val="000000"/>
          <w:sz w:val="20"/>
          <w:szCs w:val="20"/>
        </w:rPr>
        <w:t xml:space="preserve">1. MIPA AND SCHEDULE(S).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Obligor hereby agrees </w:t>
      </w:r>
      <w:r>
        <w:rPr>
          <w:rFonts w:ascii="Arial" w:hAnsi="Arial" w:cs="Arial"/>
          <w:color w:val="000000"/>
          <w:sz w:val="20"/>
          <w:szCs w:val="20"/>
        </w:rPr>
        <w:t xml:space="preserve">to pay to Payee, subject to the </w:t>
      </w:r>
      <w:r w:rsidRPr="00D72FB9">
        <w:rPr>
          <w:rFonts w:ascii="Arial" w:hAnsi="Arial" w:cs="Arial"/>
          <w:color w:val="000000"/>
          <w:sz w:val="20"/>
          <w:szCs w:val="20"/>
        </w:rPr>
        <w:t>terms and conditions of this MIPA and each Maste</w:t>
      </w:r>
      <w:r>
        <w:rPr>
          <w:rFonts w:ascii="Arial" w:hAnsi="Arial" w:cs="Arial"/>
          <w:color w:val="000000"/>
          <w:sz w:val="20"/>
          <w:szCs w:val="20"/>
        </w:rPr>
        <w:t xml:space="preserve">r Installment Payment Agreement </w:t>
      </w:r>
      <w:r w:rsidRPr="00D72FB9">
        <w:rPr>
          <w:rFonts w:ascii="Arial" w:hAnsi="Arial" w:cs="Arial"/>
          <w:color w:val="000000"/>
          <w:sz w:val="20"/>
          <w:szCs w:val="20"/>
        </w:rPr>
        <w:t>Schedule executed by Payee and Obligor from time to ti</w:t>
      </w:r>
      <w:r>
        <w:rPr>
          <w:rFonts w:ascii="Arial" w:hAnsi="Arial" w:cs="Arial"/>
          <w:color w:val="000000"/>
          <w:sz w:val="20"/>
          <w:szCs w:val="20"/>
        </w:rPr>
        <w:t xml:space="preserve">me (individually, a “Schedule”) </w:t>
      </w:r>
      <w:r w:rsidRPr="00D72FB9">
        <w:rPr>
          <w:rFonts w:ascii="Arial" w:hAnsi="Arial" w:cs="Arial"/>
          <w:color w:val="000000"/>
          <w:sz w:val="20"/>
          <w:szCs w:val="20"/>
        </w:rPr>
        <w:t>for the software products (the “Licensed Software”) an</w:t>
      </w:r>
      <w:r>
        <w:rPr>
          <w:rFonts w:ascii="Arial" w:hAnsi="Arial" w:cs="Arial"/>
          <w:color w:val="000000"/>
          <w:sz w:val="20"/>
          <w:szCs w:val="20"/>
        </w:rPr>
        <w:t xml:space="preserve">d/or services (the “Services”), </w:t>
      </w:r>
      <w:r w:rsidRPr="00D72FB9">
        <w:rPr>
          <w:rFonts w:ascii="Arial" w:hAnsi="Arial" w:cs="Arial"/>
          <w:color w:val="000000"/>
          <w:sz w:val="20"/>
          <w:szCs w:val="20"/>
        </w:rPr>
        <w:t>including maintenance, consulting and other services, id</w:t>
      </w:r>
      <w:r>
        <w:rPr>
          <w:rFonts w:ascii="Arial" w:hAnsi="Arial" w:cs="Arial"/>
          <w:color w:val="000000"/>
          <w:sz w:val="20"/>
          <w:szCs w:val="20"/>
        </w:rPr>
        <w:t xml:space="preserve">entified in each Schedule. Each </w:t>
      </w:r>
      <w:r w:rsidRPr="00D72FB9">
        <w:rPr>
          <w:rFonts w:ascii="Arial" w:hAnsi="Arial" w:cs="Arial"/>
          <w:color w:val="000000"/>
          <w:sz w:val="20"/>
          <w:szCs w:val="20"/>
        </w:rPr>
        <w:t>Schedule shall constitute a separate and independent pa</w:t>
      </w:r>
      <w:r>
        <w:rPr>
          <w:rFonts w:ascii="Arial" w:hAnsi="Arial" w:cs="Arial"/>
          <w:color w:val="000000"/>
          <w:sz w:val="20"/>
          <w:szCs w:val="20"/>
        </w:rPr>
        <w:t xml:space="preserve">yment agreement and contractual </w:t>
      </w:r>
      <w:r w:rsidRPr="00D72FB9">
        <w:rPr>
          <w:rFonts w:ascii="Arial" w:hAnsi="Arial" w:cs="Arial"/>
          <w:color w:val="000000"/>
          <w:sz w:val="20"/>
          <w:szCs w:val="20"/>
        </w:rPr>
        <w:t>obligation of Obligor, and shall incorporate the ter</w:t>
      </w:r>
      <w:r>
        <w:rPr>
          <w:rFonts w:ascii="Arial" w:hAnsi="Arial" w:cs="Arial"/>
          <w:color w:val="000000"/>
          <w:sz w:val="20"/>
          <w:szCs w:val="20"/>
        </w:rPr>
        <w:t xml:space="preserve">ms and conditions of this MIPA. </w:t>
      </w:r>
      <w:r w:rsidRPr="00D72FB9">
        <w:rPr>
          <w:rFonts w:ascii="Arial" w:hAnsi="Arial" w:cs="Arial"/>
          <w:color w:val="000000"/>
          <w:sz w:val="20"/>
          <w:szCs w:val="20"/>
        </w:rPr>
        <w:t>In the event of a conflict between the terms and conditio</w:t>
      </w:r>
      <w:r>
        <w:rPr>
          <w:rFonts w:ascii="Arial" w:hAnsi="Arial" w:cs="Arial"/>
          <w:color w:val="000000"/>
          <w:sz w:val="20"/>
          <w:szCs w:val="20"/>
        </w:rPr>
        <w:t xml:space="preserve">ns of this MIPA and a Schedule, </w:t>
      </w:r>
      <w:r w:rsidRPr="00D72FB9">
        <w:rPr>
          <w:rFonts w:ascii="Arial" w:hAnsi="Arial" w:cs="Arial"/>
          <w:color w:val="000000"/>
          <w:sz w:val="20"/>
          <w:szCs w:val="20"/>
        </w:rPr>
        <w:t>the terms and conditions of the Schedule shall control,</w:t>
      </w:r>
      <w:r>
        <w:rPr>
          <w:rFonts w:ascii="Arial" w:hAnsi="Arial" w:cs="Arial"/>
          <w:color w:val="000000"/>
          <w:sz w:val="20"/>
          <w:szCs w:val="20"/>
        </w:rPr>
        <w:t xml:space="preserve"> and in the event of a conflict </w:t>
      </w:r>
      <w:r w:rsidRPr="00D72FB9">
        <w:rPr>
          <w:rFonts w:ascii="Arial" w:hAnsi="Arial" w:cs="Arial"/>
          <w:color w:val="000000"/>
          <w:sz w:val="20"/>
          <w:szCs w:val="20"/>
        </w:rPr>
        <w:t>between the terms and conditions of this MIPA and/o</w:t>
      </w:r>
      <w:r>
        <w:rPr>
          <w:rFonts w:ascii="Arial" w:hAnsi="Arial" w:cs="Arial"/>
          <w:color w:val="000000"/>
          <w:sz w:val="20"/>
          <w:szCs w:val="20"/>
        </w:rPr>
        <w:t xml:space="preserve">r any Schedule and the Software </w:t>
      </w:r>
      <w:r w:rsidRPr="00D72FB9">
        <w:rPr>
          <w:rFonts w:ascii="Arial" w:hAnsi="Arial" w:cs="Arial"/>
          <w:color w:val="000000"/>
          <w:sz w:val="20"/>
          <w:szCs w:val="20"/>
        </w:rPr>
        <w:t>Agreement (defined in Section 8), the terms and conditions of this MIPA and/or</w:t>
      </w:r>
    </w:p>
    <w:p w14:paraId="1C28E18B" w14:textId="2475DA28" w:rsidR="00D72FB9" w:rsidRDefault="00D72FB9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72FB9">
        <w:rPr>
          <w:rFonts w:ascii="Arial" w:hAnsi="Arial" w:cs="Arial"/>
          <w:color w:val="000000"/>
          <w:sz w:val="20"/>
          <w:szCs w:val="20"/>
        </w:rPr>
        <w:t>Schedule, as applicable, shall prevail. Upon the exec</w:t>
      </w:r>
      <w:r>
        <w:rPr>
          <w:rFonts w:ascii="Arial" w:hAnsi="Arial" w:cs="Arial"/>
          <w:color w:val="000000"/>
          <w:sz w:val="20"/>
          <w:szCs w:val="20"/>
        </w:rPr>
        <w:t xml:space="preserve">ution of a Schedule by Obligor, </w:t>
      </w:r>
      <w:r w:rsidRPr="00D72FB9">
        <w:rPr>
          <w:rFonts w:ascii="Arial" w:hAnsi="Arial" w:cs="Arial"/>
          <w:color w:val="000000"/>
          <w:sz w:val="20"/>
          <w:szCs w:val="20"/>
        </w:rPr>
        <w:t>Payee shall pay the licensor of the Licensed Software (“L</w:t>
      </w:r>
      <w:r>
        <w:rPr>
          <w:rFonts w:ascii="Arial" w:hAnsi="Arial" w:cs="Arial"/>
          <w:color w:val="000000"/>
          <w:sz w:val="20"/>
          <w:szCs w:val="20"/>
        </w:rPr>
        <w:t xml:space="preserve">icensor”), or its designee, all </w:t>
      </w:r>
      <w:r w:rsidRPr="00D72FB9">
        <w:rPr>
          <w:rFonts w:ascii="Arial" w:hAnsi="Arial" w:cs="Arial"/>
          <w:color w:val="000000"/>
          <w:sz w:val="20"/>
          <w:szCs w:val="20"/>
        </w:rPr>
        <w:t>amounts owing to Licensor under the Software Agreemen</w:t>
      </w:r>
      <w:r>
        <w:rPr>
          <w:rFonts w:ascii="Arial" w:hAnsi="Arial" w:cs="Arial"/>
          <w:color w:val="000000"/>
          <w:sz w:val="20"/>
          <w:szCs w:val="20"/>
        </w:rPr>
        <w:t xml:space="preserve">t (defined below) identified in </w:t>
      </w:r>
      <w:r w:rsidRPr="00D72FB9">
        <w:rPr>
          <w:rFonts w:ascii="Arial" w:hAnsi="Arial" w:cs="Arial"/>
          <w:color w:val="000000"/>
          <w:sz w:val="20"/>
          <w:szCs w:val="20"/>
        </w:rPr>
        <w:t>the Schedule.</w:t>
      </w:r>
    </w:p>
    <w:p w14:paraId="583F00C7" w14:textId="77777777" w:rsidR="00F0165A" w:rsidRPr="00D72FB9" w:rsidRDefault="00F0165A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28E18C" w14:textId="77777777" w:rsidR="00D72FB9" w:rsidRPr="00D72FB9" w:rsidRDefault="00D72FB9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72FB9">
        <w:rPr>
          <w:rFonts w:ascii="Arial" w:hAnsi="Arial" w:cs="Arial"/>
          <w:b/>
          <w:bCs/>
          <w:color w:val="000000"/>
          <w:sz w:val="20"/>
          <w:szCs w:val="20"/>
        </w:rPr>
        <w:t xml:space="preserve">2. PAYMENT OBLIGATIONS. </w:t>
      </w:r>
      <w:r w:rsidRPr="00D72FB9">
        <w:rPr>
          <w:rFonts w:ascii="Arial" w:hAnsi="Arial" w:cs="Arial"/>
          <w:color w:val="000000"/>
          <w:sz w:val="20"/>
          <w:szCs w:val="20"/>
        </w:rPr>
        <w:t>All Installment Pa</w:t>
      </w:r>
      <w:r>
        <w:rPr>
          <w:rFonts w:ascii="Arial" w:hAnsi="Arial" w:cs="Arial"/>
          <w:color w:val="000000"/>
          <w:sz w:val="20"/>
          <w:szCs w:val="20"/>
        </w:rPr>
        <w:t xml:space="preserve">yments (“Installment Payments”) </w:t>
      </w:r>
      <w:r w:rsidRPr="00D72FB9">
        <w:rPr>
          <w:rFonts w:ascii="Arial" w:hAnsi="Arial" w:cs="Arial"/>
          <w:color w:val="000000"/>
          <w:sz w:val="20"/>
          <w:szCs w:val="20"/>
        </w:rPr>
        <w:t>and other payments and amounts (individually</w:t>
      </w:r>
      <w:r>
        <w:rPr>
          <w:rFonts w:ascii="Arial" w:hAnsi="Arial" w:cs="Arial"/>
          <w:color w:val="000000"/>
          <w:sz w:val="20"/>
          <w:szCs w:val="20"/>
        </w:rPr>
        <w:t xml:space="preserve">, “Payment”, and collectively, </w:t>
      </w:r>
      <w:r w:rsidRPr="00D72FB9">
        <w:rPr>
          <w:rFonts w:ascii="Arial" w:hAnsi="Arial" w:cs="Arial"/>
          <w:color w:val="000000"/>
          <w:sz w:val="20"/>
          <w:szCs w:val="20"/>
        </w:rPr>
        <w:t>“Payments”) under each Schedule shall be made to Pa</w:t>
      </w:r>
      <w:r>
        <w:rPr>
          <w:rFonts w:ascii="Arial" w:hAnsi="Arial" w:cs="Arial"/>
          <w:color w:val="000000"/>
          <w:sz w:val="20"/>
          <w:szCs w:val="20"/>
        </w:rPr>
        <w:t xml:space="preserve">yee at its address shown above,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or such to other payee or at such other address as </w:t>
      </w:r>
      <w:r>
        <w:rPr>
          <w:rFonts w:ascii="Arial" w:hAnsi="Arial" w:cs="Arial"/>
          <w:color w:val="000000"/>
          <w:sz w:val="20"/>
          <w:szCs w:val="20"/>
        </w:rPr>
        <w:t xml:space="preserve">Payee (or any Assignee (defined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below)) may designate, in the amounts and on the dates set </w:t>
      </w:r>
      <w:r>
        <w:rPr>
          <w:rFonts w:ascii="Arial" w:hAnsi="Arial" w:cs="Arial"/>
          <w:color w:val="000000"/>
          <w:sz w:val="20"/>
          <w:szCs w:val="20"/>
        </w:rPr>
        <w:t xml:space="preserve">forth in each Schedule, in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immediately available funds in such coin or currency </w:t>
      </w:r>
      <w:r>
        <w:rPr>
          <w:rFonts w:ascii="Arial" w:hAnsi="Arial" w:cs="Arial"/>
          <w:color w:val="000000"/>
          <w:sz w:val="20"/>
          <w:szCs w:val="20"/>
        </w:rPr>
        <w:t xml:space="preserve">of the United States of America </w:t>
      </w:r>
      <w:r w:rsidRPr="00D72FB9">
        <w:rPr>
          <w:rFonts w:ascii="Arial" w:hAnsi="Arial" w:cs="Arial"/>
          <w:color w:val="000000"/>
          <w:sz w:val="20"/>
          <w:szCs w:val="20"/>
        </w:rPr>
        <w:t>which at the time of payment shall be legal tender for th</w:t>
      </w:r>
      <w:r>
        <w:rPr>
          <w:rFonts w:ascii="Arial" w:hAnsi="Arial" w:cs="Arial"/>
          <w:color w:val="000000"/>
          <w:sz w:val="20"/>
          <w:szCs w:val="20"/>
        </w:rPr>
        <w:t xml:space="preserve">e payment of public and private </w:t>
      </w:r>
      <w:r w:rsidRPr="00D72FB9">
        <w:rPr>
          <w:rFonts w:ascii="Arial" w:hAnsi="Arial" w:cs="Arial"/>
          <w:color w:val="000000"/>
          <w:sz w:val="20"/>
          <w:szCs w:val="20"/>
        </w:rPr>
        <w:t>debts. OBLIGOR’S OBLIGATION TO PAY ALL INSTALLMENT PAYM</w:t>
      </w:r>
      <w:r>
        <w:rPr>
          <w:rFonts w:ascii="Arial" w:hAnsi="Arial" w:cs="Arial"/>
          <w:color w:val="000000"/>
          <w:sz w:val="20"/>
          <w:szCs w:val="20"/>
        </w:rPr>
        <w:t xml:space="preserve">ENTS AND OTHER </w:t>
      </w:r>
      <w:r w:rsidRPr="00D72FB9">
        <w:rPr>
          <w:rFonts w:ascii="Arial" w:hAnsi="Arial" w:cs="Arial"/>
          <w:color w:val="000000"/>
          <w:sz w:val="20"/>
          <w:szCs w:val="20"/>
        </w:rPr>
        <w:t>PAYMENTS UNDER EACH SCHEDULE SHALL</w:t>
      </w:r>
      <w:r>
        <w:rPr>
          <w:rFonts w:ascii="Arial" w:hAnsi="Arial" w:cs="Arial"/>
          <w:color w:val="000000"/>
          <w:sz w:val="20"/>
          <w:szCs w:val="20"/>
        </w:rPr>
        <w:t xml:space="preserve"> BE ABSOLUTE, UNCONDITIONAL AND </w:t>
      </w:r>
      <w:r w:rsidRPr="00D72FB9">
        <w:rPr>
          <w:rFonts w:ascii="Arial" w:hAnsi="Arial" w:cs="Arial"/>
          <w:color w:val="000000"/>
          <w:sz w:val="20"/>
          <w:szCs w:val="20"/>
        </w:rPr>
        <w:t>NONREFUNDABLE, AND SHALL NOT BE SUBJE</w:t>
      </w:r>
      <w:r>
        <w:rPr>
          <w:rFonts w:ascii="Arial" w:hAnsi="Arial" w:cs="Arial"/>
          <w:color w:val="000000"/>
          <w:sz w:val="20"/>
          <w:szCs w:val="20"/>
        </w:rPr>
        <w:t xml:space="preserve">CT TO ANY ABATEMENT, REDUCTION, </w:t>
      </w:r>
      <w:r w:rsidRPr="00D72FB9">
        <w:rPr>
          <w:rFonts w:ascii="Arial" w:hAnsi="Arial" w:cs="Arial"/>
          <w:color w:val="000000"/>
          <w:sz w:val="20"/>
          <w:szCs w:val="20"/>
        </w:rPr>
        <w:t>SETOFF, DEFENSE, CLAIM, COUNTERCLAIM, INTERRUPTION, DEFERMENT OR</w:t>
      </w:r>
    </w:p>
    <w:p w14:paraId="1C28E18D" w14:textId="0F56FB54" w:rsidR="00D72FB9" w:rsidRPr="00D72FB9" w:rsidRDefault="00D72FB9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72FB9">
        <w:rPr>
          <w:rFonts w:ascii="Arial" w:hAnsi="Arial" w:cs="Arial"/>
          <w:color w:val="000000"/>
          <w:sz w:val="20"/>
          <w:szCs w:val="20"/>
        </w:rPr>
        <w:t>RECOUPMENT, FOR ANY REASON WHATSOEVER,</w:t>
      </w:r>
      <w:r>
        <w:rPr>
          <w:rFonts w:ascii="Arial" w:hAnsi="Arial" w:cs="Arial"/>
          <w:color w:val="000000"/>
          <w:sz w:val="20"/>
          <w:szCs w:val="20"/>
        </w:rPr>
        <w:t xml:space="preserve"> INCLUDING, WITHOUT LIMITATION, ANY CLAIM THAT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LICENSOR FAILED </w:t>
      </w:r>
      <w:r>
        <w:rPr>
          <w:rFonts w:ascii="Arial" w:hAnsi="Arial" w:cs="Arial"/>
          <w:color w:val="000000"/>
          <w:sz w:val="20"/>
          <w:szCs w:val="20"/>
        </w:rPr>
        <w:t xml:space="preserve">TO PERFORM, OR HAS BREACHED ANY </w:t>
      </w:r>
      <w:r w:rsidRPr="00D72FB9">
        <w:rPr>
          <w:rFonts w:ascii="Arial" w:hAnsi="Arial" w:cs="Arial"/>
          <w:color w:val="000000"/>
          <w:sz w:val="20"/>
          <w:szCs w:val="20"/>
        </w:rPr>
        <w:t>OF ITS REPRESENTATIONS OR WARRANTIES O</w:t>
      </w:r>
      <w:r>
        <w:rPr>
          <w:rFonts w:ascii="Arial" w:hAnsi="Arial" w:cs="Arial"/>
          <w:color w:val="000000"/>
          <w:sz w:val="20"/>
          <w:szCs w:val="20"/>
        </w:rPr>
        <w:t xml:space="preserve">R COVENANTS, UNDER THE SOFTWARE </w:t>
      </w:r>
      <w:r w:rsidRPr="00D72FB9">
        <w:rPr>
          <w:rFonts w:ascii="Arial" w:hAnsi="Arial" w:cs="Arial"/>
          <w:color w:val="000000"/>
          <w:sz w:val="20"/>
          <w:szCs w:val="20"/>
        </w:rPr>
        <w:t>AGREEMENT OR THE EXPIRATION, REVOCATION OR TERMINATIO</w:t>
      </w:r>
      <w:r>
        <w:rPr>
          <w:rFonts w:ascii="Arial" w:hAnsi="Arial" w:cs="Arial"/>
          <w:color w:val="000000"/>
          <w:sz w:val="20"/>
          <w:szCs w:val="20"/>
        </w:rPr>
        <w:t xml:space="preserve">N IN WHOLE </w:t>
      </w:r>
      <w:r w:rsidRPr="00D72FB9">
        <w:rPr>
          <w:rFonts w:ascii="Arial" w:hAnsi="Arial" w:cs="Arial"/>
          <w:color w:val="000000"/>
          <w:sz w:val="20"/>
          <w:szCs w:val="20"/>
        </w:rPr>
        <w:t>OR IN PART OF THE SOFTWARE AGREEMENT F</w:t>
      </w:r>
      <w:r>
        <w:rPr>
          <w:rFonts w:ascii="Arial" w:hAnsi="Arial" w:cs="Arial"/>
          <w:color w:val="000000"/>
          <w:sz w:val="20"/>
          <w:szCs w:val="20"/>
        </w:rPr>
        <w:t xml:space="preserve">OR ANY REASON OR ANY LICENSE OR </w:t>
      </w:r>
      <w:r w:rsidRPr="00D72FB9">
        <w:rPr>
          <w:rFonts w:ascii="Arial" w:hAnsi="Arial" w:cs="Arial"/>
          <w:color w:val="000000"/>
          <w:sz w:val="20"/>
          <w:szCs w:val="20"/>
        </w:rPr>
        <w:t>THE LICENSES GRANTED UNDER THE SOFTWA</w:t>
      </w:r>
      <w:r>
        <w:rPr>
          <w:rFonts w:ascii="Arial" w:hAnsi="Arial" w:cs="Arial"/>
          <w:color w:val="000000"/>
          <w:sz w:val="20"/>
          <w:szCs w:val="20"/>
        </w:rPr>
        <w:t xml:space="preserve">RE AGREEMENT AND/OR ANY RELATED </w:t>
      </w:r>
      <w:r w:rsidRPr="00D72FB9">
        <w:rPr>
          <w:rFonts w:ascii="Arial" w:hAnsi="Arial" w:cs="Arial"/>
          <w:color w:val="000000"/>
          <w:sz w:val="20"/>
          <w:szCs w:val="20"/>
        </w:rPr>
        <w:t>MAINTENANCE, SUPPORT AND/OR OTH</w:t>
      </w:r>
      <w:r>
        <w:rPr>
          <w:rFonts w:ascii="Arial" w:hAnsi="Arial" w:cs="Arial"/>
          <w:color w:val="000000"/>
          <w:sz w:val="20"/>
          <w:szCs w:val="20"/>
        </w:rPr>
        <w:t xml:space="preserve">ER SERVICES AGREEMENT HAVE BEEN </w:t>
      </w:r>
      <w:r w:rsidRPr="00D72FB9">
        <w:rPr>
          <w:rFonts w:ascii="Arial" w:hAnsi="Arial" w:cs="Arial"/>
          <w:color w:val="000000"/>
          <w:sz w:val="20"/>
          <w:szCs w:val="20"/>
        </w:rPr>
        <w:t>REVOKED OR OTHERWISE TERMINATED FOR ANY REA</w:t>
      </w:r>
      <w:r>
        <w:rPr>
          <w:rFonts w:ascii="Arial" w:hAnsi="Arial" w:cs="Arial"/>
          <w:color w:val="000000"/>
          <w:sz w:val="20"/>
          <w:szCs w:val="20"/>
        </w:rPr>
        <w:t xml:space="preserve">SON. Accordingly, in the event </w:t>
      </w:r>
      <w:r w:rsidRPr="00D72FB9">
        <w:rPr>
          <w:rFonts w:ascii="Arial" w:hAnsi="Arial" w:cs="Arial"/>
          <w:color w:val="000000"/>
          <w:sz w:val="20"/>
          <w:szCs w:val="20"/>
        </w:rPr>
        <w:t>of any breach or default under the Software Agreement,</w:t>
      </w:r>
      <w:r>
        <w:rPr>
          <w:rFonts w:ascii="Arial" w:hAnsi="Arial" w:cs="Arial"/>
          <w:color w:val="000000"/>
          <w:sz w:val="20"/>
          <w:szCs w:val="20"/>
        </w:rPr>
        <w:t xml:space="preserve"> Obligor’s sole remedy shall be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against the Licensor under the Software Agreement. </w:t>
      </w:r>
      <w:r>
        <w:rPr>
          <w:rFonts w:ascii="Arial" w:hAnsi="Arial" w:cs="Arial"/>
          <w:color w:val="000000"/>
          <w:sz w:val="20"/>
          <w:szCs w:val="20"/>
        </w:rPr>
        <w:t xml:space="preserve">Obligor acknowledges and agrees </w:t>
      </w:r>
      <w:r w:rsidRPr="00D72FB9">
        <w:rPr>
          <w:rFonts w:ascii="Arial" w:hAnsi="Arial" w:cs="Arial"/>
          <w:color w:val="000000"/>
          <w:sz w:val="20"/>
          <w:szCs w:val="20"/>
        </w:rPr>
        <w:t>that the License fee(s) (“License Fee”) specified in Sof</w:t>
      </w:r>
      <w:r>
        <w:rPr>
          <w:rFonts w:ascii="Arial" w:hAnsi="Arial" w:cs="Arial"/>
          <w:color w:val="000000"/>
          <w:sz w:val="20"/>
          <w:szCs w:val="20"/>
        </w:rPr>
        <w:t xml:space="preserve">tware Agreement was fully </w:t>
      </w:r>
      <w:r w:rsidRPr="00D72FB9">
        <w:rPr>
          <w:rFonts w:ascii="Arial" w:hAnsi="Arial" w:cs="Arial"/>
          <w:color w:val="000000"/>
          <w:sz w:val="20"/>
          <w:szCs w:val="20"/>
        </w:rPr>
        <w:t>earned by Licensor when the Licensed Software was</w:t>
      </w:r>
      <w:r>
        <w:rPr>
          <w:rFonts w:ascii="Arial" w:hAnsi="Arial" w:cs="Arial"/>
          <w:color w:val="000000"/>
          <w:sz w:val="20"/>
          <w:szCs w:val="20"/>
        </w:rPr>
        <w:t xml:space="preserve"> delivered and that the fee for </w:t>
      </w:r>
      <w:r w:rsidRPr="00D72FB9">
        <w:rPr>
          <w:rFonts w:ascii="Arial" w:hAnsi="Arial" w:cs="Arial"/>
          <w:color w:val="000000"/>
          <w:sz w:val="20"/>
          <w:szCs w:val="20"/>
        </w:rPr>
        <w:t>Services (“Service Fee”), if any, specified in Software Ag</w:t>
      </w:r>
      <w:r>
        <w:rPr>
          <w:rFonts w:ascii="Arial" w:hAnsi="Arial" w:cs="Arial"/>
          <w:color w:val="000000"/>
          <w:sz w:val="20"/>
          <w:szCs w:val="20"/>
        </w:rPr>
        <w:t xml:space="preserve">reement will be fully earned in </w:t>
      </w:r>
      <w:r w:rsidRPr="00D72FB9">
        <w:rPr>
          <w:rFonts w:ascii="Arial" w:hAnsi="Arial" w:cs="Arial"/>
          <w:color w:val="000000"/>
          <w:sz w:val="20"/>
          <w:szCs w:val="20"/>
        </w:rPr>
        <w:t>advance on the applicable payment due date set forth in the; provided, however</w:t>
      </w:r>
      <w:r>
        <w:rPr>
          <w:rFonts w:ascii="Arial" w:hAnsi="Arial" w:cs="Arial"/>
          <w:color w:val="000000"/>
          <w:sz w:val="20"/>
          <w:szCs w:val="20"/>
        </w:rPr>
        <w:t xml:space="preserve">, that Obligor may still pursue </w:t>
      </w:r>
      <w:r w:rsidRPr="00D72FB9">
        <w:rPr>
          <w:rFonts w:ascii="Arial" w:hAnsi="Arial" w:cs="Arial"/>
          <w:color w:val="000000"/>
          <w:sz w:val="20"/>
          <w:szCs w:val="20"/>
        </w:rPr>
        <w:t>any warranty claims against Licensor (but no</w:t>
      </w:r>
      <w:r>
        <w:rPr>
          <w:rFonts w:ascii="Arial" w:hAnsi="Arial" w:cs="Arial"/>
          <w:color w:val="000000"/>
          <w:sz w:val="20"/>
          <w:szCs w:val="20"/>
        </w:rPr>
        <w:t xml:space="preserve">t against Payee or any Assignee </w:t>
      </w:r>
      <w:r w:rsidRPr="00D72FB9">
        <w:rPr>
          <w:rFonts w:ascii="Arial" w:hAnsi="Arial" w:cs="Arial"/>
          <w:color w:val="000000"/>
          <w:sz w:val="20"/>
          <w:szCs w:val="20"/>
        </w:rPr>
        <w:t>(defined below)) in accordance with the terms and conditions of the Software</w:t>
      </w:r>
    </w:p>
    <w:p w14:paraId="1C28E18E" w14:textId="040DC0BE" w:rsidR="00D72FB9" w:rsidRDefault="00D72FB9" w:rsidP="004523A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72FB9">
        <w:rPr>
          <w:rFonts w:ascii="Arial" w:hAnsi="Arial" w:cs="Arial"/>
          <w:color w:val="000000"/>
          <w:sz w:val="20"/>
          <w:szCs w:val="20"/>
        </w:rPr>
        <w:t xml:space="preserve">Agreement. </w:t>
      </w:r>
      <w:r w:rsidR="00854ECD">
        <w:rPr>
          <w:rFonts w:ascii="Arial" w:hAnsi="Arial" w:cs="Arial"/>
          <w:color w:val="000000"/>
          <w:sz w:val="20"/>
          <w:szCs w:val="20"/>
        </w:rPr>
        <w:t>To the extent permitted by law</w:t>
      </w:r>
      <w:r w:rsidR="00854ECD">
        <w:rPr>
          <w:rFonts w:ascii="Arial" w:hAnsi="Arial" w:cs="Arial"/>
          <w:color w:val="000000"/>
          <w:sz w:val="20"/>
          <w:szCs w:val="20"/>
        </w:rPr>
        <w:t xml:space="preserve">, </w:t>
      </w:r>
      <w:r w:rsidR="00E01751">
        <w:rPr>
          <w:rFonts w:ascii="Arial" w:hAnsi="Arial" w:cs="Arial"/>
          <w:color w:val="000000"/>
          <w:sz w:val="20"/>
          <w:szCs w:val="20"/>
        </w:rPr>
        <w:t>O</w:t>
      </w:r>
      <w:r w:rsidRPr="00D72FB9">
        <w:rPr>
          <w:rFonts w:ascii="Arial" w:hAnsi="Arial" w:cs="Arial"/>
          <w:color w:val="000000"/>
          <w:sz w:val="20"/>
          <w:szCs w:val="20"/>
        </w:rPr>
        <w:t>bligor s</w:t>
      </w:r>
      <w:r>
        <w:rPr>
          <w:rFonts w:ascii="Arial" w:hAnsi="Arial" w:cs="Arial"/>
          <w:color w:val="000000"/>
          <w:sz w:val="20"/>
          <w:szCs w:val="20"/>
        </w:rPr>
        <w:t xml:space="preserve">hall pay when due, and on a net </w:t>
      </w:r>
      <w:r w:rsidRPr="00D72FB9">
        <w:rPr>
          <w:rFonts w:ascii="Arial" w:hAnsi="Arial" w:cs="Arial"/>
          <w:color w:val="000000"/>
          <w:sz w:val="20"/>
          <w:szCs w:val="20"/>
        </w:rPr>
        <w:t>after-tax basis</w:t>
      </w:r>
      <w:r w:rsidR="00E01751">
        <w:rPr>
          <w:rFonts w:ascii="Arial" w:hAnsi="Arial" w:cs="Arial"/>
          <w:color w:val="000000"/>
          <w:sz w:val="20"/>
          <w:szCs w:val="20"/>
        </w:rPr>
        <w:t xml:space="preserve">, all applicable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 taxes and governmental charges (includi</w:t>
      </w:r>
      <w:r>
        <w:rPr>
          <w:rFonts w:ascii="Arial" w:hAnsi="Arial" w:cs="Arial"/>
          <w:color w:val="000000"/>
          <w:sz w:val="20"/>
          <w:szCs w:val="20"/>
        </w:rPr>
        <w:t xml:space="preserve">ng, without limitation, customs </w:t>
      </w:r>
      <w:r w:rsidRPr="00D72FB9">
        <w:rPr>
          <w:rFonts w:ascii="Arial" w:hAnsi="Arial" w:cs="Arial"/>
          <w:color w:val="000000"/>
          <w:sz w:val="20"/>
          <w:szCs w:val="20"/>
        </w:rPr>
        <w:t>and other duties and interest and penalties) of an</w:t>
      </w:r>
      <w:r>
        <w:rPr>
          <w:rFonts w:ascii="Arial" w:hAnsi="Arial" w:cs="Arial"/>
          <w:color w:val="000000"/>
          <w:sz w:val="20"/>
          <w:szCs w:val="20"/>
        </w:rPr>
        <w:t xml:space="preserve">y nature imposed upon or in any </w:t>
      </w:r>
      <w:r w:rsidRPr="00D72FB9">
        <w:rPr>
          <w:rFonts w:ascii="Arial" w:hAnsi="Arial" w:cs="Arial"/>
          <w:color w:val="000000"/>
          <w:sz w:val="20"/>
          <w:szCs w:val="20"/>
        </w:rPr>
        <w:t>way relating to Payee, Assignee, Obligor, any Licensed</w:t>
      </w:r>
      <w:r>
        <w:rPr>
          <w:rFonts w:ascii="Arial" w:hAnsi="Arial" w:cs="Arial"/>
          <w:color w:val="000000"/>
          <w:sz w:val="20"/>
          <w:szCs w:val="20"/>
        </w:rPr>
        <w:t xml:space="preserve"> Software, any Services, and/or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the Software Agreement (including without limitation the </w:t>
      </w:r>
      <w:r>
        <w:rPr>
          <w:rFonts w:ascii="Arial" w:hAnsi="Arial" w:cs="Arial"/>
          <w:color w:val="000000"/>
          <w:sz w:val="20"/>
          <w:szCs w:val="20"/>
        </w:rPr>
        <w:t xml:space="preserve">purchase, licensing, ownership, </w:t>
      </w:r>
      <w:r w:rsidRPr="00D72FB9">
        <w:rPr>
          <w:rFonts w:ascii="Arial" w:hAnsi="Arial" w:cs="Arial"/>
          <w:color w:val="000000"/>
          <w:sz w:val="20"/>
          <w:szCs w:val="20"/>
        </w:rPr>
        <w:t>shipment, transportation, delivery, installation, leasi</w:t>
      </w:r>
      <w:r>
        <w:rPr>
          <w:rFonts w:ascii="Arial" w:hAnsi="Arial" w:cs="Arial"/>
          <w:color w:val="000000"/>
          <w:sz w:val="20"/>
          <w:szCs w:val="20"/>
        </w:rPr>
        <w:t xml:space="preserve">ng, possession, use, operation,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storage and return of such Licensed Software </w:t>
      </w:r>
      <w:r>
        <w:rPr>
          <w:rFonts w:ascii="Arial" w:hAnsi="Arial" w:cs="Arial"/>
          <w:color w:val="000000"/>
          <w:sz w:val="20"/>
          <w:szCs w:val="20"/>
        </w:rPr>
        <w:t xml:space="preserve">and the purchase and use of the </w:t>
      </w:r>
      <w:r w:rsidRPr="00D72FB9">
        <w:rPr>
          <w:rFonts w:ascii="Arial" w:hAnsi="Arial" w:cs="Arial"/>
          <w:color w:val="000000"/>
          <w:sz w:val="20"/>
          <w:szCs w:val="20"/>
        </w:rPr>
        <w:t>Services) or any Schedule, except state, local or Fed</w:t>
      </w:r>
      <w:r>
        <w:rPr>
          <w:rFonts w:ascii="Arial" w:hAnsi="Arial" w:cs="Arial"/>
          <w:color w:val="000000"/>
          <w:sz w:val="20"/>
          <w:szCs w:val="20"/>
        </w:rPr>
        <w:t xml:space="preserve">eral taxes on or measured by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Payee’s and any Assignee, as applicable, net income </w:t>
      </w:r>
      <w:r>
        <w:rPr>
          <w:rFonts w:ascii="Arial" w:hAnsi="Arial" w:cs="Arial"/>
          <w:color w:val="000000"/>
          <w:sz w:val="20"/>
          <w:szCs w:val="20"/>
        </w:rPr>
        <w:t xml:space="preserve">(collectively, “Taxes”). If any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Payment due under a Schedule is not received </w:t>
      </w:r>
      <w:r w:rsidR="00DD77E6">
        <w:rPr>
          <w:rFonts w:ascii="Arial" w:hAnsi="Arial" w:cs="Arial"/>
          <w:color w:val="000000"/>
          <w:sz w:val="20"/>
          <w:szCs w:val="20"/>
        </w:rPr>
        <w:t xml:space="preserve">within 45 days of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 the d</w:t>
      </w:r>
      <w:r>
        <w:rPr>
          <w:rFonts w:ascii="Arial" w:hAnsi="Arial" w:cs="Arial"/>
          <w:color w:val="000000"/>
          <w:sz w:val="20"/>
          <w:szCs w:val="20"/>
        </w:rPr>
        <w:t xml:space="preserve">ue date thereof, Obligor agrees </w:t>
      </w:r>
      <w:r w:rsidRPr="00D72FB9">
        <w:rPr>
          <w:rFonts w:ascii="Arial" w:hAnsi="Arial" w:cs="Arial"/>
          <w:color w:val="000000"/>
          <w:sz w:val="20"/>
          <w:szCs w:val="20"/>
        </w:rPr>
        <w:t>to pay a late charge on such overdue amount (calculated fr</w:t>
      </w:r>
      <w:r>
        <w:rPr>
          <w:rFonts w:ascii="Arial" w:hAnsi="Arial" w:cs="Arial"/>
          <w:color w:val="000000"/>
          <w:sz w:val="20"/>
          <w:szCs w:val="20"/>
        </w:rPr>
        <w:t xml:space="preserve">om the due date to and </w:t>
      </w:r>
      <w:r w:rsidRPr="00D72FB9">
        <w:rPr>
          <w:rFonts w:ascii="Arial" w:hAnsi="Arial" w:cs="Arial"/>
          <w:color w:val="000000"/>
          <w:sz w:val="20"/>
          <w:szCs w:val="20"/>
        </w:rPr>
        <w:t>including the date of payment in full) as set fort</w:t>
      </w:r>
      <w:r>
        <w:rPr>
          <w:rFonts w:ascii="Arial" w:hAnsi="Arial" w:cs="Arial"/>
          <w:color w:val="000000"/>
          <w:sz w:val="20"/>
          <w:szCs w:val="20"/>
        </w:rPr>
        <w:t>h in such Schedule</w:t>
      </w:r>
      <w:r w:rsidR="00024584">
        <w:rPr>
          <w:rFonts w:ascii="Arial" w:hAnsi="Arial" w:cs="Arial"/>
          <w:color w:val="000000"/>
          <w:sz w:val="20"/>
          <w:szCs w:val="20"/>
        </w:rPr>
        <w:t>, in an amount not to exceed 1% of the total outstanding amount due</w:t>
      </w:r>
      <w:r>
        <w:rPr>
          <w:rFonts w:ascii="Arial" w:hAnsi="Arial" w:cs="Arial"/>
          <w:color w:val="000000"/>
          <w:sz w:val="20"/>
          <w:szCs w:val="20"/>
        </w:rPr>
        <w:t xml:space="preserve">. Obligor may prepay </w:t>
      </w:r>
      <w:r w:rsidRPr="00D72FB9">
        <w:rPr>
          <w:rFonts w:ascii="Arial" w:hAnsi="Arial" w:cs="Arial"/>
          <w:color w:val="000000"/>
          <w:sz w:val="20"/>
          <w:szCs w:val="20"/>
        </w:rPr>
        <w:t>Payments under a Schedule at any time without penalty or</w:t>
      </w:r>
      <w:r>
        <w:rPr>
          <w:rFonts w:ascii="Arial" w:hAnsi="Arial" w:cs="Arial"/>
          <w:color w:val="000000"/>
          <w:sz w:val="20"/>
          <w:szCs w:val="20"/>
        </w:rPr>
        <w:t xml:space="preserve"> fee, but shall not be entitled </w:t>
      </w:r>
      <w:r w:rsidRPr="00D72FB9"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z w:val="20"/>
          <w:szCs w:val="20"/>
        </w:rPr>
        <w:t xml:space="preserve"> a discount or rebate therefor. </w:t>
      </w:r>
      <w:r w:rsidRPr="00D72FB9">
        <w:rPr>
          <w:rFonts w:ascii="Arial" w:hAnsi="Arial" w:cs="Arial"/>
          <w:color w:val="000000"/>
          <w:sz w:val="20"/>
          <w:szCs w:val="20"/>
        </w:rPr>
        <w:t>The Installment Payments are based on</w:t>
      </w:r>
      <w:r w:rsidR="004523AF">
        <w:rPr>
          <w:rFonts w:ascii="Arial" w:hAnsi="Arial" w:cs="Arial"/>
          <w:color w:val="000000"/>
          <w:sz w:val="20"/>
          <w:szCs w:val="20"/>
        </w:rPr>
        <w:t xml:space="preserve"> t</w:t>
      </w:r>
      <w:r w:rsidR="004523AF" w:rsidRPr="004523AF">
        <w:rPr>
          <w:rFonts w:ascii="Arial" w:hAnsi="Arial" w:cs="Arial"/>
          <w:color w:val="000000"/>
          <w:sz w:val="20"/>
          <w:szCs w:val="20"/>
        </w:rPr>
        <w:t>he interest rate like-term SOFR swap rate as published in th</w:t>
      </w:r>
      <w:r w:rsidR="004523AF">
        <w:rPr>
          <w:rFonts w:ascii="Arial" w:hAnsi="Arial" w:cs="Arial"/>
          <w:color w:val="000000"/>
          <w:sz w:val="20"/>
          <w:szCs w:val="20"/>
        </w:rPr>
        <w:t xml:space="preserve">e Barchart.com web site updated </w:t>
      </w:r>
      <w:r w:rsidR="004523AF" w:rsidRPr="004523AF">
        <w:rPr>
          <w:rFonts w:ascii="Arial" w:hAnsi="Arial" w:cs="Arial"/>
          <w:color w:val="000000"/>
          <w:sz w:val="20"/>
          <w:szCs w:val="20"/>
        </w:rPr>
        <w:t>daily referencing Secured Overnight Financing Rates (SOFR)  (Treasury Rates, Interest Rates, Yields - Barchart.com</w:t>
      </w:r>
      <w:r w:rsidR="0022331E">
        <w:rPr>
          <w:rFonts w:ascii="Arial" w:hAnsi="Arial" w:cs="Arial"/>
          <w:color w:val="000000"/>
          <w:sz w:val="20"/>
          <w:szCs w:val="20"/>
        </w:rPr>
        <w:t>)</w:t>
      </w:r>
      <w:r w:rsidR="004523AF" w:rsidRPr="004523AF">
        <w:rPr>
          <w:rFonts w:ascii="Arial" w:hAnsi="Arial" w:cs="Arial"/>
          <w:color w:val="000000"/>
          <w:sz w:val="20"/>
          <w:szCs w:val="20"/>
        </w:rPr>
        <w:t>.</w:t>
      </w:r>
      <w:r w:rsidR="004523AF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Unless Payee has </w:t>
      </w:r>
      <w:r>
        <w:rPr>
          <w:rFonts w:ascii="Arial" w:hAnsi="Arial" w:cs="Arial"/>
          <w:color w:val="000000"/>
          <w:sz w:val="20"/>
          <w:szCs w:val="20"/>
        </w:rPr>
        <w:t xml:space="preserve">provided Obligor with a written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commitment to the contrary, Obligor hereby authorizes </w:t>
      </w:r>
      <w:r>
        <w:rPr>
          <w:rFonts w:ascii="Arial" w:hAnsi="Arial" w:cs="Arial"/>
          <w:color w:val="000000"/>
          <w:sz w:val="20"/>
          <w:szCs w:val="20"/>
        </w:rPr>
        <w:t xml:space="preserve">Payee to adjust the Installment </w:t>
      </w:r>
      <w:r w:rsidRPr="00D72FB9">
        <w:rPr>
          <w:rFonts w:ascii="Arial" w:hAnsi="Arial" w:cs="Arial"/>
          <w:color w:val="000000"/>
          <w:sz w:val="20"/>
          <w:szCs w:val="20"/>
        </w:rPr>
        <w:t>Payments, on or before the date on which Payee accept</w:t>
      </w:r>
      <w:r>
        <w:rPr>
          <w:rFonts w:ascii="Arial" w:hAnsi="Arial" w:cs="Arial"/>
          <w:color w:val="000000"/>
          <w:sz w:val="20"/>
          <w:szCs w:val="20"/>
        </w:rPr>
        <w:t xml:space="preserve">s this Agreement, in accordance </w:t>
      </w:r>
      <w:r w:rsidRPr="00D72FB9">
        <w:rPr>
          <w:rFonts w:ascii="Arial" w:hAnsi="Arial" w:cs="Arial"/>
          <w:color w:val="000000"/>
          <w:sz w:val="20"/>
          <w:szCs w:val="20"/>
        </w:rPr>
        <w:t>with any change in the like term SWAP rate, to preserve P</w:t>
      </w:r>
      <w:r>
        <w:rPr>
          <w:rFonts w:ascii="Arial" w:hAnsi="Arial" w:cs="Arial"/>
          <w:color w:val="000000"/>
          <w:sz w:val="20"/>
          <w:szCs w:val="20"/>
        </w:rPr>
        <w:t xml:space="preserve">ayee’s implicit finance rate as </w:t>
      </w:r>
      <w:r w:rsidRPr="00D72FB9">
        <w:rPr>
          <w:rFonts w:ascii="Arial" w:hAnsi="Arial" w:cs="Arial"/>
          <w:color w:val="000000"/>
          <w:sz w:val="20"/>
          <w:szCs w:val="20"/>
        </w:rPr>
        <w:t>of the date Payee quoted the Installment Payment or finance rate, as applicable.</w:t>
      </w:r>
    </w:p>
    <w:p w14:paraId="1EA7E276" w14:textId="77777777" w:rsidR="00F0165A" w:rsidRPr="00D72FB9" w:rsidRDefault="00F0165A" w:rsidP="004523A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28E18F" w14:textId="77777777" w:rsidR="00D72FB9" w:rsidRPr="00D72FB9" w:rsidRDefault="00D72FB9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72FB9">
        <w:rPr>
          <w:rFonts w:ascii="Arial" w:hAnsi="Arial" w:cs="Arial"/>
          <w:b/>
          <w:bCs/>
          <w:color w:val="000000"/>
          <w:sz w:val="20"/>
          <w:szCs w:val="20"/>
        </w:rPr>
        <w:t xml:space="preserve">3. REPRESENTATIONS, WARRANTIES AND COVENANTS. </w:t>
      </w:r>
      <w:r>
        <w:rPr>
          <w:rFonts w:ascii="Arial" w:hAnsi="Arial" w:cs="Arial"/>
          <w:color w:val="000000"/>
          <w:sz w:val="20"/>
          <w:szCs w:val="20"/>
        </w:rPr>
        <w:t xml:space="preserve">Obligor represents and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warrants to Payee, and any Assignee, as applicable, on </w:t>
      </w:r>
      <w:r>
        <w:rPr>
          <w:rFonts w:ascii="Arial" w:hAnsi="Arial" w:cs="Arial"/>
          <w:color w:val="000000"/>
          <w:sz w:val="20"/>
          <w:szCs w:val="20"/>
        </w:rPr>
        <w:t xml:space="preserve">the date hereof and on the date </w:t>
      </w:r>
      <w:r w:rsidRPr="00D72FB9">
        <w:rPr>
          <w:rFonts w:ascii="Arial" w:hAnsi="Arial" w:cs="Arial"/>
          <w:color w:val="000000"/>
          <w:sz w:val="20"/>
          <w:szCs w:val="20"/>
        </w:rPr>
        <w:t>of each Schedule, that (a) the Obligor is, as applicable, a co</w:t>
      </w:r>
      <w:r>
        <w:rPr>
          <w:rFonts w:ascii="Arial" w:hAnsi="Arial" w:cs="Arial"/>
          <w:color w:val="000000"/>
          <w:sz w:val="20"/>
          <w:szCs w:val="20"/>
        </w:rPr>
        <w:t xml:space="preserve">rporation, partnership, limited </w:t>
      </w:r>
      <w:r w:rsidRPr="00D72FB9">
        <w:rPr>
          <w:rFonts w:ascii="Arial" w:hAnsi="Arial" w:cs="Arial"/>
          <w:color w:val="000000"/>
          <w:sz w:val="20"/>
          <w:szCs w:val="20"/>
        </w:rPr>
        <w:t>liability company or proprietorship duly organize</w:t>
      </w:r>
      <w:r>
        <w:rPr>
          <w:rFonts w:ascii="Arial" w:hAnsi="Arial" w:cs="Arial"/>
          <w:color w:val="000000"/>
          <w:sz w:val="20"/>
          <w:szCs w:val="20"/>
        </w:rPr>
        <w:t xml:space="preserve">d, validly existing and in good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standing under the applicable laws of its jurisdiction of </w:t>
      </w:r>
      <w:r>
        <w:rPr>
          <w:rFonts w:ascii="Arial" w:hAnsi="Arial" w:cs="Arial"/>
          <w:color w:val="000000"/>
          <w:sz w:val="20"/>
          <w:szCs w:val="20"/>
        </w:rPr>
        <w:t xml:space="preserve">organization; (b) this MIPA and </w:t>
      </w:r>
      <w:r w:rsidRPr="00D72FB9">
        <w:rPr>
          <w:rFonts w:ascii="Arial" w:hAnsi="Arial" w:cs="Arial"/>
          <w:color w:val="000000"/>
          <w:sz w:val="20"/>
          <w:szCs w:val="20"/>
        </w:rPr>
        <w:t>the Schedule are genuine, legal, valid and binding obli</w:t>
      </w:r>
      <w:r>
        <w:rPr>
          <w:rFonts w:ascii="Arial" w:hAnsi="Arial" w:cs="Arial"/>
          <w:color w:val="000000"/>
          <w:sz w:val="20"/>
          <w:szCs w:val="20"/>
        </w:rPr>
        <w:t xml:space="preserve">gations of Obligor, enforceable </w:t>
      </w:r>
      <w:r w:rsidRPr="00D72FB9">
        <w:rPr>
          <w:rFonts w:ascii="Arial" w:hAnsi="Arial" w:cs="Arial"/>
          <w:color w:val="000000"/>
          <w:sz w:val="20"/>
          <w:szCs w:val="20"/>
        </w:rPr>
        <w:t>against Obligor in accordance with their terms, subje</w:t>
      </w:r>
      <w:r>
        <w:rPr>
          <w:rFonts w:ascii="Arial" w:hAnsi="Arial" w:cs="Arial"/>
          <w:color w:val="000000"/>
          <w:sz w:val="20"/>
          <w:szCs w:val="20"/>
        </w:rPr>
        <w:t xml:space="preserve">ct to applicable bankruptcy and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other similar laws affecting creditor’s rights generally, </w:t>
      </w:r>
      <w:r>
        <w:rPr>
          <w:rFonts w:ascii="Arial" w:hAnsi="Arial" w:cs="Arial"/>
          <w:color w:val="000000"/>
          <w:sz w:val="20"/>
          <w:szCs w:val="20"/>
        </w:rPr>
        <w:t xml:space="preserve">and the execution, delivery and </w:t>
      </w:r>
      <w:r w:rsidRPr="00D72FB9">
        <w:rPr>
          <w:rFonts w:ascii="Arial" w:hAnsi="Arial" w:cs="Arial"/>
          <w:color w:val="000000"/>
          <w:sz w:val="20"/>
          <w:szCs w:val="20"/>
        </w:rPr>
        <w:t>performance of the MIPA and, as applicable, the Schedul</w:t>
      </w:r>
      <w:r>
        <w:rPr>
          <w:rFonts w:ascii="Arial" w:hAnsi="Arial" w:cs="Arial"/>
          <w:color w:val="000000"/>
          <w:sz w:val="20"/>
          <w:szCs w:val="20"/>
        </w:rPr>
        <w:t xml:space="preserve">e, will not violate or create a </w:t>
      </w:r>
      <w:r w:rsidRPr="00D72FB9">
        <w:rPr>
          <w:rFonts w:ascii="Arial" w:hAnsi="Arial" w:cs="Arial"/>
          <w:color w:val="000000"/>
          <w:sz w:val="20"/>
          <w:szCs w:val="20"/>
        </w:rPr>
        <w:t>default under any law (including any applicable usury la</w:t>
      </w:r>
      <w:r>
        <w:rPr>
          <w:rFonts w:ascii="Arial" w:hAnsi="Arial" w:cs="Arial"/>
          <w:color w:val="000000"/>
          <w:sz w:val="20"/>
          <w:szCs w:val="20"/>
        </w:rPr>
        <w:t xml:space="preserve">w, regulation, judgment, order, </w:t>
      </w:r>
      <w:r w:rsidRPr="00D72FB9">
        <w:rPr>
          <w:rFonts w:ascii="Arial" w:hAnsi="Arial" w:cs="Arial"/>
          <w:color w:val="000000"/>
          <w:sz w:val="20"/>
          <w:szCs w:val="20"/>
        </w:rPr>
        <w:t>instrument, agreement or charter document binding on Obligor or its property; (c) this</w:t>
      </w:r>
    </w:p>
    <w:p w14:paraId="1C28E190" w14:textId="29A78D81" w:rsidR="00D72FB9" w:rsidRDefault="00D72FB9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72FB9">
        <w:rPr>
          <w:rFonts w:ascii="Arial" w:hAnsi="Arial" w:cs="Arial"/>
          <w:color w:val="000000"/>
          <w:sz w:val="20"/>
          <w:szCs w:val="20"/>
        </w:rPr>
        <w:lastRenderedPageBreak/>
        <w:t>MIPA and, as applicable, the Schedule have been duly auth</w:t>
      </w:r>
      <w:r>
        <w:rPr>
          <w:rFonts w:ascii="Arial" w:hAnsi="Arial" w:cs="Arial"/>
          <w:color w:val="000000"/>
          <w:sz w:val="20"/>
          <w:szCs w:val="20"/>
        </w:rPr>
        <w:t xml:space="preserve">orized, executed, and delivered </w:t>
      </w:r>
      <w:r w:rsidRPr="00D72FB9">
        <w:rPr>
          <w:rFonts w:ascii="Arial" w:hAnsi="Arial" w:cs="Arial"/>
          <w:color w:val="000000"/>
          <w:sz w:val="20"/>
          <w:szCs w:val="20"/>
        </w:rPr>
        <w:t>by Obligor; (d) the individual or individuals executing this MIPA and, as applicable,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>the Schedule have the authority to bind Obligor to th</w:t>
      </w:r>
      <w:r>
        <w:rPr>
          <w:rFonts w:ascii="Arial" w:hAnsi="Arial" w:cs="Arial"/>
          <w:color w:val="000000"/>
          <w:sz w:val="20"/>
          <w:szCs w:val="20"/>
        </w:rPr>
        <w:t xml:space="preserve">is MIPA and, as applicable, the </w:t>
      </w:r>
      <w:r w:rsidRPr="00D72FB9">
        <w:rPr>
          <w:rFonts w:ascii="Arial" w:hAnsi="Arial" w:cs="Arial"/>
          <w:color w:val="000000"/>
          <w:sz w:val="20"/>
          <w:szCs w:val="20"/>
        </w:rPr>
        <w:t>Schedule and (e) any and all financial informat</w:t>
      </w:r>
      <w:r>
        <w:rPr>
          <w:rFonts w:ascii="Arial" w:hAnsi="Arial" w:cs="Arial"/>
          <w:color w:val="000000"/>
          <w:sz w:val="20"/>
          <w:szCs w:val="20"/>
        </w:rPr>
        <w:t xml:space="preserve">ion furnished to Payee, and any </w:t>
      </w:r>
      <w:r w:rsidRPr="00D72FB9">
        <w:rPr>
          <w:rFonts w:ascii="Arial" w:hAnsi="Arial" w:cs="Arial"/>
          <w:color w:val="000000"/>
          <w:sz w:val="20"/>
          <w:szCs w:val="20"/>
        </w:rPr>
        <w:t>Assignee, as applicable, by Obligor is and will be t</w:t>
      </w:r>
      <w:r>
        <w:rPr>
          <w:rFonts w:ascii="Arial" w:hAnsi="Arial" w:cs="Arial"/>
          <w:color w:val="000000"/>
          <w:sz w:val="20"/>
          <w:szCs w:val="20"/>
        </w:rPr>
        <w:t xml:space="preserve">rue and correct in all material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respects and prepared in accordance with generally </w:t>
      </w:r>
      <w:r>
        <w:rPr>
          <w:rFonts w:ascii="Arial" w:hAnsi="Arial" w:cs="Arial"/>
          <w:color w:val="000000"/>
          <w:sz w:val="20"/>
          <w:szCs w:val="20"/>
        </w:rPr>
        <w:t xml:space="preserve">accepted accounting principles. </w:t>
      </w:r>
      <w:r w:rsidRPr="00D72FB9">
        <w:rPr>
          <w:rFonts w:ascii="Arial" w:hAnsi="Arial" w:cs="Arial"/>
          <w:color w:val="000000"/>
          <w:sz w:val="20"/>
          <w:szCs w:val="20"/>
        </w:rPr>
        <w:t>Obligor acknowledges that (a) it has independently or</w:t>
      </w:r>
      <w:r>
        <w:rPr>
          <w:rFonts w:ascii="Arial" w:hAnsi="Arial" w:cs="Arial"/>
          <w:color w:val="000000"/>
          <w:sz w:val="20"/>
          <w:szCs w:val="20"/>
        </w:rPr>
        <w:t xml:space="preserve">dered the Licensed Software and </w:t>
      </w:r>
      <w:r w:rsidRPr="00D72FB9">
        <w:rPr>
          <w:rFonts w:ascii="Arial" w:hAnsi="Arial" w:cs="Arial"/>
          <w:color w:val="000000"/>
          <w:sz w:val="20"/>
          <w:szCs w:val="20"/>
        </w:rPr>
        <w:t>Services, if any, from Licensor based on its own judgme</w:t>
      </w:r>
      <w:r>
        <w:rPr>
          <w:rFonts w:ascii="Arial" w:hAnsi="Arial" w:cs="Arial"/>
          <w:color w:val="000000"/>
          <w:sz w:val="20"/>
          <w:szCs w:val="20"/>
        </w:rPr>
        <w:t xml:space="preserve">nt, and expressly disclaims any </w:t>
      </w:r>
      <w:r w:rsidRPr="00D72FB9">
        <w:rPr>
          <w:rFonts w:ascii="Arial" w:hAnsi="Arial" w:cs="Arial"/>
          <w:color w:val="000000"/>
          <w:sz w:val="20"/>
          <w:szCs w:val="20"/>
        </w:rPr>
        <w:t>reliance upon statements made to Obligor by Payee or any Assignee, if any, with resp</w:t>
      </w:r>
      <w:r>
        <w:rPr>
          <w:rFonts w:ascii="Arial" w:hAnsi="Arial" w:cs="Arial"/>
          <w:color w:val="000000"/>
          <w:sz w:val="20"/>
          <w:szCs w:val="20"/>
        </w:rPr>
        <w:t xml:space="preserve">ect </w:t>
      </w:r>
      <w:r w:rsidRPr="00D72FB9">
        <w:rPr>
          <w:rFonts w:ascii="Arial" w:hAnsi="Arial" w:cs="Arial"/>
          <w:color w:val="000000"/>
          <w:sz w:val="20"/>
          <w:szCs w:val="20"/>
        </w:rPr>
        <w:t>to such Licensed Software and, if any, Services; and (b</w:t>
      </w:r>
      <w:r>
        <w:rPr>
          <w:rFonts w:ascii="Arial" w:hAnsi="Arial" w:cs="Arial"/>
          <w:color w:val="000000"/>
          <w:sz w:val="20"/>
          <w:szCs w:val="20"/>
        </w:rPr>
        <w:t xml:space="preserve">) this MIPA and, as applicable, </w:t>
      </w:r>
      <w:r w:rsidRPr="00D72FB9">
        <w:rPr>
          <w:rFonts w:ascii="Arial" w:hAnsi="Arial" w:cs="Arial"/>
          <w:color w:val="000000"/>
          <w:sz w:val="20"/>
          <w:szCs w:val="20"/>
        </w:rPr>
        <w:t>each Schedule are separate and distinct from the So</w:t>
      </w:r>
      <w:r>
        <w:rPr>
          <w:rFonts w:ascii="Arial" w:hAnsi="Arial" w:cs="Arial"/>
          <w:color w:val="000000"/>
          <w:sz w:val="20"/>
          <w:szCs w:val="20"/>
        </w:rPr>
        <w:t xml:space="preserve">ftware Agreement with Licensor,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and the terms and conditions of such Software Agreement are not incorporated into </w:t>
      </w:r>
      <w:r>
        <w:rPr>
          <w:rFonts w:ascii="Arial" w:hAnsi="Arial" w:cs="Arial"/>
          <w:color w:val="000000"/>
          <w:sz w:val="20"/>
          <w:szCs w:val="20"/>
        </w:rPr>
        <w:t xml:space="preserve">nor </w:t>
      </w:r>
      <w:r w:rsidRPr="00D72FB9">
        <w:rPr>
          <w:rFonts w:ascii="Arial" w:hAnsi="Arial" w:cs="Arial"/>
          <w:color w:val="000000"/>
          <w:sz w:val="20"/>
          <w:szCs w:val="20"/>
        </w:rPr>
        <w:t>made a part hereof.</w:t>
      </w:r>
    </w:p>
    <w:p w14:paraId="1BEC5007" w14:textId="77777777" w:rsidR="00F0165A" w:rsidRPr="00D72FB9" w:rsidRDefault="00F0165A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28E192" w14:textId="53C6DEEE" w:rsidR="00D72FB9" w:rsidRDefault="00D72FB9" w:rsidP="00D72FB9">
      <w:pPr>
        <w:autoSpaceDE w:val="0"/>
        <w:autoSpaceDN w:val="0"/>
        <w:adjustRightInd w:val="0"/>
        <w:rPr>
          <w:rFonts w:ascii="Arial" w:hAnsi="Arial" w:cs="Arial"/>
          <w:color w:val="242021"/>
          <w:sz w:val="20"/>
          <w:szCs w:val="20"/>
        </w:rPr>
      </w:pPr>
      <w:r w:rsidRPr="00D72FB9">
        <w:rPr>
          <w:rFonts w:ascii="Arial" w:hAnsi="Arial" w:cs="Arial"/>
          <w:b/>
          <w:bCs/>
          <w:color w:val="000000"/>
          <w:sz w:val="20"/>
          <w:szCs w:val="20"/>
        </w:rPr>
        <w:t xml:space="preserve">4. DEFAULT. </w:t>
      </w:r>
      <w:r w:rsidRPr="00D72FB9">
        <w:rPr>
          <w:rFonts w:ascii="Arial" w:hAnsi="Arial" w:cs="Arial"/>
          <w:color w:val="000000"/>
          <w:sz w:val="20"/>
          <w:szCs w:val="20"/>
        </w:rPr>
        <w:t>Each of the following events shall consti</w:t>
      </w:r>
      <w:r>
        <w:rPr>
          <w:rFonts w:ascii="Arial" w:hAnsi="Arial" w:cs="Arial"/>
          <w:color w:val="000000"/>
          <w:sz w:val="20"/>
          <w:szCs w:val="20"/>
        </w:rPr>
        <w:t xml:space="preserve">tute an “Event of Default”: (i) </w:t>
      </w:r>
      <w:r w:rsidRPr="00D72FB9">
        <w:rPr>
          <w:rFonts w:ascii="Arial" w:hAnsi="Arial" w:cs="Arial"/>
          <w:color w:val="000000"/>
          <w:sz w:val="20"/>
          <w:szCs w:val="20"/>
        </w:rPr>
        <w:t>Obligor fails to pay all or any portion of any Pa</w:t>
      </w:r>
      <w:r>
        <w:rPr>
          <w:rFonts w:ascii="Arial" w:hAnsi="Arial" w:cs="Arial"/>
          <w:color w:val="000000"/>
          <w:sz w:val="20"/>
          <w:szCs w:val="20"/>
        </w:rPr>
        <w:t xml:space="preserve">yment amounts payable under any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Schedule </w:t>
      </w:r>
      <w:r w:rsidR="00DD77E6">
        <w:rPr>
          <w:rFonts w:ascii="Arial" w:hAnsi="Arial" w:cs="Arial"/>
          <w:color w:val="000000"/>
          <w:sz w:val="20"/>
          <w:szCs w:val="20"/>
        </w:rPr>
        <w:t xml:space="preserve">within 45 days of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when due and within </w:t>
      </w:r>
      <w:r w:rsidR="00DD77E6">
        <w:rPr>
          <w:rFonts w:ascii="Arial" w:hAnsi="Arial" w:cs="Arial"/>
          <w:color w:val="000000"/>
          <w:sz w:val="20"/>
          <w:szCs w:val="20"/>
        </w:rPr>
        <w:t xml:space="preserve">thirty </w:t>
      </w:r>
      <w:r w:rsidRPr="00D72FB9">
        <w:rPr>
          <w:rFonts w:ascii="Arial" w:hAnsi="Arial" w:cs="Arial"/>
          <w:color w:val="000000"/>
          <w:sz w:val="20"/>
          <w:szCs w:val="20"/>
        </w:rPr>
        <w:t>(</w:t>
      </w:r>
      <w:r w:rsidR="00DD77E6">
        <w:rPr>
          <w:rFonts w:ascii="Arial" w:hAnsi="Arial" w:cs="Arial"/>
          <w:color w:val="000000"/>
          <w:sz w:val="20"/>
          <w:szCs w:val="20"/>
        </w:rPr>
        <w:t>30</w:t>
      </w:r>
      <w:r w:rsidRPr="00D72FB9">
        <w:rPr>
          <w:rFonts w:ascii="Arial" w:hAnsi="Arial" w:cs="Arial"/>
          <w:color w:val="000000"/>
          <w:sz w:val="20"/>
          <w:szCs w:val="20"/>
        </w:rPr>
        <w:t>) days following receipt by Ob</w:t>
      </w:r>
      <w:r>
        <w:rPr>
          <w:rFonts w:ascii="Arial" w:hAnsi="Arial" w:cs="Arial"/>
          <w:color w:val="000000"/>
          <w:sz w:val="20"/>
          <w:szCs w:val="20"/>
        </w:rPr>
        <w:t xml:space="preserve">ligor of a written notice </w:t>
      </w:r>
      <w:r w:rsidRPr="00D72FB9">
        <w:rPr>
          <w:rFonts w:ascii="Arial" w:hAnsi="Arial" w:cs="Arial"/>
          <w:color w:val="000000"/>
          <w:sz w:val="20"/>
          <w:szCs w:val="20"/>
        </w:rPr>
        <w:t>from Payee, or Assignee, as applicable, of such failure; (ii)</w:t>
      </w:r>
      <w:r>
        <w:rPr>
          <w:rFonts w:ascii="Arial" w:hAnsi="Arial" w:cs="Arial"/>
          <w:color w:val="000000"/>
          <w:sz w:val="20"/>
          <w:szCs w:val="20"/>
        </w:rPr>
        <w:t xml:space="preserve"> any representation or warranty </w:t>
      </w:r>
      <w:r w:rsidRPr="00D72FB9">
        <w:rPr>
          <w:rFonts w:ascii="Arial" w:hAnsi="Arial" w:cs="Arial"/>
          <w:color w:val="000000"/>
          <w:sz w:val="20"/>
          <w:szCs w:val="20"/>
        </w:rPr>
        <w:t>made by Obligor or any guarantor of Obligor’s</w:t>
      </w:r>
      <w:r>
        <w:rPr>
          <w:rFonts w:ascii="Arial" w:hAnsi="Arial" w:cs="Arial"/>
          <w:color w:val="000000"/>
          <w:sz w:val="20"/>
          <w:szCs w:val="20"/>
        </w:rPr>
        <w:t xml:space="preserve"> obligations under any Schedule </w:t>
      </w:r>
      <w:r w:rsidRPr="00D72FB9">
        <w:rPr>
          <w:rFonts w:ascii="Arial" w:hAnsi="Arial" w:cs="Arial"/>
          <w:color w:val="000000"/>
          <w:sz w:val="20"/>
          <w:szCs w:val="20"/>
        </w:rPr>
        <w:t>(“Guarantor”) proves to be false in any material respect whe</w:t>
      </w:r>
      <w:r>
        <w:rPr>
          <w:rFonts w:ascii="Arial" w:hAnsi="Arial" w:cs="Arial"/>
          <w:color w:val="000000"/>
          <w:sz w:val="20"/>
          <w:szCs w:val="20"/>
        </w:rPr>
        <w:t xml:space="preserve">n made; (iii) a material breach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by Obligor of any provision of this MIPA or any Schedule </w:t>
      </w:r>
      <w:r>
        <w:rPr>
          <w:rFonts w:ascii="Arial" w:hAnsi="Arial" w:cs="Arial"/>
          <w:color w:val="000000"/>
          <w:sz w:val="20"/>
          <w:szCs w:val="20"/>
        </w:rPr>
        <w:t xml:space="preserve">(other than a breach covered by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(i) above) where Obligor fails to correct such breach within </w:t>
      </w:r>
      <w:r>
        <w:rPr>
          <w:rFonts w:ascii="Arial" w:hAnsi="Arial" w:cs="Arial"/>
          <w:color w:val="000000"/>
          <w:sz w:val="20"/>
          <w:szCs w:val="20"/>
        </w:rPr>
        <w:t xml:space="preserve">thirty (30) days of its receipt </w:t>
      </w:r>
      <w:r w:rsidRPr="00D72FB9">
        <w:rPr>
          <w:rFonts w:ascii="Arial" w:hAnsi="Arial" w:cs="Arial"/>
          <w:color w:val="000000"/>
          <w:sz w:val="20"/>
          <w:szCs w:val="20"/>
        </w:rPr>
        <w:t>of written notice thereof; (iv) an event of default occurs an</w:t>
      </w:r>
      <w:r>
        <w:rPr>
          <w:rFonts w:ascii="Arial" w:hAnsi="Arial" w:cs="Arial"/>
          <w:color w:val="000000"/>
          <w:sz w:val="20"/>
          <w:szCs w:val="20"/>
        </w:rPr>
        <w:t xml:space="preserve">d is continuing under any other </w:t>
      </w:r>
      <w:r w:rsidRPr="00D72FB9">
        <w:rPr>
          <w:rFonts w:ascii="Arial" w:hAnsi="Arial" w:cs="Arial"/>
          <w:color w:val="000000"/>
          <w:sz w:val="20"/>
          <w:szCs w:val="20"/>
        </w:rPr>
        <w:t>related agreement, including, without limitation, the Softw</w:t>
      </w:r>
      <w:r>
        <w:rPr>
          <w:rFonts w:ascii="Arial" w:hAnsi="Arial" w:cs="Arial"/>
          <w:color w:val="000000"/>
          <w:sz w:val="20"/>
          <w:szCs w:val="20"/>
        </w:rPr>
        <w:t xml:space="preserve">are Agreement, after the giving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of any required notice and the expiration of any applicable cure period; </w:t>
      </w:r>
      <w:r w:rsidR="007448B6">
        <w:rPr>
          <w:rFonts w:ascii="Arial" w:hAnsi="Arial" w:cs="Arial"/>
          <w:color w:val="000000"/>
          <w:sz w:val="20"/>
          <w:szCs w:val="20"/>
        </w:rPr>
        <w:t xml:space="preserve">or </w:t>
      </w:r>
      <w:r w:rsidRPr="00D72FB9">
        <w:rPr>
          <w:rFonts w:ascii="Arial" w:hAnsi="Arial" w:cs="Arial"/>
          <w:color w:val="000000"/>
          <w:sz w:val="20"/>
          <w:szCs w:val="20"/>
        </w:rPr>
        <w:t>(v) Obligor, any Gu</w:t>
      </w:r>
      <w:r>
        <w:rPr>
          <w:rFonts w:ascii="Arial" w:hAnsi="Arial" w:cs="Arial"/>
          <w:color w:val="000000"/>
          <w:sz w:val="20"/>
          <w:szCs w:val="20"/>
        </w:rPr>
        <w:t xml:space="preserve">arantor or any Subsidiary shall </w:t>
      </w:r>
      <w:r w:rsidRPr="00D72FB9">
        <w:rPr>
          <w:rFonts w:ascii="Arial" w:hAnsi="Arial" w:cs="Arial"/>
          <w:color w:val="000000"/>
          <w:sz w:val="20"/>
          <w:szCs w:val="20"/>
        </w:rPr>
        <w:t>commit an act of bankruptcy or become or be adjudicate</w:t>
      </w:r>
      <w:r>
        <w:rPr>
          <w:rFonts w:ascii="Arial" w:hAnsi="Arial" w:cs="Arial"/>
          <w:color w:val="000000"/>
          <w:sz w:val="20"/>
          <w:szCs w:val="20"/>
        </w:rPr>
        <w:t xml:space="preserve">d insolvent or bankrupt or make </w:t>
      </w:r>
      <w:r w:rsidRPr="00D72FB9">
        <w:rPr>
          <w:rFonts w:ascii="Arial" w:hAnsi="Arial" w:cs="Arial"/>
          <w:color w:val="000000"/>
          <w:sz w:val="20"/>
          <w:szCs w:val="20"/>
        </w:rPr>
        <w:t>an assignment for the benefit of creditors or become unable or</w:t>
      </w:r>
      <w:r>
        <w:rPr>
          <w:rFonts w:ascii="Arial" w:hAnsi="Arial" w:cs="Arial"/>
          <w:color w:val="000000"/>
          <w:sz w:val="20"/>
          <w:szCs w:val="20"/>
        </w:rPr>
        <w:t xml:space="preserve"> admit in writing its inability </w:t>
      </w:r>
      <w:r w:rsidRPr="00D72FB9">
        <w:rPr>
          <w:rFonts w:ascii="Arial" w:hAnsi="Arial" w:cs="Arial"/>
          <w:color w:val="000000"/>
          <w:sz w:val="20"/>
          <w:szCs w:val="20"/>
        </w:rPr>
        <w:t>to pay its debts as they become due, or a trustee receiver or liquidator shall be appoint</w:t>
      </w:r>
      <w:r>
        <w:rPr>
          <w:rFonts w:ascii="Arial" w:hAnsi="Arial" w:cs="Arial"/>
          <w:color w:val="000000"/>
          <w:sz w:val="20"/>
          <w:szCs w:val="20"/>
        </w:rPr>
        <w:t xml:space="preserve">ed </w:t>
      </w:r>
      <w:r w:rsidRPr="00D72FB9">
        <w:rPr>
          <w:rFonts w:ascii="Arial" w:hAnsi="Arial" w:cs="Arial"/>
          <w:color w:val="000000"/>
          <w:sz w:val="20"/>
          <w:szCs w:val="20"/>
        </w:rPr>
        <w:t>for Obligor, any Guarantor or any Subsidiary, or for a su</w:t>
      </w:r>
      <w:r>
        <w:rPr>
          <w:rFonts w:ascii="Arial" w:hAnsi="Arial" w:cs="Arial"/>
          <w:color w:val="000000"/>
          <w:sz w:val="20"/>
          <w:szCs w:val="20"/>
        </w:rPr>
        <w:t xml:space="preserve">bstantial part of its property, </w:t>
      </w:r>
      <w:r w:rsidRPr="00D72FB9">
        <w:rPr>
          <w:rFonts w:ascii="Arial" w:hAnsi="Arial" w:cs="Arial"/>
          <w:color w:val="000000"/>
          <w:sz w:val="20"/>
          <w:szCs w:val="20"/>
        </w:rPr>
        <w:t>with or without its consent, or bankruptcy, arrangemen</w:t>
      </w:r>
      <w:r>
        <w:rPr>
          <w:rFonts w:ascii="Arial" w:hAnsi="Arial" w:cs="Arial"/>
          <w:color w:val="000000"/>
          <w:sz w:val="20"/>
          <w:szCs w:val="20"/>
        </w:rPr>
        <w:t xml:space="preserve">t, reorganization, composition, </w:t>
      </w:r>
      <w:r w:rsidRPr="00D72FB9">
        <w:rPr>
          <w:rFonts w:ascii="Arial" w:hAnsi="Arial" w:cs="Arial"/>
          <w:color w:val="000000"/>
          <w:sz w:val="20"/>
          <w:szCs w:val="20"/>
        </w:rPr>
        <w:t>readjustment, liquidation, insolvency, dissolution or similar proceedings unde</w:t>
      </w:r>
      <w:r>
        <w:rPr>
          <w:rFonts w:ascii="Arial" w:hAnsi="Arial" w:cs="Arial"/>
          <w:color w:val="000000"/>
          <w:sz w:val="20"/>
          <w:szCs w:val="20"/>
        </w:rPr>
        <w:t xml:space="preserve">r any present </w:t>
      </w:r>
      <w:r w:rsidRPr="00D72FB9">
        <w:rPr>
          <w:rFonts w:ascii="Arial" w:hAnsi="Arial" w:cs="Arial"/>
          <w:color w:val="000000"/>
          <w:sz w:val="20"/>
          <w:szCs w:val="20"/>
        </w:rPr>
        <w:t>or future statute, law or regulation shall be instit</w:t>
      </w:r>
      <w:r>
        <w:rPr>
          <w:rFonts w:ascii="Arial" w:hAnsi="Arial" w:cs="Arial"/>
          <w:color w:val="000000"/>
          <w:sz w:val="20"/>
          <w:szCs w:val="20"/>
        </w:rPr>
        <w:t xml:space="preserve">uted by or against Obligor, any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Guarantor or any Subsidiary, or Obligor, any Guarantor </w:t>
      </w:r>
      <w:r>
        <w:rPr>
          <w:rFonts w:ascii="Arial" w:hAnsi="Arial" w:cs="Arial"/>
          <w:color w:val="000000"/>
          <w:sz w:val="20"/>
          <w:szCs w:val="20"/>
        </w:rPr>
        <w:t xml:space="preserve">or any Subsidiary shall file an </w:t>
      </w:r>
      <w:r w:rsidRPr="00D72FB9">
        <w:rPr>
          <w:rFonts w:ascii="Arial" w:hAnsi="Arial" w:cs="Arial"/>
          <w:color w:val="000000"/>
          <w:sz w:val="20"/>
          <w:szCs w:val="20"/>
        </w:rPr>
        <w:t>answer admitting the material allegations of a petition filed aga</w:t>
      </w:r>
      <w:r>
        <w:rPr>
          <w:rFonts w:ascii="Arial" w:hAnsi="Arial" w:cs="Arial"/>
          <w:color w:val="000000"/>
          <w:sz w:val="20"/>
          <w:szCs w:val="20"/>
        </w:rPr>
        <w:t xml:space="preserve">inst it in any such proceeding,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or Obligor, any Guarantor or any Subsidiary </w:t>
      </w:r>
      <w:r>
        <w:rPr>
          <w:rFonts w:ascii="Arial" w:hAnsi="Arial" w:cs="Arial"/>
          <w:color w:val="000000"/>
          <w:sz w:val="20"/>
          <w:szCs w:val="20"/>
        </w:rPr>
        <w:t xml:space="preserve">shall cease doing business as a </w:t>
      </w:r>
      <w:r w:rsidRPr="00D72FB9">
        <w:rPr>
          <w:rFonts w:ascii="Arial" w:hAnsi="Arial" w:cs="Arial"/>
          <w:color w:val="000000"/>
          <w:sz w:val="20"/>
          <w:szCs w:val="20"/>
        </w:rPr>
        <w:t>going concern, or Obligor, any Guarantor or any Subsidiary shall, without Payee’s p</w:t>
      </w:r>
      <w:r>
        <w:rPr>
          <w:rFonts w:ascii="Arial" w:hAnsi="Arial" w:cs="Arial"/>
          <w:color w:val="000000"/>
          <w:sz w:val="20"/>
          <w:szCs w:val="20"/>
        </w:rPr>
        <w:t xml:space="preserve">rior </w:t>
      </w:r>
      <w:r w:rsidRPr="00D72FB9">
        <w:rPr>
          <w:rFonts w:ascii="Arial" w:hAnsi="Arial" w:cs="Arial"/>
          <w:color w:val="000000"/>
          <w:sz w:val="20"/>
          <w:szCs w:val="20"/>
        </w:rPr>
        <w:t>consent, sell, transfer, pledge or otherwise dispose of all</w:t>
      </w:r>
      <w:r>
        <w:rPr>
          <w:rFonts w:ascii="Arial" w:hAnsi="Arial" w:cs="Arial"/>
          <w:color w:val="000000"/>
          <w:sz w:val="20"/>
          <w:szCs w:val="20"/>
        </w:rPr>
        <w:t xml:space="preserve"> or any substantial part of its </w:t>
      </w:r>
      <w:r w:rsidRPr="00D72FB9">
        <w:rPr>
          <w:rFonts w:ascii="Arial" w:hAnsi="Arial" w:cs="Arial"/>
          <w:color w:val="000000"/>
          <w:sz w:val="20"/>
          <w:szCs w:val="20"/>
        </w:rPr>
        <w:t>assets, or consolidate or merge with any other entity. In a</w:t>
      </w:r>
      <w:r>
        <w:rPr>
          <w:rFonts w:ascii="Arial" w:hAnsi="Arial" w:cs="Arial"/>
          <w:color w:val="000000"/>
          <w:sz w:val="20"/>
          <w:szCs w:val="20"/>
        </w:rPr>
        <w:t xml:space="preserve">ddition to all other rights and </w:t>
      </w:r>
      <w:r w:rsidRPr="00D72FB9">
        <w:rPr>
          <w:rFonts w:ascii="Arial" w:hAnsi="Arial" w:cs="Arial"/>
          <w:color w:val="000000"/>
          <w:sz w:val="20"/>
          <w:szCs w:val="20"/>
        </w:rPr>
        <w:t>remedies as provided for herein, upon an Event of Default, Payee shal</w:t>
      </w:r>
      <w:r>
        <w:rPr>
          <w:rFonts w:ascii="Arial" w:hAnsi="Arial" w:cs="Arial"/>
          <w:color w:val="000000"/>
          <w:sz w:val="20"/>
          <w:szCs w:val="20"/>
        </w:rPr>
        <w:t xml:space="preserve">l have the right to </w:t>
      </w:r>
      <w:r w:rsidRPr="00D72FB9">
        <w:rPr>
          <w:rFonts w:ascii="Arial" w:hAnsi="Arial" w:cs="Arial"/>
          <w:color w:val="000000"/>
          <w:sz w:val="20"/>
          <w:szCs w:val="20"/>
        </w:rPr>
        <w:t>terminate or cause the termination of all licenses for the</w:t>
      </w:r>
      <w:r>
        <w:rPr>
          <w:rFonts w:ascii="Arial" w:hAnsi="Arial" w:cs="Arial"/>
          <w:color w:val="000000"/>
          <w:sz w:val="20"/>
          <w:szCs w:val="20"/>
        </w:rPr>
        <w:t xml:space="preserve"> Licensed Software with respect </w:t>
      </w:r>
      <w:r w:rsidRPr="00D72FB9">
        <w:rPr>
          <w:rFonts w:ascii="Arial" w:hAnsi="Arial" w:cs="Arial"/>
          <w:color w:val="000000"/>
          <w:sz w:val="20"/>
          <w:szCs w:val="20"/>
        </w:rPr>
        <w:t>to one or more Schedules and shall also have the right to ter</w:t>
      </w:r>
      <w:r>
        <w:rPr>
          <w:rFonts w:ascii="Arial" w:hAnsi="Arial" w:cs="Arial"/>
          <w:color w:val="000000"/>
          <w:sz w:val="20"/>
          <w:szCs w:val="20"/>
        </w:rPr>
        <w:t xml:space="preserve">minate or cause the termination </w:t>
      </w:r>
      <w:r w:rsidRPr="00D72FB9">
        <w:rPr>
          <w:rFonts w:ascii="Arial" w:hAnsi="Arial" w:cs="Arial"/>
          <w:color w:val="000000"/>
          <w:sz w:val="20"/>
          <w:szCs w:val="20"/>
        </w:rPr>
        <w:t>of related support or other services provided under o</w:t>
      </w:r>
      <w:r>
        <w:rPr>
          <w:rFonts w:ascii="Arial" w:hAnsi="Arial" w:cs="Arial"/>
          <w:color w:val="000000"/>
          <w:sz w:val="20"/>
          <w:szCs w:val="20"/>
        </w:rPr>
        <w:t xml:space="preserve">r in connection with such </w:t>
      </w:r>
      <w:r w:rsidRPr="00D72FB9">
        <w:rPr>
          <w:rFonts w:ascii="Arial" w:hAnsi="Arial" w:cs="Arial"/>
          <w:color w:val="000000"/>
          <w:sz w:val="20"/>
          <w:szCs w:val="20"/>
        </w:rPr>
        <w:t>Licensed Software</w:t>
      </w:r>
      <w:r w:rsidR="000107EF">
        <w:rPr>
          <w:rFonts w:ascii="Arial" w:hAnsi="Arial" w:cs="Arial"/>
          <w:color w:val="000000"/>
          <w:sz w:val="20"/>
          <w:szCs w:val="20"/>
        </w:rPr>
        <w:t>;</w:t>
      </w:r>
      <w:r w:rsidR="007448B6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107EF">
        <w:rPr>
          <w:rFonts w:ascii="Arial" w:hAnsi="Arial" w:cs="Arial"/>
          <w:color w:val="000000"/>
          <w:sz w:val="20"/>
          <w:szCs w:val="20"/>
        </w:rPr>
        <w:t>(vii)</w:t>
      </w:r>
      <w:r w:rsidR="006B14D4" w:rsidRPr="006B14D4">
        <w:rPr>
          <w:rFonts w:ascii="Arial" w:hAnsi="Arial" w:cs="Arial"/>
          <w:color w:val="242021"/>
          <w:sz w:val="20"/>
          <w:szCs w:val="20"/>
        </w:rPr>
        <w:t xml:space="preserve"> </w:t>
      </w:r>
      <w:r w:rsidR="006B14D4">
        <w:rPr>
          <w:rFonts w:ascii="Arial" w:hAnsi="Arial" w:cs="Arial"/>
          <w:color w:val="242021"/>
          <w:sz w:val="20"/>
          <w:szCs w:val="20"/>
        </w:rPr>
        <w:t>Obligor, its owner(s) or any guarantor(s) are listed on a US or foreign government sanctions list or are subject to sanctions therefrom.</w:t>
      </w:r>
    </w:p>
    <w:p w14:paraId="0F6327C1" w14:textId="77777777" w:rsidR="00F0165A" w:rsidRPr="00D72FB9" w:rsidRDefault="00F0165A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28E193" w14:textId="69F8E20A" w:rsidR="00D72FB9" w:rsidRDefault="00D72FB9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72FB9">
        <w:rPr>
          <w:rFonts w:ascii="Arial" w:hAnsi="Arial" w:cs="Arial"/>
          <w:b/>
          <w:bCs/>
          <w:color w:val="000000"/>
          <w:sz w:val="20"/>
          <w:szCs w:val="20"/>
        </w:rPr>
        <w:t xml:space="preserve">5. RIGHTS AND REMEDIES.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If an Event of Default </w:t>
      </w:r>
      <w:r>
        <w:rPr>
          <w:rFonts w:ascii="Arial" w:hAnsi="Arial" w:cs="Arial"/>
          <w:color w:val="000000"/>
          <w:sz w:val="20"/>
          <w:szCs w:val="20"/>
        </w:rPr>
        <w:t xml:space="preserve">has occurred and is continuing, </w:t>
      </w:r>
      <w:r w:rsidRPr="00D72FB9">
        <w:rPr>
          <w:rFonts w:ascii="Arial" w:hAnsi="Arial" w:cs="Arial"/>
          <w:color w:val="000000"/>
          <w:sz w:val="20"/>
          <w:szCs w:val="20"/>
        </w:rPr>
        <w:t>then Payee may (at its option and with notice to Obli</w:t>
      </w:r>
      <w:r>
        <w:rPr>
          <w:rFonts w:ascii="Arial" w:hAnsi="Arial" w:cs="Arial"/>
          <w:color w:val="000000"/>
          <w:sz w:val="20"/>
          <w:szCs w:val="20"/>
        </w:rPr>
        <w:t xml:space="preserve">gor or any other person (except </w:t>
      </w:r>
      <w:r w:rsidRPr="00D72FB9">
        <w:rPr>
          <w:rFonts w:ascii="Arial" w:hAnsi="Arial" w:cs="Arial"/>
          <w:color w:val="000000"/>
          <w:sz w:val="20"/>
          <w:szCs w:val="20"/>
        </w:rPr>
        <w:t>as otherwise provided in Section 4): (a) require the ou</w:t>
      </w:r>
      <w:r>
        <w:rPr>
          <w:rFonts w:ascii="Arial" w:hAnsi="Arial" w:cs="Arial"/>
          <w:color w:val="000000"/>
          <w:sz w:val="20"/>
          <w:szCs w:val="20"/>
        </w:rPr>
        <w:t xml:space="preserve">tstanding balance of </w:t>
      </w:r>
      <w:r w:rsidR="007448B6">
        <w:rPr>
          <w:rFonts w:ascii="Arial" w:hAnsi="Arial" w:cs="Arial"/>
          <w:color w:val="000000"/>
          <w:sz w:val="20"/>
          <w:szCs w:val="20"/>
        </w:rPr>
        <w:t>the applicable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>Schedule Installment Payment</w:t>
      </w:r>
      <w:r w:rsidR="007448B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amounts immediately </w:t>
      </w:r>
      <w:r w:rsidRPr="00D72FB9">
        <w:rPr>
          <w:rFonts w:ascii="Arial" w:hAnsi="Arial" w:cs="Arial"/>
          <w:color w:val="000000"/>
          <w:sz w:val="20"/>
          <w:szCs w:val="20"/>
        </w:rPr>
        <w:t>due and payable (including, without limitation accrued</w:t>
      </w:r>
      <w:r>
        <w:rPr>
          <w:rFonts w:ascii="Arial" w:hAnsi="Arial" w:cs="Arial"/>
          <w:color w:val="000000"/>
          <w:sz w:val="20"/>
          <w:szCs w:val="20"/>
        </w:rPr>
        <w:t xml:space="preserve"> but unpaid interest) of </w:t>
      </w:r>
      <w:r w:rsidR="007448B6">
        <w:rPr>
          <w:rFonts w:ascii="Arial" w:hAnsi="Arial" w:cs="Arial"/>
          <w:color w:val="000000"/>
          <w:sz w:val="20"/>
          <w:szCs w:val="20"/>
        </w:rPr>
        <w:t xml:space="preserve">the applicable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 Schedule, 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="007448B6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) </w:t>
      </w:r>
      <w:r w:rsidRPr="00D72FB9">
        <w:rPr>
          <w:rFonts w:ascii="Arial" w:hAnsi="Arial" w:cs="Arial"/>
          <w:color w:val="000000"/>
          <w:sz w:val="20"/>
          <w:szCs w:val="20"/>
        </w:rPr>
        <w:t>3% per annum, of the remaining unpaid balance of the</w:t>
      </w:r>
      <w:r>
        <w:rPr>
          <w:rFonts w:ascii="Arial" w:hAnsi="Arial" w:cs="Arial"/>
          <w:color w:val="000000"/>
          <w:sz w:val="20"/>
          <w:szCs w:val="20"/>
        </w:rPr>
        <w:t xml:space="preserve"> Installment Payments and other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Payments to become due to become immediately due </w:t>
      </w:r>
      <w:r>
        <w:rPr>
          <w:rFonts w:ascii="Arial" w:hAnsi="Arial" w:cs="Arial"/>
          <w:color w:val="000000"/>
          <w:sz w:val="20"/>
          <w:szCs w:val="20"/>
        </w:rPr>
        <w:t xml:space="preserve">and payable by Obligor; and (b) </w:t>
      </w:r>
      <w:r w:rsidRPr="00D72FB9">
        <w:rPr>
          <w:rFonts w:ascii="Arial" w:hAnsi="Arial" w:cs="Arial"/>
          <w:color w:val="000000"/>
          <w:sz w:val="20"/>
          <w:szCs w:val="20"/>
        </w:rPr>
        <w:t>cause Licensor to terminate all of Obligor’s rights to</w:t>
      </w:r>
      <w:r>
        <w:rPr>
          <w:rFonts w:ascii="Arial" w:hAnsi="Arial" w:cs="Arial"/>
          <w:color w:val="000000"/>
          <w:sz w:val="20"/>
          <w:szCs w:val="20"/>
        </w:rPr>
        <w:t xml:space="preserve"> use any or all of the Licensed </w:t>
      </w:r>
      <w:r w:rsidRPr="00D72FB9">
        <w:rPr>
          <w:rFonts w:ascii="Arial" w:hAnsi="Arial" w:cs="Arial"/>
          <w:color w:val="000000"/>
          <w:sz w:val="20"/>
          <w:szCs w:val="20"/>
        </w:rPr>
        <w:t>Software or any or all Services; and (c) pursue any righ</w:t>
      </w:r>
      <w:r>
        <w:rPr>
          <w:rFonts w:ascii="Arial" w:hAnsi="Arial" w:cs="Arial"/>
          <w:color w:val="000000"/>
          <w:sz w:val="20"/>
          <w:szCs w:val="20"/>
        </w:rPr>
        <w:t xml:space="preserve">ts or remedies available at law </w:t>
      </w:r>
      <w:r w:rsidRPr="00D72FB9">
        <w:rPr>
          <w:rFonts w:ascii="Arial" w:hAnsi="Arial" w:cs="Arial"/>
          <w:color w:val="000000"/>
          <w:sz w:val="20"/>
          <w:szCs w:val="20"/>
        </w:rPr>
        <w:t>or in equity. In the event Payee, or any Assignee, as applica</w:t>
      </w:r>
      <w:r>
        <w:rPr>
          <w:rFonts w:ascii="Arial" w:hAnsi="Arial" w:cs="Arial"/>
          <w:color w:val="000000"/>
          <w:sz w:val="20"/>
          <w:szCs w:val="20"/>
        </w:rPr>
        <w:t xml:space="preserve">ble, shall institute any action </w:t>
      </w:r>
      <w:r w:rsidRPr="00D72FB9">
        <w:rPr>
          <w:rFonts w:ascii="Arial" w:hAnsi="Arial" w:cs="Arial"/>
          <w:color w:val="000000"/>
          <w:sz w:val="20"/>
          <w:szCs w:val="20"/>
        </w:rPr>
        <w:t>for the enforcement of the collection of all or any port</w:t>
      </w:r>
      <w:r>
        <w:rPr>
          <w:rFonts w:ascii="Arial" w:hAnsi="Arial" w:cs="Arial"/>
          <w:color w:val="000000"/>
          <w:sz w:val="20"/>
          <w:szCs w:val="20"/>
        </w:rPr>
        <w:t xml:space="preserve">ion of the Installment Payments </w:t>
      </w:r>
      <w:r w:rsidRPr="00D72FB9">
        <w:rPr>
          <w:rFonts w:ascii="Arial" w:hAnsi="Arial" w:cs="Arial"/>
          <w:color w:val="000000"/>
          <w:sz w:val="20"/>
          <w:szCs w:val="20"/>
        </w:rPr>
        <w:t>or any other indebtedness under any Schedule or to p</w:t>
      </w:r>
      <w:r>
        <w:rPr>
          <w:rFonts w:ascii="Arial" w:hAnsi="Arial" w:cs="Arial"/>
          <w:color w:val="000000"/>
          <w:sz w:val="20"/>
          <w:szCs w:val="20"/>
        </w:rPr>
        <w:t xml:space="preserve">rotect, preserve or enforce its </w:t>
      </w:r>
      <w:r w:rsidRPr="00D72FB9">
        <w:rPr>
          <w:rFonts w:ascii="Arial" w:hAnsi="Arial" w:cs="Arial"/>
          <w:color w:val="000000"/>
          <w:sz w:val="20"/>
          <w:szCs w:val="20"/>
        </w:rPr>
        <w:t>rights, there shall be immediately due from Obligor,</w:t>
      </w:r>
      <w:r>
        <w:rPr>
          <w:rFonts w:ascii="Arial" w:hAnsi="Arial" w:cs="Arial"/>
          <w:color w:val="000000"/>
          <w:sz w:val="20"/>
          <w:szCs w:val="20"/>
        </w:rPr>
        <w:t xml:space="preserve"> in addition to the amounts due </w:t>
      </w:r>
      <w:r w:rsidRPr="00D72FB9">
        <w:rPr>
          <w:rFonts w:ascii="Arial" w:hAnsi="Arial" w:cs="Arial"/>
          <w:color w:val="000000"/>
          <w:sz w:val="20"/>
          <w:szCs w:val="20"/>
        </w:rPr>
        <w:t>above, all costs and expenses of such action, including,</w:t>
      </w:r>
      <w:r>
        <w:rPr>
          <w:rFonts w:ascii="Arial" w:hAnsi="Arial" w:cs="Arial"/>
          <w:color w:val="000000"/>
          <w:sz w:val="20"/>
          <w:szCs w:val="20"/>
        </w:rPr>
        <w:t xml:space="preserve"> without limitation, attorneys’ </w:t>
      </w:r>
      <w:r w:rsidRPr="00D72FB9">
        <w:rPr>
          <w:rFonts w:ascii="Arial" w:hAnsi="Arial" w:cs="Arial"/>
          <w:color w:val="000000"/>
          <w:sz w:val="20"/>
          <w:szCs w:val="20"/>
        </w:rPr>
        <w:t>fees and expenses. No failure or delay on the par</w:t>
      </w:r>
      <w:r>
        <w:rPr>
          <w:rFonts w:ascii="Arial" w:hAnsi="Arial" w:cs="Arial"/>
          <w:color w:val="000000"/>
          <w:sz w:val="20"/>
          <w:szCs w:val="20"/>
        </w:rPr>
        <w:t xml:space="preserve">t of Payee, or any Assignee, as </w:t>
      </w:r>
      <w:r w:rsidRPr="00D72FB9">
        <w:rPr>
          <w:rFonts w:ascii="Arial" w:hAnsi="Arial" w:cs="Arial"/>
          <w:color w:val="000000"/>
          <w:sz w:val="20"/>
          <w:szCs w:val="20"/>
        </w:rPr>
        <w:t>applicable, to exercise any right or remedy hereunder shall operate as a waiver thereof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>of such right or of any other right under this MI</w:t>
      </w:r>
      <w:r>
        <w:rPr>
          <w:rFonts w:ascii="Arial" w:hAnsi="Arial" w:cs="Arial"/>
          <w:color w:val="000000"/>
          <w:sz w:val="20"/>
          <w:szCs w:val="20"/>
        </w:rPr>
        <w:t xml:space="preserve">PA or any Schedule or under any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other document or instrument executed or delivered </w:t>
      </w:r>
      <w:r>
        <w:rPr>
          <w:rFonts w:ascii="Arial" w:hAnsi="Arial" w:cs="Arial"/>
          <w:color w:val="000000"/>
          <w:sz w:val="20"/>
          <w:szCs w:val="20"/>
        </w:rPr>
        <w:t xml:space="preserve">in connection with this MIPA or </w:t>
      </w:r>
      <w:r w:rsidRPr="00D72FB9">
        <w:rPr>
          <w:rFonts w:ascii="Arial" w:hAnsi="Arial" w:cs="Arial"/>
          <w:color w:val="000000"/>
          <w:sz w:val="20"/>
          <w:szCs w:val="20"/>
        </w:rPr>
        <w:t>any Schedule. All remedies are cumulative and not</w:t>
      </w:r>
      <w:r>
        <w:rPr>
          <w:rFonts w:ascii="Arial" w:hAnsi="Arial" w:cs="Arial"/>
          <w:color w:val="000000"/>
          <w:sz w:val="20"/>
          <w:szCs w:val="20"/>
        </w:rPr>
        <w:t xml:space="preserve"> exclusive. Except as expressly </w:t>
      </w:r>
      <w:r w:rsidRPr="00D72FB9">
        <w:rPr>
          <w:rFonts w:ascii="Arial" w:hAnsi="Arial" w:cs="Arial"/>
          <w:color w:val="000000"/>
          <w:sz w:val="20"/>
          <w:szCs w:val="20"/>
        </w:rPr>
        <w:t>provided herein, Obligor hereby waives grace, d</w:t>
      </w:r>
      <w:r>
        <w:rPr>
          <w:rFonts w:ascii="Arial" w:hAnsi="Arial" w:cs="Arial"/>
          <w:color w:val="000000"/>
          <w:sz w:val="20"/>
          <w:szCs w:val="20"/>
        </w:rPr>
        <w:t xml:space="preserve">emand, presentment for payment, </w:t>
      </w:r>
      <w:r w:rsidRPr="00D72FB9">
        <w:rPr>
          <w:rFonts w:ascii="Arial" w:hAnsi="Arial" w:cs="Arial"/>
          <w:color w:val="000000"/>
          <w:sz w:val="20"/>
          <w:szCs w:val="20"/>
        </w:rPr>
        <w:t>notice of non-payment, protest and notice of protest,</w:t>
      </w:r>
      <w:r>
        <w:rPr>
          <w:rFonts w:ascii="Arial" w:hAnsi="Arial" w:cs="Arial"/>
          <w:color w:val="000000"/>
          <w:sz w:val="20"/>
          <w:szCs w:val="20"/>
        </w:rPr>
        <w:t xml:space="preserve"> notice of dishonor or default,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notice of intent to accelerate, notice of acceleration </w:t>
      </w:r>
      <w:r>
        <w:rPr>
          <w:rFonts w:ascii="Arial" w:hAnsi="Arial" w:cs="Arial"/>
          <w:color w:val="000000"/>
          <w:sz w:val="20"/>
          <w:szCs w:val="20"/>
        </w:rPr>
        <w:t xml:space="preserve">and diligence in collecting and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bringing of lawsuit and/or other enforcement action. </w:t>
      </w:r>
      <w:r>
        <w:rPr>
          <w:rFonts w:ascii="Arial" w:hAnsi="Arial" w:cs="Arial"/>
          <w:color w:val="000000"/>
          <w:sz w:val="20"/>
          <w:szCs w:val="20"/>
        </w:rPr>
        <w:t xml:space="preserve">To the extent permitted by law, </w:t>
      </w:r>
      <w:r w:rsidRPr="00D72FB9">
        <w:rPr>
          <w:rFonts w:ascii="Arial" w:hAnsi="Arial" w:cs="Arial"/>
          <w:color w:val="000000"/>
          <w:sz w:val="20"/>
          <w:szCs w:val="20"/>
        </w:rPr>
        <w:t>Obligor agrees that neither Payee nor any Assignee no</w:t>
      </w:r>
      <w:r>
        <w:rPr>
          <w:rFonts w:ascii="Arial" w:hAnsi="Arial" w:cs="Arial"/>
          <w:color w:val="000000"/>
          <w:sz w:val="20"/>
          <w:szCs w:val="20"/>
        </w:rPr>
        <w:t xml:space="preserve">r Licensor shall be required to </w:t>
      </w:r>
      <w:r w:rsidRPr="00D72FB9">
        <w:rPr>
          <w:rFonts w:ascii="Arial" w:hAnsi="Arial" w:cs="Arial"/>
          <w:color w:val="000000"/>
          <w:sz w:val="20"/>
          <w:szCs w:val="20"/>
        </w:rPr>
        <w:t>license, lease, transfer or use any Licensed Softwa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re in mitigation of any damages </w:t>
      </w:r>
      <w:r w:rsidRPr="00D72FB9">
        <w:rPr>
          <w:rFonts w:ascii="Arial" w:hAnsi="Arial" w:cs="Arial"/>
          <w:color w:val="000000"/>
          <w:sz w:val="20"/>
          <w:szCs w:val="20"/>
        </w:rPr>
        <w:t>resulting from Obligor’s default. Notwithstanding an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y other provisions of this MIPA </w:t>
      </w:r>
      <w:r w:rsidRPr="00D72FB9">
        <w:rPr>
          <w:rFonts w:ascii="Arial" w:hAnsi="Arial" w:cs="Arial"/>
          <w:color w:val="000000"/>
          <w:sz w:val="20"/>
          <w:szCs w:val="20"/>
        </w:rPr>
        <w:t>or any Schedule or any document or instrument exec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uted or delivered in connection </w:t>
      </w:r>
      <w:r w:rsidRPr="00D72FB9">
        <w:rPr>
          <w:rFonts w:ascii="Arial" w:hAnsi="Arial" w:cs="Arial"/>
          <w:color w:val="000000"/>
          <w:sz w:val="20"/>
          <w:szCs w:val="20"/>
        </w:rPr>
        <w:t>with this MIPA or any Schedule, interest, fees and the li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ke shall not exceed the maximum </w:t>
      </w:r>
      <w:r w:rsidRPr="00D72FB9">
        <w:rPr>
          <w:rFonts w:ascii="Arial" w:hAnsi="Arial" w:cs="Arial"/>
          <w:color w:val="000000"/>
          <w:sz w:val="20"/>
          <w:szCs w:val="20"/>
        </w:rPr>
        <w:t>rate permitted by applicable law.</w:t>
      </w:r>
    </w:p>
    <w:p w14:paraId="0C048C0D" w14:textId="77777777" w:rsidR="00F0165A" w:rsidRPr="00D72FB9" w:rsidRDefault="00F0165A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28E194" w14:textId="257D9036" w:rsidR="00D72FB9" w:rsidRDefault="00D72FB9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72FB9">
        <w:rPr>
          <w:rFonts w:ascii="Arial" w:hAnsi="Arial" w:cs="Arial"/>
          <w:b/>
          <w:bCs/>
          <w:color w:val="000000"/>
          <w:sz w:val="20"/>
          <w:szCs w:val="20"/>
        </w:rPr>
        <w:t xml:space="preserve">6. NOTICES. </w:t>
      </w:r>
      <w:r w:rsidRPr="00D72FB9">
        <w:rPr>
          <w:rFonts w:ascii="Arial" w:hAnsi="Arial" w:cs="Arial"/>
          <w:color w:val="000000"/>
          <w:sz w:val="20"/>
          <w:szCs w:val="20"/>
        </w:rPr>
        <w:t>Each notice or other communicat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ion required or permitted to be </w:t>
      </w:r>
      <w:r w:rsidRPr="00D72FB9">
        <w:rPr>
          <w:rFonts w:ascii="Arial" w:hAnsi="Arial" w:cs="Arial"/>
          <w:color w:val="000000"/>
          <w:sz w:val="20"/>
          <w:szCs w:val="20"/>
        </w:rPr>
        <w:t>given or delivered hereunder or under any Schedul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e shall be in writing and shall </w:t>
      </w:r>
      <w:r w:rsidRPr="00D72FB9">
        <w:rPr>
          <w:rFonts w:ascii="Arial" w:hAnsi="Arial" w:cs="Arial"/>
          <w:color w:val="000000"/>
          <w:sz w:val="20"/>
          <w:szCs w:val="20"/>
        </w:rPr>
        <w:t>become effective when delivered, or if mailed, when deposited in the United States ma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il </w:t>
      </w:r>
      <w:r w:rsidRPr="00D72FB9">
        <w:rPr>
          <w:rFonts w:ascii="Arial" w:hAnsi="Arial" w:cs="Arial"/>
          <w:color w:val="000000"/>
          <w:sz w:val="20"/>
          <w:szCs w:val="20"/>
        </w:rPr>
        <w:t>with proper postage prepaid for registered or certified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mail, return receipt requested </w:t>
      </w:r>
      <w:r w:rsidRPr="00D72FB9">
        <w:rPr>
          <w:rFonts w:ascii="Arial" w:hAnsi="Arial" w:cs="Arial"/>
          <w:color w:val="000000"/>
          <w:sz w:val="20"/>
          <w:szCs w:val="20"/>
        </w:rPr>
        <w:t>and addressed to such other party at the address set for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th herein or, if such holder is </w:t>
      </w:r>
      <w:r w:rsidRPr="00D72FB9">
        <w:rPr>
          <w:rFonts w:ascii="Arial" w:hAnsi="Arial" w:cs="Arial"/>
          <w:color w:val="000000"/>
          <w:sz w:val="20"/>
          <w:szCs w:val="20"/>
        </w:rPr>
        <w:t>not Payee, at the last address designated by Payee or such holder to Obligor.</w:t>
      </w:r>
    </w:p>
    <w:p w14:paraId="5D123804" w14:textId="77777777" w:rsidR="00F0165A" w:rsidRPr="00D72FB9" w:rsidRDefault="00F0165A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28E196" w14:textId="1EFBC779" w:rsidR="00D72FB9" w:rsidRDefault="00D72FB9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72FB9">
        <w:rPr>
          <w:rFonts w:ascii="Arial" w:hAnsi="Arial" w:cs="Arial"/>
          <w:b/>
          <w:bCs/>
          <w:color w:val="000000"/>
          <w:sz w:val="20"/>
          <w:szCs w:val="20"/>
        </w:rPr>
        <w:t xml:space="preserve">7. GOVERNING LAW. </w:t>
      </w:r>
      <w:r w:rsidRPr="00D72FB9">
        <w:rPr>
          <w:rFonts w:ascii="Arial" w:hAnsi="Arial" w:cs="Arial"/>
          <w:color w:val="000000"/>
          <w:sz w:val="20"/>
          <w:szCs w:val="20"/>
        </w:rPr>
        <w:t>This MIPA and each Sc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hedule shall be governed in all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respects by and construed in accordance with 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the laws of the </w:t>
      </w:r>
      <w:r w:rsidR="00DD77E6">
        <w:rPr>
          <w:rFonts w:ascii="Arial" w:hAnsi="Arial" w:cs="Arial"/>
          <w:color w:val="000000"/>
          <w:sz w:val="20"/>
          <w:szCs w:val="20"/>
        </w:rPr>
        <w:t>State of Payee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, without regard to its conflict of law 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principles, </w:t>
      </w:r>
      <w:r w:rsidRPr="00D72FB9">
        <w:rPr>
          <w:rFonts w:ascii="Arial" w:hAnsi="Arial" w:cs="Arial"/>
          <w:color w:val="000000"/>
          <w:sz w:val="20"/>
          <w:szCs w:val="20"/>
        </w:rPr>
        <w:t>Any action again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st Obligor concerning this MIPA </w:t>
      </w:r>
      <w:r w:rsidRPr="00D72FB9">
        <w:rPr>
          <w:rFonts w:ascii="Arial" w:hAnsi="Arial" w:cs="Arial"/>
          <w:color w:val="000000"/>
          <w:sz w:val="20"/>
          <w:szCs w:val="20"/>
        </w:rPr>
        <w:t>and/or any Schedule and the indebtedness evid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enced hereby and thereby may be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brought in any court of competent jurisdiction located in the </w:t>
      </w:r>
      <w:r w:rsidR="00DD77E6">
        <w:rPr>
          <w:rFonts w:ascii="Arial" w:hAnsi="Arial" w:cs="Arial"/>
          <w:color w:val="000000"/>
          <w:sz w:val="20"/>
          <w:szCs w:val="20"/>
        </w:rPr>
        <w:t>State of Payee</w:t>
      </w:r>
      <w:r w:rsidR="007448B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>and Obligor hereby accepts the nonexclusive jurisdiction of any such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lastRenderedPageBreak/>
        <w:t>court and waives, to the fullest extent permitted by law,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the defense of an inconvenient </w:t>
      </w:r>
      <w:r w:rsidRPr="00D72FB9">
        <w:rPr>
          <w:rFonts w:ascii="Arial" w:hAnsi="Arial" w:cs="Arial"/>
          <w:color w:val="000000"/>
          <w:sz w:val="20"/>
          <w:szCs w:val="20"/>
        </w:rPr>
        <w:t>forum to the maintenance of such act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ion. EACH OF THE PARTIES HERETO </w:t>
      </w:r>
      <w:r w:rsidRPr="00D72FB9">
        <w:rPr>
          <w:rFonts w:ascii="Arial" w:hAnsi="Arial" w:cs="Arial"/>
          <w:color w:val="000000"/>
          <w:sz w:val="20"/>
          <w:szCs w:val="20"/>
        </w:rPr>
        <w:t>HEREBY WAIVES ANY RIGHT TO TRIAL BY JURY WITH RESPECT TO ANY ACTION</w:t>
      </w:r>
      <w:r w:rsidR="007448B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>OR PROCEEDING ARISING OUT OF OR IN A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NY MANNER RELATING TO THIS MIPA </w:t>
      </w:r>
      <w:r w:rsidRPr="00D72FB9">
        <w:rPr>
          <w:rFonts w:ascii="Arial" w:hAnsi="Arial" w:cs="Arial"/>
          <w:color w:val="000000"/>
          <w:sz w:val="20"/>
          <w:szCs w:val="20"/>
        </w:rPr>
        <w:t>AND EACH SCHEDULE.</w:t>
      </w:r>
    </w:p>
    <w:p w14:paraId="3C203484" w14:textId="77777777" w:rsidR="00F0165A" w:rsidRPr="00D72FB9" w:rsidRDefault="00F0165A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28E19D" w14:textId="3A8B7156" w:rsidR="00D72FB9" w:rsidRDefault="00D72FB9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72FB9">
        <w:rPr>
          <w:rFonts w:ascii="Arial" w:hAnsi="Arial" w:cs="Arial"/>
          <w:b/>
          <w:bCs/>
          <w:color w:val="000000"/>
          <w:sz w:val="20"/>
          <w:szCs w:val="20"/>
        </w:rPr>
        <w:t xml:space="preserve">8. MISCELLANEOUS. </w:t>
      </w:r>
      <w:r w:rsidRPr="00D72FB9">
        <w:rPr>
          <w:rFonts w:ascii="Arial" w:hAnsi="Arial" w:cs="Arial"/>
          <w:color w:val="000000"/>
          <w:sz w:val="20"/>
          <w:szCs w:val="20"/>
        </w:rPr>
        <w:t>This MIPA and each Schedul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e shall constitute the complete </w:t>
      </w:r>
      <w:r w:rsidRPr="00D72FB9">
        <w:rPr>
          <w:rFonts w:ascii="Arial" w:hAnsi="Arial" w:cs="Arial"/>
          <w:color w:val="000000"/>
          <w:sz w:val="20"/>
          <w:szCs w:val="20"/>
        </w:rPr>
        <w:t>and exclusive agreement of Obligor and Payee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with respect to the payment of </w:t>
      </w:r>
      <w:r w:rsidRPr="00D72FB9">
        <w:rPr>
          <w:rFonts w:ascii="Arial" w:hAnsi="Arial" w:cs="Arial"/>
          <w:color w:val="000000"/>
          <w:sz w:val="20"/>
          <w:szCs w:val="20"/>
        </w:rPr>
        <w:t>the amounts owing hereunder and thereunder and super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sedes all prior oral or written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understandings, including, without limitation any 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inconsistent terms set forth in </w:t>
      </w:r>
      <w:r w:rsidRPr="00D72FB9">
        <w:rPr>
          <w:rFonts w:ascii="Arial" w:hAnsi="Arial" w:cs="Arial"/>
          <w:color w:val="000000"/>
          <w:sz w:val="20"/>
          <w:szCs w:val="20"/>
        </w:rPr>
        <w:t>the Software Agreement. No term or provision of t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his MIPA or any Schedule may be </w:t>
      </w:r>
      <w:r w:rsidRPr="00D72FB9">
        <w:rPr>
          <w:rFonts w:ascii="Arial" w:hAnsi="Arial" w:cs="Arial"/>
          <w:color w:val="000000"/>
          <w:sz w:val="20"/>
          <w:szCs w:val="20"/>
        </w:rPr>
        <w:t>amended, waived, discharged, or terminated except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by a written instrument signed </w:t>
      </w:r>
      <w:r w:rsidRPr="00D72FB9">
        <w:rPr>
          <w:rFonts w:ascii="Arial" w:hAnsi="Arial" w:cs="Arial"/>
          <w:color w:val="000000"/>
          <w:sz w:val="20"/>
          <w:szCs w:val="20"/>
        </w:rPr>
        <w:t>by Obligor and Payee, or, as applicable, Assignee t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hereof. If any term, provision,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covenant or restriction of this MIPA or any Schedule 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is held by a court of competent </w:t>
      </w:r>
      <w:r w:rsidRPr="00D72FB9">
        <w:rPr>
          <w:rFonts w:ascii="Arial" w:hAnsi="Arial" w:cs="Arial"/>
          <w:color w:val="000000"/>
          <w:sz w:val="20"/>
          <w:szCs w:val="20"/>
        </w:rPr>
        <w:t>jurisdiction to be invalid, void or unenforceable, the rema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inder of the terms, provisions, </w:t>
      </w:r>
      <w:r w:rsidRPr="00D72FB9">
        <w:rPr>
          <w:rFonts w:ascii="Arial" w:hAnsi="Arial" w:cs="Arial"/>
          <w:color w:val="000000"/>
          <w:sz w:val="20"/>
          <w:szCs w:val="20"/>
        </w:rPr>
        <w:t>covenants and restrictions of this MIPA or Sched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ule, as applicable, will remain </w:t>
      </w:r>
      <w:r w:rsidRPr="00D72FB9">
        <w:rPr>
          <w:rFonts w:ascii="Arial" w:hAnsi="Arial" w:cs="Arial"/>
          <w:color w:val="000000"/>
          <w:sz w:val="20"/>
          <w:szCs w:val="20"/>
        </w:rPr>
        <w:t>in full force and effect and in no way will be affected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, impaired or invalidated. Each </w:t>
      </w:r>
      <w:r w:rsidRPr="00D72FB9">
        <w:rPr>
          <w:rFonts w:ascii="Arial" w:hAnsi="Arial" w:cs="Arial"/>
          <w:color w:val="000000"/>
          <w:sz w:val="20"/>
          <w:szCs w:val="20"/>
        </w:rPr>
        <w:t>Schedule has been entered into in connection with a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Software License, Services and </w:t>
      </w:r>
      <w:r w:rsidRPr="00D72FB9">
        <w:rPr>
          <w:rFonts w:ascii="Arial" w:hAnsi="Arial" w:cs="Arial"/>
          <w:color w:val="000000"/>
          <w:sz w:val="20"/>
          <w:szCs w:val="20"/>
        </w:rPr>
        <w:t>Maintenance Agreement (as amended, extended or r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eplaced from time to time, each </w:t>
      </w:r>
      <w:r w:rsidRPr="00D72FB9">
        <w:rPr>
          <w:rFonts w:ascii="Arial" w:hAnsi="Arial" w:cs="Arial"/>
          <w:color w:val="000000"/>
          <w:sz w:val="20"/>
          <w:szCs w:val="20"/>
        </w:rPr>
        <w:t>a “Software Agreement”) between Obligor and Lice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nsor. The terms of the Software </w:t>
      </w:r>
      <w:r w:rsidRPr="00D72FB9">
        <w:rPr>
          <w:rFonts w:ascii="Arial" w:hAnsi="Arial" w:cs="Arial"/>
          <w:color w:val="000000"/>
          <w:sz w:val="20"/>
          <w:szCs w:val="20"/>
        </w:rPr>
        <w:t>Agreement remain unchanged and in full force and effec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t, except as otherwise provided </w:t>
      </w:r>
      <w:r w:rsidRPr="00D72FB9">
        <w:rPr>
          <w:rFonts w:ascii="Arial" w:hAnsi="Arial" w:cs="Arial"/>
          <w:color w:val="000000"/>
          <w:sz w:val="20"/>
          <w:szCs w:val="20"/>
        </w:rPr>
        <w:t>for herein. In the event that Licensed Software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from Licensor does not perform </w:t>
      </w:r>
      <w:r w:rsidRPr="00D72FB9">
        <w:rPr>
          <w:rFonts w:ascii="Arial" w:hAnsi="Arial" w:cs="Arial"/>
          <w:color w:val="000000"/>
          <w:sz w:val="20"/>
          <w:szCs w:val="20"/>
        </w:rPr>
        <w:t>as warranted or in the event of any other dispute or default under the Software</w:t>
      </w:r>
      <w:r w:rsidR="007867F0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>Agreement, Obligor shall be entitled to pursue agains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t the Licensor all of Obligor’s </w:t>
      </w:r>
      <w:r w:rsidRPr="00D72FB9">
        <w:rPr>
          <w:rFonts w:ascii="Arial" w:hAnsi="Arial" w:cs="Arial"/>
          <w:color w:val="000000"/>
          <w:sz w:val="20"/>
          <w:szCs w:val="20"/>
        </w:rPr>
        <w:t>rights and remedies arising under the Software Agre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ement, and nothing in this MIPA </w:t>
      </w:r>
      <w:r w:rsidRPr="00D72FB9">
        <w:rPr>
          <w:rFonts w:ascii="Arial" w:hAnsi="Arial" w:cs="Arial"/>
          <w:color w:val="000000"/>
          <w:sz w:val="20"/>
          <w:szCs w:val="20"/>
        </w:rPr>
        <w:t>or any Schedule shall diminish or waive any rights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and remedies which Obligor may </w:t>
      </w:r>
      <w:r w:rsidRPr="00D72FB9">
        <w:rPr>
          <w:rFonts w:ascii="Arial" w:hAnsi="Arial" w:cs="Arial"/>
          <w:color w:val="000000"/>
          <w:sz w:val="20"/>
          <w:szCs w:val="20"/>
        </w:rPr>
        <w:t>have against Licensor under the Software Agreem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ent. All obligations under this </w:t>
      </w:r>
      <w:r w:rsidRPr="00D72FB9">
        <w:rPr>
          <w:rFonts w:ascii="Arial" w:hAnsi="Arial" w:cs="Arial"/>
          <w:color w:val="000000"/>
          <w:sz w:val="20"/>
          <w:szCs w:val="20"/>
        </w:rPr>
        <w:t>MIPA and each Schedule shall survive any terminati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on of the licenses and Services </w:t>
      </w:r>
      <w:r w:rsidRPr="00D72FB9">
        <w:rPr>
          <w:rFonts w:ascii="Arial" w:hAnsi="Arial" w:cs="Arial"/>
          <w:color w:val="000000"/>
          <w:sz w:val="20"/>
          <w:szCs w:val="20"/>
        </w:rPr>
        <w:t>relating to the Licensed Software. The undersigned Obligor here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by acknowledges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and agrees that Payee and any Assignee may sell, grant a 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security interest in, transfer, </w:t>
      </w:r>
      <w:r w:rsidRPr="00D72FB9">
        <w:rPr>
          <w:rFonts w:ascii="Arial" w:hAnsi="Arial" w:cs="Arial"/>
          <w:color w:val="000000"/>
          <w:sz w:val="20"/>
          <w:szCs w:val="20"/>
        </w:rPr>
        <w:t>assign or otherwise transfer (collectively Transf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er”), in whole or in part, this </w:t>
      </w:r>
      <w:r w:rsidRPr="00D72FB9">
        <w:rPr>
          <w:rFonts w:ascii="Arial" w:hAnsi="Arial" w:cs="Arial"/>
          <w:color w:val="000000"/>
          <w:sz w:val="20"/>
          <w:szCs w:val="20"/>
        </w:rPr>
        <w:t>MIPA, one or more Schedules, or any of its intere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sts, rights or obligations with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respect thereto, including without limitation any 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or all Installment Payments and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other sums due or to become due under </w:t>
      </w:r>
      <w:r w:rsidR="007867F0">
        <w:rPr>
          <w:rFonts w:ascii="Arial" w:hAnsi="Arial" w:cs="Arial"/>
          <w:color w:val="000000"/>
          <w:sz w:val="20"/>
          <w:szCs w:val="20"/>
        </w:rPr>
        <w:t xml:space="preserve">the applicable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 Schedul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e, to such third party as Payee </w:t>
      </w:r>
      <w:r w:rsidRPr="00D72FB9">
        <w:rPr>
          <w:rFonts w:ascii="Arial" w:hAnsi="Arial" w:cs="Arial"/>
          <w:color w:val="000000"/>
          <w:sz w:val="20"/>
          <w:szCs w:val="20"/>
        </w:rPr>
        <w:t>or such Assignee, as applicable, in its discretion ma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y select (each Payee transferee </w:t>
      </w:r>
      <w:r w:rsidRPr="00D72FB9">
        <w:rPr>
          <w:rFonts w:ascii="Arial" w:hAnsi="Arial" w:cs="Arial"/>
          <w:color w:val="000000"/>
          <w:sz w:val="20"/>
          <w:szCs w:val="20"/>
        </w:rPr>
        <w:t>or assignee, together with any subsequent transferee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s or assignees, herein referred to as </w:t>
      </w:r>
      <w:r w:rsidRPr="00D72FB9">
        <w:rPr>
          <w:rFonts w:ascii="Arial" w:hAnsi="Arial" w:cs="Arial"/>
          <w:color w:val="000000"/>
          <w:sz w:val="20"/>
          <w:szCs w:val="20"/>
        </w:rPr>
        <w:t>“Assignee”) with notice to or consent fr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om Obligor. Each Assignee shall </w:t>
      </w:r>
      <w:r w:rsidRPr="00D72FB9">
        <w:rPr>
          <w:rFonts w:ascii="Arial" w:hAnsi="Arial" w:cs="Arial"/>
          <w:color w:val="000000"/>
          <w:sz w:val="20"/>
          <w:szCs w:val="20"/>
        </w:rPr>
        <w:t>have, to the extent provided in any Transfer document, Pay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ee’s rights, powers, privileges </w:t>
      </w:r>
      <w:r w:rsidRPr="00D72FB9">
        <w:rPr>
          <w:rFonts w:ascii="Arial" w:hAnsi="Arial" w:cs="Arial"/>
          <w:color w:val="000000"/>
          <w:sz w:val="20"/>
          <w:szCs w:val="20"/>
        </w:rPr>
        <w:t>and remedies with respect thereto, but shall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not be obligated to Obligor to </w:t>
      </w:r>
      <w:r w:rsidRPr="00D72FB9">
        <w:rPr>
          <w:rFonts w:ascii="Arial" w:hAnsi="Arial" w:cs="Arial"/>
          <w:color w:val="000000"/>
          <w:sz w:val="20"/>
          <w:szCs w:val="20"/>
        </w:rPr>
        <w:t>observe or perform any duty, covenant or condition requi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red to be observed or performed </w:t>
      </w:r>
      <w:r w:rsidRPr="00D72FB9">
        <w:rPr>
          <w:rFonts w:ascii="Arial" w:hAnsi="Arial" w:cs="Arial"/>
          <w:color w:val="000000"/>
          <w:sz w:val="20"/>
          <w:szCs w:val="20"/>
        </w:rPr>
        <w:t>by Payee or Licensor. No Transfer shall relieve Pa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yee from any of its obligations </w:t>
      </w:r>
      <w:r w:rsidRPr="00D72FB9">
        <w:rPr>
          <w:rFonts w:ascii="Arial" w:hAnsi="Arial" w:cs="Arial"/>
          <w:color w:val="000000"/>
          <w:sz w:val="20"/>
          <w:szCs w:val="20"/>
        </w:rPr>
        <w:t>to Obligor. OBLIGOR SHALL NOT ASSE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RT AGAINST ASSIGNEE ANY CLAIMS, </w:t>
      </w:r>
      <w:r w:rsidRPr="00D72FB9">
        <w:rPr>
          <w:rFonts w:ascii="Arial" w:hAnsi="Arial" w:cs="Arial"/>
          <w:color w:val="000000"/>
          <w:sz w:val="20"/>
          <w:szCs w:val="20"/>
        </w:rPr>
        <w:t>DEFENSE, COUNTERCLAIM OR SETOFF TH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AT OBLIGOR MAY AT ANY TIME HAVE </w:t>
      </w:r>
      <w:r w:rsidRPr="00D72FB9">
        <w:rPr>
          <w:rFonts w:ascii="Arial" w:hAnsi="Arial" w:cs="Arial"/>
          <w:color w:val="000000"/>
          <w:sz w:val="20"/>
          <w:szCs w:val="20"/>
        </w:rPr>
        <w:t>AGAINST PAYEE OR LICENSOR. OBLIGOR WAIVES ALL RIGHTS TO MAKE A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NY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CLAIM AGAINST ASSIGNEE FOR ANY LOSS OR 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DAMAGE TO THE LICENSED SOFTWARE </w:t>
      </w:r>
      <w:r w:rsidRPr="00D72FB9">
        <w:rPr>
          <w:rFonts w:ascii="Arial" w:hAnsi="Arial" w:cs="Arial"/>
          <w:color w:val="000000"/>
          <w:sz w:val="20"/>
          <w:szCs w:val="20"/>
        </w:rPr>
        <w:t>OR BREACH OF ANY WARRANTY, EXPRE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SS OR IMPLIED, AS TO ANY MATTER </w:t>
      </w:r>
      <w:r w:rsidRPr="00D72FB9">
        <w:rPr>
          <w:rFonts w:ascii="Arial" w:hAnsi="Arial" w:cs="Arial"/>
          <w:color w:val="000000"/>
          <w:sz w:val="20"/>
          <w:szCs w:val="20"/>
        </w:rPr>
        <w:t>WHATSOEVER, INCLUDING BUT NOT L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IMITED TO THE LICENSED SOFTWARE AND SERVICE </w:t>
      </w:r>
      <w:r w:rsidRPr="00D72FB9">
        <w:rPr>
          <w:rFonts w:ascii="Arial" w:hAnsi="Arial" w:cs="Arial"/>
          <w:color w:val="000000"/>
          <w:sz w:val="20"/>
          <w:szCs w:val="20"/>
        </w:rPr>
        <w:t>PERFORMANCE, FUNCTIONALITY, FEATURES, MERCH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ANTABILITY </w:t>
      </w:r>
      <w:r w:rsidRPr="00D72FB9">
        <w:rPr>
          <w:rFonts w:ascii="Arial" w:hAnsi="Arial" w:cs="Arial"/>
          <w:color w:val="000000"/>
          <w:sz w:val="20"/>
          <w:szCs w:val="20"/>
        </w:rPr>
        <w:t>OR FITNESS FOR A PARTICULAR PURPOSE,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OR ANY INDIRECT, INCIDENTAL OR </w:t>
      </w:r>
      <w:r w:rsidRPr="00D72FB9">
        <w:rPr>
          <w:rFonts w:ascii="Arial" w:hAnsi="Arial" w:cs="Arial"/>
          <w:color w:val="000000"/>
          <w:sz w:val="20"/>
          <w:szCs w:val="20"/>
        </w:rPr>
        <w:t>CONSEQUENTIAL DAMAGES OR LOSS OF BUSINE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SS. Obligor shall pay Payee, or </w:t>
      </w:r>
      <w:r w:rsidRPr="00D72FB9">
        <w:rPr>
          <w:rFonts w:ascii="Arial" w:hAnsi="Arial" w:cs="Arial"/>
          <w:color w:val="000000"/>
          <w:sz w:val="20"/>
          <w:szCs w:val="20"/>
        </w:rPr>
        <w:t>Assignee, as applicable, all amounts due and p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ayable under this MIPA and </w:t>
      </w:r>
      <w:r w:rsidR="007867F0">
        <w:rPr>
          <w:rFonts w:ascii="Arial" w:hAnsi="Arial" w:cs="Arial"/>
          <w:color w:val="000000"/>
          <w:sz w:val="20"/>
          <w:szCs w:val="20"/>
        </w:rPr>
        <w:t xml:space="preserve">applicable </w:t>
      </w:r>
      <w:r w:rsidRPr="00D72FB9">
        <w:rPr>
          <w:rFonts w:ascii="Arial" w:hAnsi="Arial" w:cs="Arial"/>
          <w:color w:val="000000"/>
          <w:sz w:val="20"/>
          <w:szCs w:val="20"/>
        </w:rPr>
        <w:t>Schedule,  but shall pursue any clai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ms under any Software Agreement </w:t>
      </w:r>
      <w:r w:rsidRPr="00D72FB9">
        <w:rPr>
          <w:rFonts w:ascii="Arial" w:hAnsi="Arial" w:cs="Arial"/>
          <w:color w:val="000000"/>
          <w:sz w:val="20"/>
          <w:szCs w:val="20"/>
        </w:rPr>
        <w:t>against only Licensor. Obligor agrees that, upon r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eceipt of notice from Payee, or </w:t>
      </w:r>
      <w:r w:rsidRPr="00D72FB9">
        <w:rPr>
          <w:rFonts w:ascii="Arial" w:hAnsi="Arial" w:cs="Arial"/>
          <w:color w:val="000000"/>
          <w:sz w:val="20"/>
          <w:szCs w:val="20"/>
        </w:rPr>
        <w:t>Assignee, as applicable, (i) it shall be bound by such T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ransfer, (ii) Payments shall be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made to Assignee, (iii) Obligor shall promptly 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comply with, and (if requested) </w:t>
      </w:r>
      <w:r w:rsidRPr="00D72FB9">
        <w:rPr>
          <w:rFonts w:ascii="Arial" w:hAnsi="Arial" w:cs="Arial"/>
          <w:color w:val="000000"/>
          <w:sz w:val="20"/>
          <w:szCs w:val="20"/>
        </w:rPr>
        <w:t>acknowledge in writing, such instructions, (iv) Assigne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e shall have and be entitled to </w:t>
      </w:r>
      <w:r w:rsidRPr="00D72FB9">
        <w:rPr>
          <w:rFonts w:ascii="Arial" w:hAnsi="Arial" w:cs="Arial"/>
          <w:color w:val="000000"/>
          <w:sz w:val="20"/>
          <w:szCs w:val="20"/>
        </w:rPr>
        <w:t>exercise any and all rights and remedies of Payee he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reunder, and (v) all references </w:t>
      </w:r>
      <w:r w:rsidRPr="00D72FB9">
        <w:rPr>
          <w:rFonts w:ascii="Arial" w:hAnsi="Arial" w:cs="Arial"/>
          <w:color w:val="000000"/>
          <w:sz w:val="20"/>
          <w:szCs w:val="20"/>
        </w:rPr>
        <w:t>herein to Payee shall include Assignee; provided, howe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ver, Assignee, unless otherwise </w:t>
      </w:r>
      <w:r w:rsidRPr="00D72FB9">
        <w:rPr>
          <w:rFonts w:ascii="Arial" w:hAnsi="Arial" w:cs="Arial"/>
          <w:color w:val="000000"/>
          <w:sz w:val="20"/>
          <w:szCs w:val="20"/>
        </w:rPr>
        <w:t>provided for in a notice from Payee, ma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y not exercise any Right and/or </w:t>
      </w:r>
      <w:r w:rsidRPr="00D72FB9">
        <w:rPr>
          <w:rFonts w:ascii="Arial" w:hAnsi="Arial" w:cs="Arial"/>
          <w:color w:val="000000"/>
          <w:sz w:val="20"/>
          <w:szCs w:val="20"/>
        </w:rPr>
        <w:t>Remedies set forth in Section 5 hereof and incorporated in a Schedule, as to any</w:t>
      </w:r>
      <w:r w:rsidR="007867F0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Schedule that has not been </w:t>
      </w:r>
      <w:r w:rsidR="00BE56C2" w:rsidRPr="00D72FB9">
        <w:rPr>
          <w:rFonts w:ascii="Arial" w:hAnsi="Arial" w:cs="Arial"/>
          <w:color w:val="000000"/>
          <w:sz w:val="20"/>
          <w:szCs w:val="20"/>
        </w:rPr>
        <w:t>transferred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 to Assignee.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Unless an Event of Default has </w:t>
      </w:r>
      <w:r w:rsidRPr="00D72FB9">
        <w:rPr>
          <w:rFonts w:ascii="Arial" w:hAnsi="Arial" w:cs="Arial"/>
          <w:color w:val="000000"/>
          <w:sz w:val="20"/>
          <w:szCs w:val="20"/>
        </w:rPr>
        <w:t>occurred and is continuing, neither Payee nor it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s Assignees will interfere with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Obligor’s quiet enjoyment or use of the Licensed 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Software in accordance with the </w:t>
      </w:r>
      <w:r w:rsidRPr="00D72FB9">
        <w:rPr>
          <w:rFonts w:ascii="Arial" w:hAnsi="Arial" w:cs="Arial"/>
          <w:color w:val="000000"/>
          <w:sz w:val="20"/>
          <w:szCs w:val="20"/>
        </w:rPr>
        <w:t>Software Agreement’s terms and conditions. Obligor sha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ll not sublicense or otherwise, </w:t>
      </w:r>
      <w:r w:rsidRPr="00D72FB9">
        <w:rPr>
          <w:rFonts w:ascii="Arial" w:hAnsi="Arial" w:cs="Arial"/>
          <w:color w:val="000000"/>
          <w:sz w:val="20"/>
          <w:szCs w:val="20"/>
        </w:rPr>
        <w:t>relinquish possession or control of, or assign, p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ledge, hypothecate or otherwise </w:t>
      </w:r>
      <w:r w:rsidRPr="00D72FB9">
        <w:rPr>
          <w:rFonts w:ascii="Arial" w:hAnsi="Arial" w:cs="Arial"/>
          <w:color w:val="000000"/>
          <w:sz w:val="20"/>
          <w:szCs w:val="20"/>
        </w:rPr>
        <w:t>transfer, dispose of or encumber, any Licens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ed Software, any Services, this </w:t>
      </w:r>
      <w:r w:rsidRPr="00D72FB9">
        <w:rPr>
          <w:rFonts w:ascii="Arial" w:hAnsi="Arial" w:cs="Arial"/>
          <w:color w:val="000000"/>
          <w:sz w:val="20"/>
          <w:szCs w:val="20"/>
        </w:rPr>
        <w:t>MIPA or any Schedule or any part thereof or interest therein, or an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y right or obligation </w:t>
      </w:r>
      <w:r w:rsidRPr="00D72FB9">
        <w:rPr>
          <w:rFonts w:ascii="Arial" w:hAnsi="Arial" w:cs="Arial"/>
          <w:color w:val="000000"/>
          <w:sz w:val="20"/>
          <w:szCs w:val="20"/>
        </w:rPr>
        <w:t>with respect thereto or cause or suffer to exist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any lien, claim or encumbrance </w:t>
      </w:r>
      <w:r w:rsidRPr="00D72FB9">
        <w:rPr>
          <w:rFonts w:ascii="Arial" w:hAnsi="Arial" w:cs="Arial"/>
          <w:color w:val="000000"/>
          <w:sz w:val="20"/>
          <w:szCs w:val="20"/>
        </w:rPr>
        <w:t>upon this MIPA or any Schedule or License S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oftware. PAYEE AND ASSIGNEE, IF </w:t>
      </w:r>
      <w:r w:rsidRPr="00D72FB9">
        <w:rPr>
          <w:rFonts w:ascii="Arial" w:hAnsi="Arial" w:cs="Arial"/>
          <w:color w:val="000000"/>
          <w:sz w:val="20"/>
          <w:szCs w:val="20"/>
        </w:rPr>
        <w:t>ANY, MAKE NO WARRANTIES EXPRESS, OR I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MPLIED OR STATUTORY, CONCERNING </w:t>
      </w:r>
      <w:r w:rsidRPr="00D72FB9">
        <w:rPr>
          <w:rFonts w:ascii="Arial" w:hAnsi="Arial" w:cs="Arial"/>
          <w:color w:val="000000"/>
          <w:sz w:val="20"/>
          <w:szCs w:val="20"/>
        </w:rPr>
        <w:t>THE LICENSED SOFTWARE OR S</w:t>
      </w:r>
      <w:r w:rsidR="00AC1F04">
        <w:rPr>
          <w:rFonts w:ascii="Arial" w:hAnsi="Arial" w:cs="Arial"/>
          <w:color w:val="000000"/>
          <w:sz w:val="20"/>
          <w:szCs w:val="20"/>
        </w:rPr>
        <w:t>ERVICES COVERED BY THE SOFTWARE</w:t>
      </w:r>
      <w:r w:rsidR="007867F0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>AGREEMENT, INCLUDING, WITHOUT LIMI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TATION, ANY WARRANTY OF FITNESS </w:t>
      </w:r>
      <w:r w:rsidRPr="00D72FB9">
        <w:rPr>
          <w:rFonts w:ascii="Arial" w:hAnsi="Arial" w:cs="Arial"/>
          <w:color w:val="000000"/>
          <w:sz w:val="20"/>
          <w:szCs w:val="20"/>
        </w:rPr>
        <w:t>FOR A PARTICULAR PURPOSE OR OF MERC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HANTABILITY OR OF THE DESIGN OR </w:t>
      </w:r>
      <w:r w:rsidRPr="00D72FB9">
        <w:rPr>
          <w:rFonts w:ascii="Arial" w:hAnsi="Arial" w:cs="Arial"/>
          <w:color w:val="000000"/>
          <w:sz w:val="20"/>
          <w:szCs w:val="20"/>
        </w:rPr>
        <w:t>CONDITION OF THE LICENSED SOFTWARE, ITS DURABILITY, OR NON-INFRINGEMENT,</w:t>
      </w:r>
      <w:r w:rsidR="007867F0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>THE QUALITY OF THE SERVICES OR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THE MATERIAL OR WORKMANSHIP OF </w:t>
      </w:r>
      <w:r w:rsidRPr="00D72FB9">
        <w:rPr>
          <w:rFonts w:ascii="Arial" w:hAnsi="Arial" w:cs="Arial"/>
          <w:color w:val="000000"/>
          <w:sz w:val="20"/>
          <w:szCs w:val="20"/>
        </w:rPr>
        <w:t>THE LICENSED SOFTWARE, OR THE CONF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ORMITY OF THE LICENSED SOFTWARE </w:t>
      </w:r>
      <w:r w:rsidRPr="00D72FB9">
        <w:rPr>
          <w:rFonts w:ascii="Arial" w:hAnsi="Arial" w:cs="Arial"/>
          <w:color w:val="000000"/>
          <w:sz w:val="20"/>
          <w:szCs w:val="20"/>
        </w:rPr>
        <w:t>OR SERVICES TO THE PROVISIONS OR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SPECIFICATIONS OF ANY PURCHASE </w:t>
      </w:r>
      <w:r w:rsidRPr="00D72FB9">
        <w:rPr>
          <w:rFonts w:ascii="Arial" w:hAnsi="Arial" w:cs="Arial"/>
          <w:color w:val="000000"/>
          <w:sz w:val="20"/>
          <w:szCs w:val="20"/>
        </w:rPr>
        <w:t>ORDER RELATING THERETO, AND PAYEE HEREBY SPECIFICALLY DISCLAIMS ANY</w:t>
      </w:r>
      <w:r w:rsidR="007867F0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>AND ALL SUCH REPRESENTATIONS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AND WARRANTIES. OBLIGOR HEREBY </w:t>
      </w:r>
      <w:r w:rsidRPr="00D72FB9">
        <w:rPr>
          <w:rFonts w:ascii="Arial" w:hAnsi="Arial" w:cs="Arial"/>
          <w:color w:val="000000"/>
          <w:sz w:val="20"/>
          <w:szCs w:val="20"/>
        </w:rPr>
        <w:t>WAIVES ANY CLAIM (INCLUDING ANY CL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AIM BASED ON STRICT OR ABSOLUTE </w:t>
      </w:r>
      <w:r w:rsidRPr="00D72FB9">
        <w:rPr>
          <w:rFonts w:ascii="Arial" w:hAnsi="Arial" w:cs="Arial"/>
          <w:color w:val="000000"/>
          <w:sz w:val="20"/>
          <w:szCs w:val="20"/>
        </w:rPr>
        <w:t>LIABILITY IN TORT) THAT IT MAY HAVE AGA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INST PAYEE OR ASSIGNEE, IF ANY, </w:t>
      </w:r>
      <w:r w:rsidRPr="00D72FB9">
        <w:rPr>
          <w:rFonts w:ascii="Arial" w:hAnsi="Arial" w:cs="Arial"/>
          <w:color w:val="000000"/>
          <w:sz w:val="20"/>
          <w:szCs w:val="20"/>
        </w:rPr>
        <w:t>FOR ANY LOSS, DAMAGE (INCLUDING, WITHOUT LIMITATION, LOSS OF PROFITS,</w:t>
      </w:r>
      <w:r w:rsidR="007867F0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>LOSS OF DATA OR SPECIAL, INCIDEN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TAL OR CONSEQUENTIAL DAMAGE) OR </w:t>
      </w:r>
      <w:r w:rsidRPr="00D72FB9">
        <w:rPr>
          <w:rFonts w:ascii="Arial" w:hAnsi="Arial" w:cs="Arial"/>
          <w:color w:val="000000"/>
          <w:sz w:val="20"/>
          <w:szCs w:val="20"/>
        </w:rPr>
        <w:t>EXPENSE CAUSED BY THE LICENSED SOFT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WARE OR ANY SERVICES COVERED BY </w:t>
      </w:r>
      <w:r w:rsidRPr="00D72FB9">
        <w:rPr>
          <w:rFonts w:ascii="Arial" w:hAnsi="Arial" w:cs="Arial"/>
          <w:color w:val="000000"/>
          <w:sz w:val="20"/>
          <w:szCs w:val="20"/>
        </w:rPr>
        <w:t>THE SOFTWARE AGREEMENT, EVEN IF PAY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EE OR ASSIGNEE HAS BEEN ADVISED </w:t>
      </w:r>
      <w:r w:rsidRPr="00D72FB9">
        <w:rPr>
          <w:rFonts w:ascii="Arial" w:hAnsi="Arial" w:cs="Arial"/>
          <w:color w:val="000000"/>
          <w:sz w:val="20"/>
          <w:szCs w:val="20"/>
        </w:rPr>
        <w:t>OF THE POSSIBILITY OF SUCH DAMAGE, LOSS, EXPENSE OR COST. OBLIGOR</w:t>
      </w:r>
      <w:r w:rsidR="007867F0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>ACKNOWLEDGES THAT PAYEE AND/OR ASSIGNEE D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ID NOT (i) SELECT, MANUFACTURE, </w:t>
      </w:r>
      <w:r w:rsidRPr="00D72FB9">
        <w:rPr>
          <w:rFonts w:ascii="Arial" w:hAnsi="Arial" w:cs="Arial"/>
          <w:color w:val="000000"/>
          <w:sz w:val="20"/>
          <w:szCs w:val="20"/>
        </w:rPr>
        <w:t>DISTRIBUTE OR LICENSE THE L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ICENSED SOFTWARE COVERED BY THE </w:t>
      </w:r>
      <w:r w:rsidRPr="00D72FB9">
        <w:rPr>
          <w:rFonts w:ascii="Arial" w:hAnsi="Arial" w:cs="Arial"/>
          <w:color w:val="000000"/>
          <w:sz w:val="20"/>
          <w:szCs w:val="20"/>
        </w:rPr>
        <w:t xml:space="preserve">SOFTWARE AGREEMENT, NOR (ii) SELECT 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NOR PROVIDE OR AGREE TO PROVIDE </w:t>
      </w:r>
      <w:r w:rsidRPr="00D72FB9">
        <w:rPr>
          <w:rFonts w:ascii="Arial" w:hAnsi="Arial" w:cs="Arial"/>
          <w:color w:val="000000"/>
          <w:sz w:val="20"/>
          <w:szCs w:val="20"/>
        </w:rPr>
        <w:t>THE SERVICES THEREUNDER AND THE OBLIGOR HAS MADE THE SELECTION OF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>SUCH SOFTWARE AND SERVICES BASED UPON ITS OWN JUDGMENT AND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D72FB9">
        <w:rPr>
          <w:rFonts w:ascii="Arial" w:hAnsi="Arial" w:cs="Arial"/>
          <w:color w:val="000000"/>
          <w:sz w:val="20"/>
          <w:szCs w:val="20"/>
        </w:rPr>
        <w:t>EXPRESSLY DISCLAIMS ANY RELIANCE ON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STATEMENTS MADE BY ASSIGNEE OR </w:t>
      </w:r>
      <w:r w:rsidRPr="00D72FB9">
        <w:rPr>
          <w:rFonts w:ascii="Arial" w:hAnsi="Arial" w:cs="Arial"/>
          <w:color w:val="000000"/>
          <w:sz w:val="20"/>
          <w:szCs w:val="20"/>
        </w:rPr>
        <w:t>ITS AGENTS. The parties hereto agree that, on demand of the othe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r party, each shall </w:t>
      </w:r>
      <w:r w:rsidRPr="00D72FB9">
        <w:rPr>
          <w:rFonts w:ascii="Arial" w:hAnsi="Arial" w:cs="Arial"/>
          <w:color w:val="000000"/>
          <w:sz w:val="20"/>
          <w:szCs w:val="20"/>
        </w:rPr>
        <w:t>execute and deliver any instrument, furnish any infor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mation or perform any other act </w:t>
      </w:r>
      <w:r w:rsidRPr="00D72FB9">
        <w:rPr>
          <w:rFonts w:ascii="Arial" w:hAnsi="Arial" w:cs="Arial"/>
          <w:color w:val="000000"/>
          <w:sz w:val="20"/>
          <w:szCs w:val="20"/>
        </w:rPr>
        <w:t>reasonably necessary or convenient to carry out the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 provisions of this MIPA and/or </w:t>
      </w:r>
      <w:r w:rsidRPr="00D72FB9">
        <w:rPr>
          <w:rFonts w:ascii="Arial" w:hAnsi="Arial" w:cs="Arial"/>
          <w:color w:val="000000"/>
          <w:sz w:val="20"/>
          <w:szCs w:val="20"/>
        </w:rPr>
        <w:t>any Schedule.</w:t>
      </w:r>
    </w:p>
    <w:p w14:paraId="1287D1BA" w14:textId="77777777" w:rsidR="00F0165A" w:rsidRPr="00D72FB9" w:rsidRDefault="00F0165A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1C28E19E" w14:textId="77777777" w:rsidR="00D72FB9" w:rsidRPr="00D72FB9" w:rsidRDefault="00D72FB9" w:rsidP="00D72F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72FB9">
        <w:rPr>
          <w:rFonts w:ascii="Arial" w:hAnsi="Arial" w:cs="Arial"/>
          <w:b/>
          <w:bCs/>
          <w:color w:val="000000"/>
          <w:sz w:val="20"/>
          <w:szCs w:val="20"/>
        </w:rPr>
        <w:t xml:space="preserve">9. FACSIMILE DOCUMENTATION. </w:t>
      </w:r>
      <w:r w:rsidRPr="00D72FB9">
        <w:rPr>
          <w:rFonts w:ascii="Arial" w:hAnsi="Arial" w:cs="Arial"/>
          <w:color w:val="000000"/>
          <w:sz w:val="20"/>
          <w:szCs w:val="20"/>
        </w:rPr>
        <w:t>It is agreed that a facsim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ile copy of the MIPA </w:t>
      </w:r>
      <w:r w:rsidRPr="00D72FB9">
        <w:rPr>
          <w:rFonts w:ascii="Arial" w:hAnsi="Arial" w:cs="Arial"/>
          <w:color w:val="000000"/>
          <w:sz w:val="20"/>
          <w:szCs w:val="20"/>
        </w:rPr>
        <w:t>and Schedule(s) with facsimile signatures may be tre</w:t>
      </w:r>
      <w:r w:rsidR="00AC1F04">
        <w:rPr>
          <w:rFonts w:ascii="Arial" w:hAnsi="Arial" w:cs="Arial"/>
          <w:color w:val="000000"/>
          <w:sz w:val="20"/>
          <w:szCs w:val="20"/>
        </w:rPr>
        <w:t xml:space="preserve">ated as original(s) and will be </w:t>
      </w:r>
      <w:r w:rsidRPr="00D72FB9">
        <w:rPr>
          <w:rFonts w:ascii="Arial" w:hAnsi="Arial" w:cs="Arial"/>
          <w:color w:val="000000"/>
          <w:sz w:val="20"/>
          <w:szCs w:val="20"/>
        </w:rPr>
        <w:t>admissible as evidence.</w:t>
      </w:r>
    </w:p>
    <w:p w14:paraId="1C28E19F" w14:textId="77777777" w:rsidR="004539B1" w:rsidRDefault="004539B1" w:rsidP="00D72FB9">
      <w:pPr>
        <w:rPr>
          <w:rFonts w:ascii="Arial" w:hAnsi="Arial" w:cs="Arial"/>
          <w:sz w:val="20"/>
          <w:szCs w:val="20"/>
        </w:rPr>
      </w:pPr>
    </w:p>
    <w:tbl>
      <w:tblPr>
        <w:tblW w:w="11548" w:type="dxa"/>
        <w:jc w:val="center"/>
        <w:tblLayout w:type="fixed"/>
        <w:tblLook w:val="0000" w:firstRow="0" w:lastRow="0" w:firstColumn="0" w:lastColumn="0" w:noHBand="0" w:noVBand="0"/>
      </w:tblPr>
      <w:tblGrid>
        <w:gridCol w:w="504"/>
        <w:gridCol w:w="3726"/>
        <w:gridCol w:w="3780"/>
        <w:gridCol w:w="2517"/>
        <w:gridCol w:w="1021"/>
      </w:tblGrid>
      <w:tr w:rsidR="00B26AED" w:rsidRPr="00671A66" w14:paraId="11614F7C" w14:textId="77777777" w:rsidTr="00F0165A">
        <w:trPr>
          <w:trHeight w:hRule="exact" w:val="522"/>
          <w:jc w:val="center"/>
        </w:trPr>
        <w:tc>
          <w:tcPr>
            <w:tcW w:w="11548" w:type="dxa"/>
            <w:gridSpan w:val="5"/>
            <w:tcBorders>
              <w:top w:val="single" w:sz="4" w:space="0" w:color="095AA6"/>
              <w:left w:val="single" w:sz="4" w:space="0" w:color="095AA6"/>
              <w:bottom w:val="single" w:sz="4" w:space="0" w:color="095AA6"/>
              <w:right w:val="single" w:sz="4" w:space="0" w:color="095AA6"/>
            </w:tcBorders>
            <w:shd w:val="clear" w:color="auto" w:fill="095AA6"/>
          </w:tcPr>
          <w:p w14:paraId="34F2A7D9" w14:textId="31AB7902" w:rsidR="00B26AED" w:rsidRPr="00671A66" w:rsidRDefault="00FB7453" w:rsidP="00C94066">
            <w:pPr>
              <w:pStyle w:val="Heading1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PAYEE</w:t>
            </w:r>
            <w:r w:rsidR="00B26AED" w:rsidRPr="00671A66">
              <w:rPr>
                <w:rFonts w:ascii="Arial" w:hAnsi="Arial"/>
                <w:color w:val="FFFFFF"/>
                <w:sz w:val="16"/>
                <w:szCs w:val="16"/>
              </w:rPr>
              <w:t xml:space="preserve"> ACCEPTANCE</w:t>
            </w:r>
          </w:p>
          <w:p w14:paraId="5C1E052D" w14:textId="77777777" w:rsidR="00B26AED" w:rsidRPr="000C4F0F" w:rsidRDefault="00B26AED" w:rsidP="00C94066">
            <w:pPr>
              <w:rPr>
                <w:rFonts w:ascii="Arial" w:hAnsi="Arial"/>
                <w:b/>
                <w:i/>
                <w:color w:val="FFFFFF"/>
                <w:sz w:val="16"/>
                <w:szCs w:val="16"/>
              </w:rPr>
            </w:pPr>
          </w:p>
          <w:p w14:paraId="06B964EB" w14:textId="77777777" w:rsidR="00B26AED" w:rsidRPr="000C4F0F" w:rsidRDefault="00B26AED" w:rsidP="00C94066">
            <w:pPr>
              <w:rPr>
                <w:rFonts w:ascii="Arial" w:hAnsi="Arial"/>
                <w:b/>
                <w:i/>
                <w:color w:val="FFFFFF"/>
                <w:sz w:val="16"/>
                <w:szCs w:val="16"/>
              </w:rPr>
            </w:pPr>
          </w:p>
        </w:tc>
      </w:tr>
      <w:tr w:rsidR="00B26AED" w:rsidRPr="00671A66" w14:paraId="0004456F" w14:textId="77777777" w:rsidTr="00F0165A">
        <w:trPr>
          <w:cantSplit/>
          <w:trHeight w:hRule="exact" w:val="1020"/>
          <w:jc w:val="center"/>
        </w:trPr>
        <w:tc>
          <w:tcPr>
            <w:tcW w:w="504" w:type="dxa"/>
          </w:tcPr>
          <w:p w14:paraId="5D32FFCB" w14:textId="77777777" w:rsidR="00B26AED" w:rsidRPr="000C4F0F" w:rsidRDefault="00B26AED" w:rsidP="00C94066">
            <w:pPr>
              <w:pStyle w:val="BlockText"/>
              <w:ind w:left="0" w:right="-108"/>
              <w:rPr>
                <w:szCs w:val="16"/>
              </w:rPr>
            </w:pPr>
          </w:p>
          <w:p w14:paraId="088BEDFC" w14:textId="77777777" w:rsidR="00B26AED" w:rsidRPr="000C4F0F" w:rsidRDefault="00B26AED" w:rsidP="00C94066">
            <w:pPr>
              <w:pStyle w:val="BlockText"/>
              <w:ind w:left="0" w:right="-108"/>
              <w:rPr>
                <w:szCs w:val="16"/>
              </w:rPr>
            </w:pPr>
          </w:p>
        </w:tc>
        <w:tc>
          <w:tcPr>
            <w:tcW w:w="3726" w:type="dxa"/>
          </w:tcPr>
          <w:p w14:paraId="7B358AD9" w14:textId="77777777" w:rsidR="00B26AED" w:rsidRPr="000C4F0F" w:rsidRDefault="00B26AED" w:rsidP="00C94066">
            <w:pPr>
              <w:pStyle w:val="BlockText"/>
              <w:ind w:left="0" w:right="-78"/>
              <w:jc w:val="left"/>
              <w:rPr>
                <w:b/>
                <w:szCs w:val="16"/>
              </w:rPr>
            </w:pPr>
          </w:p>
          <w:p w14:paraId="501CB0C6" w14:textId="77777777" w:rsidR="00B26AED" w:rsidRPr="000C4F0F" w:rsidRDefault="00B26AED" w:rsidP="00C94066">
            <w:pPr>
              <w:pStyle w:val="BlockText"/>
              <w:ind w:left="0"/>
              <w:jc w:val="left"/>
              <w:rPr>
                <w:b/>
                <w:szCs w:val="16"/>
              </w:rPr>
            </w:pPr>
          </w:p>
          <w:p w14:paraId="77B68533" w14:textId="77777777" w:rsidR="00B26AED" w:rsidRPr="00671A66" w:rsidRDefault="00B26AED" w:rsidP="00C94066">
            <w:pPr>
              <w:pStyle w:val="BlockText"/>
              <w:ind w:left="0" w:right="-78"/>
              <w:jc w:val="left"/>
              <w:rPr>
                <w:b/>
                <w:szCs w:val="16"/>
              </w:rPr>
            </w:pPr>
          </w:p>
          <w:p w14:paraId="3020FD99" w14:textId="77777777" w:rsidR="00B26AED" w:rsidRPr="00671A66" w:rsidRDefault="00B26AED" w:rsidP="00C94066">
            <w:pPr>
              <w:pStyle w:val="BlockText"/>
              <w:ind w:left="0" w:right="-78"/>
              <w:jc w:val="left"/>
              <w:rPr>
                <w:b/>
                <w:szCs w:val="16"/>
              </w:rPr>
            </w:pPr>
            <w:r w:rsidRPr="00671A66">
              <w:rPr>
                <w:b/>
                <w:szCs w:val="16"/>
              </w:rPr>
              <w:t>Konica Minolta Premier Finance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AB06" w14:textId="77777777" w:rsidR="00B26AED" w:rsidRPr="000C4F0F" w:rsidRDefault="00B26AED" w:rsidP="00C94066">
            <w:pPr>
              <w:pStyle w:val="BlockText"/>
              <w:ind w:left="0"/>
              <w:rPr>
                <w:szCs w:val="16"/>
              </w:rPr>
            </w:pPr>
          </w:p>
        </w:tc>
        <w:tc>
          <w:tcPr>
            <w:tcW w:w="2517" w:type="dxa"/>
            <w:tcBorders>
              <w:left w:val="nil"/>
            </w:tcBorders>
          </w:tcPr>
          <w:p w14:paraId="2D86FA38" w14:textId="77777777" w:rsidR="00B26AED" w:rsidRPr="000C4F0F" w:rsidRDefault="00B26AED" w:rsidP="00C94066">
            <w:pPr>
              <w:pStyle w:val="BlockText"/>
              <w:ind w:left="0" w:right="-108"/>
              <w:rPr>
                <w:szCs w:val="16"/>
              </w:rPr>
            </w:pPr>
          </w:p>
          <w:p w14:paraId="2E3A058B" w14:textId="77777777" w:rsidR="00B26AED" w:rsidRPr="000C4F0F" w:rsidRDefault="00B26AED" w:rsidP="00C94066">
            <w:pPr>
              <w:pStyle w:val="BlockText"/>
              <w:ind w:left="0" w:right="-108"/>
              <w:rPr>
                <w:szCs w:val="16"/>
              </w:rPr>
            </w:pPr>
          </w:p>
          <w:p w14:paraId="02F37F1D" w14:textId="77777777" w:rsidR="00B26AED" w:rsidRPr="000C4F0F" w:rsidRDefault="00B26AED" w:rsidP="00C94066">
            <w:pPr>
              <w:pStyle w:val="BlockText"/>
              <w:ind w:left="0" w:right="-108"/>
              <w:rPr>
                <w:szCs w:val="16"/>
              </w:rPr>
            </w:pPr>
          </w:p>
          <w:p w14:paraId="5260384D" w14:textId="77777777" w:rsidR="00B26AED" w:rsidRPr="000C4F0F" w:rsidRDefault="00B26AED" w:rsidP="00C94066">
            <w:pPr>
              <w:pStyle w:val="BlockText"/>
              <w:ind w:left="0" w:right="-108"/>
              <w:rPr>
                <w:szCs w:val="16"/>
              </w:rPr>
            </w:pPr>
            <w:r w:rsidRPr="000C4F0F">
              <w:rPr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0C4F0F">
              <w:rPr>
                <w:szCs w:val="16"/>
              </w:rPr>
              <w:instrText xml:space="preserve"> FORMTEXT </w:instrText>
            </w:r>
            <w:r w:rsidRPr="000C4F0F">
              <w:rPr>
                <w:szCs w:val="16"/>
              </w:rPr>
            </w:r>
            <w:r w:rsidRPr="000C4F0F">
              <w:rPr>
                <w:szCs w:val="16"/>
              </w:rPr>
              <w:fldChar w:fldCharType="separate"/>
            </w:r>
            <w:r w:rsidRPr="000C4F0F">
              <w:rPr>
                <w:noProof/>
                <w:szCs w:val="16"/>
              </w:rPr>
              <w:t> </w:t>
            </w:r>
            <w:r w:rsidRPr="000C4F0F">
              <w:rPr>
                <w:noProof/>
                <w:szCs w:val="16"/>
              </w:rPr>
              <w:t> </w:t>
            </w:r>
            <w:r w:rsidRPr="000C4F0F">
              <w:rPr>
                <w:noProof/>
                <w:szCs w:val="16"/>
              </w:rPr>
              <w:t> </w:t>
            </w:r>
            <w:r w:rsidRPr="000C4F0F">
              <w:rPr>
                <w:noProof/>
                <w:szCs w:val="16"/>
              </w:rPr>
              <w:t> </w:t>
            </w:r>
            <w:r w:rsidRPr="000C4F0F">
              <w:rPr>
                <w:noProof/>
                <w:szCs w:val="16"/>
              </w:rPr>
              <w:t> </w:t>
            </w:r>
            <w:r w:rsidRPr="000C4F0F">
              <w:rPr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left w:val="nil"/>
            </w:tcBorders>
          </w:tcPr>
          <w:p w14:paraId="505CC7BA" w14:textId="77777777" w:rsidR="00B26AED" w:rsidRPr="000C4F0F" w:rsidRDefault="00B26AED" w:rsidP="00C94066">
            <w:pPr>
              <w:pStyle w:val="BlockText"/>
              <w:ind w:left="0" w:right="-108"/>
              <w:rPr>
                <w:szCs w:val="16"/>
              </w:rPr>
            </w:pPr>
          </w:p>
          <w:p w14:paraId="12670EAD" w14:textId="77777777" w:rsidR="00B26AED" w:rsidRPr="000C4F0F" w:rsidRDefault="00B26AED" w:rsidP="00C94066">
            <w:pPr>
              <w:pStyle w:val="BlockText"/>
              <w:ind w:left="0" w:right="-108"/>
              <w:rPr>
                <w:szCs w:val="16"/>
              </w:rPr>
            </w:pPr>
          </w:p>
          <w:p w14:paraId="16AAD01A" w14:textId="77777777" w:rsidR="00B26AED" w:rsidRPr="000C4F0F" w:rsidRDefault="00B26AED" w:rsidP="00C94066">
            <w:pPr>
              <w:pStyle w:val="BlockText"/>
              <w:ind w:left="0" w:right="-108"/>
              <w:rPr>
                <w:szCs w:val="16"/>
              </w:rPr>
            </w:pPr>
          </w:p>
          <w:p w14:paraId="31FE3356" w14:textId="77777777" w:rsidR="00B26AED" w:rsidRPr="000C4F0F" w:rsidRDefault="00B26AED" w:rsidP="00C94066">
            <w:pPr>
              <w:pStyle w:val="BlockText"/>
              <w:ind w:left="0" w:right="-108"/>
              <w:rPr>
                <w:szCs w:val="16"/>
              </w:rPr>
            </w:pPr>
            <w:r w:rsidRPr="000C4F0F">
              <w:rPr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0C4F0F">
              <w:rPr>
                <w:szCs w:val="16"/>
              </w:rPr>
              <w:instrText xml:space="preserve"> FORMTEXT </w:instrText>
            </w:r>
            <w:r w:rsidRPr="000C4F0F">
              <w:rPr>
                <w:szCs w:val="16"/>
              </w:rPr>
            </w:r>
            <w:r w:rsidRPr="000C4F0F">
              <w:rPr>
                <w:szCs w:val="16"/>
              </w:rPr>
              <w:fldChar w:fldCharType="separate"/>
            </w:r>
            <w:r w:rsidRPr="000C4F0F">
              <w:rPr>
                <w:noProof/>
                <w:szCs w:val="16"/>
              </w:rPr>
              <w:t> </w:t>
            </w:r>
            <w:r w:rsidRPr="000C4F0F">
              <w:rPr>
                <w:noProof/>
                <w:szCs w:val="16"/>
              </w:rPr>
              <w:t> </w:t>
            </w:r>
            <w:r w:rsidRPr="000C4F0F">
              <w:rPr>
                <w:noProof/>
                <w:szCs w:val="16"/>
              </w:rPr>
              <w:t> </w:t>
            </w:r>
            <w:r w:rsidRPr="000C4F0F">
              <w:rPr>
                <w:noProof/>
                <w:szCs w:val="16"/>
              </w:rPr>
              <w:t> </w:t>
            </w:r>
            <w:r w:rsidRPr="000C4F0F">
              <w:rPr>
                <w:noProof/>
                <w:szCs w:val="16"/>
              </w:rPr>
              <w:t> </w:t>
            </w:r>
            <w:r w:rsidRPr="000C4F0F">
              <w:rPr>
                <w:szCs w:val="16"/>
              </w:rPr>
              <w:fldChar w:fldCharType="end"/>
            </w:r>
          </w:p>
        </w:tc>
      </w:tr>
      <w:tr w:rsidR="00B26AED" w:rsidRPr="00671A66" w14:paraId="66AA8268" w14:textId="77777777" w:rsidTr="00F0165A">
        <w:trPr>
          <w:cantSplit/>
          <w:trHeight w:hRule="exact" w:val="700"/>
          <w:jc w:val="center"/>
        </w:trPr>
        <w:tc>
          <w:tcPr>
            <w:tcW w:w="504" w:type="dxa"/>
            <w:tcBorders>
              <w:top w:val="single" w:sz="4" w:space="0" w:color="auto"/>
            </w:tcBorders>
          </w:tcPr>
          <w:p w14:paraId="3EE868F9" w14:textId="77777777" w:rsidR="00B26AED" w:rsidRPr="000C4F0F" w:rsidRDefault="00B26AED" w:rsidP="00C94066">
            <w:pPr>
              <w:pStyle w:val="BlockText"/>
              <w:ind w:left="0" w:right="-108"/>
              <w:rPr>
                <w:szCs w:val="16"/>
              </w:rPr>
            </w:pPr>
          </w:p>
        </w:tc>
        <w:tc>
          <w:tcPr>
            <w:tcW w:w="3726" w:type="dxa"/>
            <w:tcBorders>
              <w:top w:val="single" w:sz="4" w:space="0" w:color="auto"/>
            </w:tcBorders>
          </w:tcPr>
          <w:p w14:paraId="750FF464" w14:textId="77E16644" w:rsidR="00B26AED" w:rsidRPr="000C4F0F" w:rsidRDefault="00B26AED" w:rsidP="00C94066">
            <w:pPr>
              <w:pStyle w:val="BlockText"/>
              <w:ind w:left="0"/>
              <w:rPr>
                <w:szCs w:val="16"/>
              </w:rPr>
            </w:pPr>
            <w:r>
              <w:rPr>
                <w:szCs w:val="16"/>
              </w:rPr>
              <w:t>Payee</w:t>
            </w:r>
          </w:p>
        </w:tc>
        <w:tc>
          <w:tcPr>
            <w:tcW w:w="3780" w:type="dxa"/>
          </w:tcPr>
          <w:p w14:paraId="001FA987" w14:textId="77777777" w:rsidR="00B26AED" w:rsidRPr="000C4F0F" w:rsidRDefault="00B26AED" w:rsidP="00C94066">
            <w:pPr>
              <w:pStyle w:val="BlockText"/>
              <w:ind w:left="0"/>
              <w:rPr>
                <w:szCs w:val="16"/>
              </w:rPr>
            </w:pPr>
            <w:r w:rsidRPr="000C4F0F">
              <w:rPr>
                <w:szCs w:val="16"/>
              </w:rPr>
              <w:t>AUTHORIZED SIGNER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</w:tcBorders>
          </w:tcPr>
          <w:p w14:paraId="59B743A2" w14:textId="77777777" w:rsidR="00B26AED" w:rsidRPr="000C4F0F" w:rsidRDefault="00B26AED" w:rsidP="00C94066">
            <w:pPr>
              <w:pStyle w:val="BlockText"/>
              <w:ind w:left="0" w:right="-108"/>
              <w:rPr>
                <w:szCs w:val="16"/>
              </w:rPr>
            </w:pPr>
            <w:r w:rsidRPr="000C4F0F">
              <w:rPr>
                <w:szCs w:val="16"/>
              </w:rPr>
              <w:t>TITLE                                           DATED</w:t>
            </w:r>
          </w:p>
        </w:tc>
      </w:tr>
    </w:tbl>
    <w:p w14:paraId="3659AEDE" w14:textId="77777777" w:rsidR="00B26AED" w:rsidRPr="003443A5" w:rsidRDefault="00B26AED" w:rsidP="00B26AED">
      <w:pPr>
        <w:pStyle w:val="BlockText"/>
        <w:rPr>
          <w:sz w:val="5"/>
          <w:szCs w:val="5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40"/>
      </w:tblGrid>
      <w:tr w:rsidR="00B26AED" w14:paraId="7BF70CA7" w14:textId="77777777" w:rsidTr="00F0165A">
        <w:trPr>
          <w:trHeight w:hRule="exact" w:val="417"/>
          <w:jc w:val="center"/>
        </w:trPr>
        <w:tc>
          <w:tcPr>
            <w:tcW w:w="11340" w:type="dxa"/>
            <w:tcBorders>
              <w:top w:val="single" w:sz="4" w:space="0" w:color="095AA6"/>
              <w:left w:val="single" w:sz="4" w:space="0" w:color="095AA6"/>
              <w:bottom w:val="single" w:sz="4" w:space="0" w:color="095AA6"/>
              <w:right w:val="single" w:sz="4" w:space="0" w:color="095AA6"/>
            </w:tcBorders>
            <w:shd w:val="clear" w:color="auto" w:fill="095AA6"/>
          </w:tcPr>
          <w:p w14:paraId="0E631215" w14:textId="0076E4E9" w:rsidR="00FB7453" w:rsidRPr="00CC09FD" w:rsidRDefault="00FB7453" w:rsidP="00FB7453">
            <w:pPr>
              <w:pStyle w:val="Heading1"/>
              <w:rPr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OBLIGOR</w:t>
            </w:r>
            <w:r w:rsidRPr="00CC09FD">
              <w:rPr>
                <w:rFonts w:ascii="Arial" w:hAnsi="Arial"/>
                <w:color w:val="FFFFFF"/>
                <w:sz w:val="16"/>
                <w:szCs w:val="16"/>
              </w:rPr>
              <w:t xml:space="preserve"> ACCEPTANCE</w:t>
            </w:r>
          </w:p>
          <w:p w14:paraId="29964162" w14:textId="77777777" w:rsidR="00B26AED" w:rsidRPr="00CC09FD" w:rsidRDefault="00B26AED" w:rsidP="00C94066">
            <w:pPr>
              <w:pStyle w:val="Heading1"/>
              <w:rPr>
                <w:sz w:val="16"/>
                <w:szCs w:val="16"/>
              </w:rPr>
            </w:pPr>
            <w:r w:rsidRPr="00CC09FD">
              <w:rPr>
                <w:rFonts w:ascii="Arial" w:hAnsi="Arial"/>
                <w:color w:val="FFFFFF"/>
                <w:sz w:val="16"/>
                <w:szCs w:val="16"/>
              </w:rPr>
              <w:t>MER ACCEPTANCE</w:t>
            </w:r>
          </w:p>
          <w:p w14:paraId="04571210" w14:textId="77777777" w:rsidR="00B26AED" w:rsidRDefault="00B26AED" w:rsidP="00C94066">
            <w:pPr>
              <w:pStyle w:val="Heading1"/>
              <w:rPr>
                <w:rFonts w:ascii="Arial" w:hAnsi="Arial"/>
                <w:color w:val="FFFFFF"/>
                <w:sz w:val="20"/>
              </w:rPr>
            </w:pPr>
          </w:p>
          <w:p w14:paraId="1B5CB1E7" w14:textId="77777777" w:rsidR="00B26AED" w:rsidRDefault="00B26AED" w:rsidP="00C94066"/>
          <w:p w14:paraId="4E21A656" w14:textId="77777777" w:rsidR="00B26AED" w:rsidRDefault="00B26AED" w:rsidP="00C94066"/>
        </w:tc>
      </w:tr>
    </w:tbl>
    <w:p w14:paraId="4FAD5396" w14:textId="77777777" w:rsidR="00B26AED" w:rsidRDefault="00B26AED" w:rsidP="00B26AED">
      <w:pPr>
        <w:pStyle w:val="BlockText"/>
        <w:rPr>
          <w:sz w:val="4"/>
        </w:rPr>
      </w:pPr>
    </w:p>
    <w:tbl>
      <w:tblPr>
        <w:tblW w:w="11430" w:type="dxa"/>
        <w:jc w:val="center"/>
        <w:tblLayout w:type="fixed"/>
        <w:tblLook w:val="0000" w:firstRow="0" w:lastRow="0" w:firstColumn="0" w:lastColumn="0" w:noHBand="0" w:noVBand="0"/>
      </w:tblPr>
      <w:tblGrid>
        <w:gridCol w:w="3870"/>
        <w:gridCol w:w="3690"/>
        <w:gridCol w:w="3870"/>
      </w:tblGrid>
      <w:tr w:rsidR="00B26AED" w14:paraId="60FF727C" w14:textId="77777777" w:rsidTr="00F0165A">
        <w:trPr>
          <w:cantSplit/>
          <w:trHeight w:hRule="exact" w:val="780"/>
          <w:jc w:val="center"/>
        </w:trPr>
        <w:tc>
          <w:tcPr>
            <w:tcW w:w="3870" w:type="dxa"/>
          </w:tcPr>
          <w:p w14:paraId="476C7124" w14:textId="77777777" w:rsidR="00B26AED" w:rsidRPr="00FC64DE" w:rsidRDefault="00B26AED" w:rsidP="00C94066">
            <w:pPr>
              <w:pStyle w:val="BlockText"/>
              <w:ind w:left="0" w:right="-108"/>
              <w:rPr>
                <w:sz w:val="2"/>
                <w:szCs w:val="2"/>
              </w:rPr>
            </w:pPr>
          </w:p>
          <w:p w14:paraId="263D4F24" w14:textId="77777777" w:rsidR="00B26AED" w:rsidRDefault="00B26AED" w:rsidP="00C94066">
            <w:pPr>
              <w:pStyle w:val="BlockText"/>
              <w:ind w:left="0" w:right="-108"/>
              <w:jc w:val="left"/>
              <w:rPr>
                <w:sz w:val="18"/>
                <w:szCs w:val="18"/>
              </w:rPr>
            </w:pPr>
          </w:p>
          <w:p w14:paraId="1911E27C" w14:textId="77777777" w:rsidR="00B26AED" w:rsidRDefault="00B26AED" w:rsidP="00C94066">
            <w:pPr>
              <w:pStyle w:val="BlockText"/>
              <w:ind w:left="0" w:right="-108"/>
              <w:jc w:val="left"/>
              <w:rPr>
                <w:sz w:val="18"/>
                <w:szCs w:val="18"/>
              </w:rPr>
            </w:pPr>
          </w:p>
          <w:p w14:paraId="5E2A70AF" w14:textId="77777777" w:rsidR="00B26AED" w:rsidRDefault="00B26AED" w:rsidP="00C94066">
            <w:pPr>
              <w:pStyle w:val="BlockText"/>
              <w:ind w:left="0" w:right="-108"/>
              <w:jc w:val="left"/>
              <w:rPr>
                <w:sz w:val="20"/>
              </w:rPr>
            </w:pPr>
            <w:r w:rsidRPr="00D23C09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23C09">
              <w:rPr>
                <w:sz w:val="18"/>
                <w:szCs w:val="18"/>
              </w:rPr>
              <w:instrText xml:space="preserve"> FORMTEXT </w:instrText>
            </w:r>
            <w:r w:rsidRPr="00D23C09">
              <w:rPr>
                <w:sz w:val="18"/>
                <w:szCs w:val="18"/>
              </w:rPr>
            </w:r>
            <w:r w:rsidRPr="00D23C09">
              <w:rPr>
                <w:sz w:val="18"/>
                <w:szCs w:val="18"/>
              </w:rPr>
              <w:fldChar w:fldCharType="separate"/>
            </w:r>
            <w:r w:rsidRPr="00D23C09">
              <w:rPr>
                <w:noProof/>
                <w:sz w:val="18"/>
                <w:szCs w:val="18"/>
              </w:rPr>
              <w:t> </w:t>
            </w:r>
            <w:r w:rsidRPr="00D23C09">
              <w:rPr>
                <w:noProof/>
                <w:sz w:val="18"/>
                <w:szCs w:val="18"/>
              </w:rPr>
              <w:t> </w:t>
            </w:r>
            <w:r w:rsidRPr="00D23C09">
              <w:rPr>
                <w:noProof/>
                <w:sz w:val="18"/>
                <w:szCs w:val="18"/>
              </w:rPr>
              <w:t> </w:t>
            </w:r>
            <w:r w:rsidRPr="00D23C09">
              <w:rPr>
                <w:noProof/>
                <w:sz w:val="18"/>
                <w:szCs w:val="18"/>
              </w:rPr>
              <w:t> </w:t>
            </w:r>
            <w:r w:rsidRPr="00D23C09">
              <w:rPr>
                <w:noProof/>
                <w:sz w:val="18"/>
                <w:szCs w:val="18"/>
              </w:rPr>
              <w:t> </w:t>
            </w:r>
            <w:r w:rsidRPr="00D23C0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C7E9" w14:textId="77777777" w:rsidR="00B26AED" w:rsidRDefault="00B26AED" w:rsidP="00C94066">
            <w:pPr>
              <w:pStyle w:val="BlockText"/>
              <w:ind w:left="0"/>
              <w:rPr>
                <w:b/>
                <w:sz w:val="4"/>
              </w:rPr>
            </w:pPr>
          </w:p>
          <w:p w14:paraId="19CF036C" w14:textId="77777777" w:rsidR="00B26AED" w:rsidRDefault="00B26AED" w:rsidP="00C94066">
            <w:pPr>
              <w:pStyle w:val="BlockText"/>
              <w:ind w:left="0"/>
              <w:rPr>
                <w:b/>
                <w:color w:val="095AA6"/>
                <w:sz w:val="20"/>
              </w:rPr>
            </w:pPr>
          </w:p>
          <w:p w14:paraId="35C30E8B" w14:textId="77777777" w:rsidR="00B26AED" w:rsidRDefault="00B26AED" w:rsidP="00C94066">
            <w:pPr>
              <w:pStyle w:val="BlockText"/>
              <w:ind w:left="0"/>
              <w:rPr>
                <w:b/>
                <w:color w:val="095AA6"/>
                <w:sz w:val="20"/>
              </w:rPr>
            </w:pPr>
          </w:p>
          <w:p w14:paraId="1711A8D7" w14:textId="77777777" w:rsidR="00B26AED" w:rsidRPr="00D10B18" w:rsidRDefault="00B26AED" w:rsidP="00C94066">
            <w:pPr>
              <w:pStyle w:val="BlockText"/>
              <w:ind w:left="0"/>
              <w:rPr>
                <w:b/>
                <w:color w:val="095AA6"/>
                <w:sz w:val="20"/>
              </w:rPr>
            </w:pPr>
            <w:r w:rsidRPr="00D10B18">
              <w:rPr>
                <w:b/>
                <w:color w:val="095AA6"/>
                <w:sz w:val="20"/>
              </w:rPr>
              <w:t>X</w:t>
            </w:r>
          </w:p>
        </w:tc>
        <w:tc>
          <w:tcPr>
            <w:tcW w:w="3870" w:type="dxa"/>
            <w:tcBorders>
              <w:left w:val="nil"/>
            </w:tcBorders>
          </w:tcPr>
          <w:p w14:paraId="1B86F861" w14:textId="77777777" w:rsidR="00B26AED" w:rsidRDefault="00B26AED" w:rsidP="00C94066">
            <w:pPr>
              <w:pStyle w:val="BlockText"/>
              <w:ind w:left="0"/>
              <w:rPr>
                <w:sz w:val="18"/>
                <w:szCs w:val="18"/>
              </w:rPr>
            </w:pPr>
          </w:p>
          <w:p w14:paraId="23F36487" w14:textId="77777777" w:rsidR="00B26AED" w:rsidRDefault="00B26AED" w:rsidP="00C94066">
            <w:pPr>
              <w:pStyle w:val="BlockText"/>
              <w:ind w:left="0"/>
              <w:rPr>
                <w:sz w:val="18"/>
                <w:szCs w:val="18"/>
              </w:rPr>
            </w:pPr>
          </w:p>
          <w:p w14:paraId="4B6446DD" w14:textId="77777777" w:rsidR="00B26AED" w:rsidRDefault="00B26AED" w:rsidP="00C94066">
            <w:pPr>
              <w:pStyle w:val="BlockText"/>
              <w:ind w:left="0"/>
              <w:rPr>
                <w:sz w:val="20"/>
              </w:rPr>
            </w:pPr>
            <w:r w:rsidRPr="00D23C09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23C09">
              <w:rPr>
                <w:sz w:val="18"/>
                <w:szCs w:val="18"/>
              </w:rPr>
              <w:instrText xml:space="preserve"> FORMTEXT </w:instrText>
            </w:r>
            <w:r w:rsidRPr="00D23C09">
              <w:rPr>
                <w:sz w:val="18"/>
                <w:szCs w:val="18"/>
              </w:rPr>
            </w:r>
            <w:r w:rsidRPr="00D23C09">
              <w:rPr>
                <w:sz w:val="18"/>
                <w:szCs w:val="18"/>
              </w:rPr>
              <w:fldChar w:fldCharType="separate"/>
            </w:r>
            <w:r w:rsidRPr="00D23C09">
              <w:rPr>
                <w:noProof/>
                <w:sz w:val="18"/>
                <w:szCs w:val="18"/>
              </w:rPr>
              <w:t> </w:t>
            </w:r>
            <w:r w:rsidRPr="00D23C09">
              <w:rPr>
                <w:noProof/>
                <w:sz w:val="18"/>
                <w:szCs w:val="18"/>
              </w:rPr>
              <w:t> </w:t>
            </w:r>
            <w:r w:rsidRPr="00D23C09">
              <w:rPr>
                <w:noProof/>
                <w:sz w:val="18"/>
                <w:szCs w:val="18"/>
              </w:rPr>
              <w:t> </w:t>
            </w:r>
            <w:r w:rsidRPr="00D23C09">
              <w:rPr>
                <w:noProof/>
                <w:sz w:val="18"/>
                <w:szCs w:val="18"/>
              </w:rPr>
              <w:t> </w:t>
            </w:r>
            <w:r w:rsidRPr="00D23C09">
              <w:rPr>
                <w:noProof/>
                <w:sz w:val="18"/>
                <w:szCs w:val="18"/>
              </w:rPr>
              <w:t> </w:t>
            </w:r>
            <w:r w:rsidRPr="00D23C09">
              <w:rPr>
                <w:sz w:val="18"/>
                <w:szCs w:val="18"/>
              </w:rPr>
              <w:fldChar w:fldCharType="end"/>
            </w:r>
          </w:p>
        </w:tc>
      </w:tr>
      <w:tr w:rsidR="00B26AED" w14:paraId="2C985EC9" w14:textId="77777777" w:rsidTr="00F0165A">
        <w:trPr>
          <w:cantSplit/>
          <w:trHeight w:hRule="exact" w:val="177"/>
          <w:jc w:val="center"/>
        </w:trPr>
        <w:tc>
          <w:tcPr>
            <w:tcW w:w="3870" w:type="dxa"/>
            <w:tcBorders>
              <w:top w:val="single" w:sz="4" w:space="0" w:color="auto"/>
            </w:tcBorders>
          </w:tcPr>
          <w:p w14:paraId="42D7F5F5" w14:textId="1707FC2C" w:rsidR="00B26AED" w:rsidRDefault="00B26AED" w:rsidP="00FB7453">
            <w:pPr>
              <w:pStyle w:val="BlockText"/>
              <w:ind w:left="0" w:right="-108"/>
              <w:rPr>
                <w:sz w:val="14"/>
              </w:rPr>
            </w:pPr>
            <w:r>
              <w:rPr>
                <w:sz w:val="12"/>
              </w:rPr>
              <w:t xml:space="preserve">FULL LEGAL NAME OF </w:t>
            </w:r>
            <w:r w:rsidR="00FB7453">
              <w:rPr>
                <w:sz w:val="12"/>
              </w:rPr>
              <w:t>OBLIGOR</w:t>
            </w:r>
            <w:r>
              <w:rPr>
                <w:sz w:val="12"/>
              </w:rPr>
              <w:t xml:space="preserve"> (as referenced above)</w:t>
            </w:r>
          </w:p>
        </w:tc>
        <w:tc>
          <w:tcPr>
            <w:tcW w:w="3690" w:type="dxa"/>
          </w:tcPr>
          <w:p w14:paraId="72039BF5" w14:textId="77777777" w:rsidR="00B26AED" w:rsidRDefault="00B26AED" w:rsidP="00C94066">
            <w:pPr>
              <w:pStyle w:val="BlockText"/>
              <w:ind w:left="0"/>
              <w:rPr>
                <w:sz w:val="14"/>
              </w:rPr>
            </w:pPr>
            <w:r>
              <w:rPr>
                <w:sz w:val="12"/>
              </w:rPr>
              <w:t>AUTHORIZED SIGNER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0F82EBAF" w14:textId="77777777" w:rsidR="00B26AED" w:rsidRDefault="00B26AED" w:rsidP="00C94066">
            <w:pPr>
              <w:pStyle w:val="BlockText"/>
              <w:ind w:left="0"/>
              <w:rPr>
                <w:sz w:val="14"/>
              </w:rPr>
            </w:pPr>
            <w:r>
              <w:rPr>
                <w:sz w:val="12"/>
              </w:rPr>
              <w:t>DATED</w:t>
            </w:r>
          </w:p>
        </w:tc>
      </w:tr>
    </w:tbl>
    <w:p w14:paraId="6C790010" w14:textId="77777777" w:rsidR="00B26AED" w:rsidRPr="006F108B" w:rsidRDefault="00B26AED" w:rsidP="00B26AED">
      <w:pPr>
        <w:pStyle w:val="BlockText"/>
        <w:ind w:left="0"/>
        <w:rPr>
          <w:sz w:val="5"/>
          <w:szCs w:val="5"/>
        </w:rPr>
      </w:pPr>
    </w:p>
    <w:tbl>
      <w:tblPr>
        <w:tblW w:w="11430" w:type="dxa"/>
        <w:jc w:val="center"/>
        <w:tblLayout w:type="fixed"/>
        <w:tblLook w:val="0000" w:firstRow="0" w:lastRow="0" w:firstColumn="0" w:lastColumn="0" w:noHBand="0" w:noVBand="0"/>
      </w:tblPr>
      <w:tblGrid>
        <w:gridCol w:w="3870"/>
        <w:gridCol w:w="3690"/>
        <w:gridCol w:w="3870"/>
      </w:tblGrid>
      <w:tr w:rsidR="00B26AED" w14:paraId="289D39B8" w14:textId="77777777" w:rsidTr="00F0165A">
        <w:trPr>
          <w:cantSplit/>
          <w:trHeight w:hRule="exact" w:val="307"/>
          <w:jc w:val="center"/>
        </w:trPr>
        <w:tc>
          <w:tcPr>
            <w:tcW w:w="3870" w:type="dxa"/>
            <w:tcBorders>
              <w:bottom w:val="single" w:sz="4" w:space="0" w:color="auto"/>
            </w:tcBorders>
          </w:tcPr>
          <w:p w14:paraId="790444BE" w14:textId="77777777" w:rsidR="00B26AED" w:rsidRDefault="00B26AED" w:rsidP="00C94066">
            <w:pPr>
              <w:pStyle w:val="BlockText"/>
              <w:ind w:left="0" w:right="-108"/>
              <w:rPr>
                <w:sz w:val="4"/>
              </w:rPr>
            </w:pPr>
          </w:p>
          <w:p w14:paraId="33CE329F" w14:textId="77777777" w:rsidR="00B26AED" w:rsidRPr="00220317" w:rsidRDefault="00B26AED" w:rsidP="00C94066">
            <w:pPr>
              <w:pStyle w:val="BlockText"/>
              <w:ind w:left="0" w:right="-108"/>
              <w:rPr>
                <w:sz w:val="12"/>
              </w:rPr>
            </w:pPr>
            <w:r>
              <w:rPr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0878D282" w14:textId="77777777" w:rsidR="00B26AED" w:rsidRPr="00220317" w:rsidRDefault="00B26AED" w:rsidP="00C94066">
            <w:pPr>
              <w:pStyle w:val="BlockText"/>
              <w:ind w:left="0" w:right="-108"/>
              <w:rPr>
                <w:sz w:val="12"/>
              </w:rPr>
            </w:pPr>
          </w:p>
          <w:p w14:paraId="1E30896A" w14:textId="77777777" w:rsidR="00B26AED" w:rsidRPr="00220317" w:rsidRDefault="00B26AED" w:rsidP="00C94066">
            <w:pPr>
              <w:pStyle w:val="BlockText"/>
              <w:ind w:left="0" w:right="-108"/>
              <w:rPr>
                <w:sz w:val="12"/>
              </w:rPr>
            </w:pPr>
          </w:p>
          <w:p w14:paraId="47146639" w14:textId="77777777" w:rsidR="00B26AED" w:rsidRPr="00220317" w:rsidRDefault="00B26AED" w:rsidP="00C94066">
            <w:pPr>
              <w:pStyle w:val="BlockText"/>
              <w:ind w:left="0" w:right="-108"/>
              <w:rPr>
                <w:sz w:val="12"/>
              </w:rPr>
            </w:pPr>
          </w:p>
          <w:p w14:paraId="74A273D1" w14:textId="77777777" w:rsidR="00B26AED" w:rsidRPr="00220317" w:rsidRDefault="00B26AED" w:rsidP="00C94066">
            <w:pPr>
              <w:pStyle w:val="BlockText"/>
              <w:ind w:left="0" w:right="-108"/>
              <w:rPr>
                <w:sz w:val="12"/>
              </w:rPr>
            </w:pPr>
          </w:p>
          <w:p w14:paraId="17421456" w14:textId="77777777" w:rsidR="00B26AED" w:rsidRPr="00220317" w:rsidRDefault="00B26AED" w:rsidP="00C94066">
            <w:pPr>
              <w:pStyle w:val="BlockText"/>
              <w:ind w:left="0" w:right="-108"/>
              <w:rPr>
                <w:sz w:val="12"/>
              </w:rPr>
            </w:pPr>
            <w:r w:rsidRPr="00220317">
              <w:rPr>
                <w:sz w:val="1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220317">
              <w:rPr>
                <w:sz w:val="12"/>
              </w:rPr>
              <w:instrText xml:space="preserve"> FORMTEXT </w:instrText>
            </w:r>
            <w:r w:rsidRPr="00220317">
              <w:rPr>
                <w:sz w:val="12"/>
              </w:rPr>
            </w:r>
            <w:r w:rsidRPr="00220317">
              <w:rPr>
                <w:sz w:val="12"/>
              </w:rPr>
              <w:fldChar w:fldCharType="separate"/>
            </w:r>
            <w:r w:rsidRPr="00220317">
              <w:rPr>
                <w:sz w:val="12"/>
              </w:rPr>
              <w:t> </w:t>
            </w:r>
            <w:r w:rsidRPr="00220317">
              <w:rPr>
                <w:sz w:val="12"/>
              </w:rPr>
              <w:t> </w:t>
            </w:r>
            <w:r w:rsidRPr="00220317">
              <w:rPr>
                <w:sz w:val="12"/>
              </w:rPr>
              <w:t> </w:t>
            </w:r>
            <w:r w:rsidRPr="00220317">
              <w:rPr>
                <w:sz w:val="12"/>
              </w:rPr>
              <w:t> </w:t>
            </w:r>
            <w:r w:rsidRPr="00220317">
              <w:rPr>
                <w:sz w:val="12"/>
              </w:rPr>
              <w:t> </w:t>
            </w:r>
            <w:r w:rsidRPr="00220317">
              <w:rPr>
                <w:sz w:val="12"/>
              </w:rPr>
              <w:fldChar w:fldCharType="end"/>
            </w:r>
          </w:p>
          <w:p w14:paraId="5D12E103" w14:textId="77777777" w:rsidR="00B26AED" w:rsidRPr="00220317" w:rsidRDefault="00B26AED" w:rsidP="00C94066">
            <w:pPr>
              <w:pStyle w:val="BlockText"/>
              <w:ind w:left="0"/>
              <w:rPr>
                <w:sz w:val="12"/>
              </w:rPr>
            </w:pPr>
          </w:p>
          <w:p w14:paraId="384F0BA7" w14:textId="77777777" w:rsidR="00B26AED" w:rsidRPr="00220317" w:rsidRDefault="00B26AED" w:rsidP="00C94066">
            <w:pPr>
              <w:pStyle w:val="BlockText"/>
              <w:ind w:left="0"/>
              <w:rPr>
                <w:sz w:val="12"/>
              </w:rPr>
            </w:pPr>
          </w:p>
          <w:p w14:paraId="4B7EDE28" w14:textId="77777777" w:rsidR="00B26AED" w:rsidRPr="00220317" w:rsidRDefault="00B26AED" w:rsidP="00C94066">
            <w:pPr>
              <w:pStyle w:val="BlockText"/>
              <w:ind w:left="0"/>
              <w:rPr>
                <w:sz w:val="12"/>
              </w:rPr>
            </w:pPr>
          </w:p>
          <w:p w14:paraId="5D1D923A" w14:textId="77777777" w:rsidR="00B26AED" w:rsidRPr="00220317" w:rsidRDefault="00B26AED" w:rsidP="00C94066">
            <w:pPr>
              <w:pStyle w:val="BlockText"/>
              <w:ind w:left="0"/>
              <w:rPr>
                <w:sz w:val="12"/>
              </w:rPr>
            </w:pPr>
          </w:p>
          <w:p w14:paraId="527F91E9" w14:textId="77777777" w:rsidR="00B26AED" w:rsidRPr="00220317" w:rsidRDefault="00B26AED" w:rsidP="00C94066">
            <w:pPr>
              <w:pStyle w:val="BlockText"/>
              <w:ind w:left="0"/>
              <w:rPr>
                <w:sz w:val="12"/>
              </w:rPr>
            </w:pPr>
          </w:p>
          <w:p w14:paraId="030D857E" w14:textId="77777777" w:rsidR="00B26AED" w:rsidRPr="00220317" w:rsidRDefault="00B26AED" w:rsidP="00C94066">
            <w:pPr>
              <w:pStyle w:val="BlockText"/>
              <w:ind w:left="0"/>
              <w:rPr>
                <w:sz w:val="12"/>
              </w:rPr>
            </w:pPr>
            <w:r w:rsidRPr="00220317">
              <w:rPr>
                <w:sz w:val="1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220317">
              <w:rPr>
                <w:sz w:val="12"/>
              </w:rPr>
              <w:instrText xml:space="preserve"> FORMTEXT </w:instrText>
            </w:r>
            <w:r w:rsidRPr="00220317">
              <w:rPr>
                <w:sz w:val="12"/>
              </w:rPr>
            </w:r>
            <w:r w:rsidRPr="00220317">
              <w:rPr>
                <w:sz w:val="12"/>
              </w:rPr>
              <w:fldChar w:fldCharType="separate"/>
            </w:r>
            <w:r w:rsidRPr="00220317">
              <w:rPr>
                <w:sz w:val="12"/>
              </w:rPr>
              <w:t> </w:t>
            </w:r>
            <w:r w:rsidRPr="00220317">
              <w:rPr>
                <w:sz w:val="12"/>
              </w:rPr>
              <w:t> </w:t>
            </w:r>
            <w:r w:rsidRPr="00220317">
              <w:rPr>
                <w:sz w:val="12"/>
              </w:rPr>
              <w:t> </w:t>
            </w:r>
            <w:r w:rsidRPr="00220317">
              <w:rPr>
                <w:sz w:val="12"/>
              </w:rPr>
              <w:t> </w:t>
            </w:r>
            <w:r w:rsidRPr="00220317">
              <w:rPr>
                <w:sz w:val="12"/>
              </w:rPr>
              <w:t> </w:t>
            </w:r>
            <w:r w:rsidRPr="00220317">
              <w:rPr>
                <w:sz w:val="12"/>
              </w:rPr>
              <w:fldChar w:fldCharType="end"/>
            </w:r>
          </w:p>
          <w:p w14:paraId="38C6F131" w14:textId="77777777" w:rsidR="00B26AED" w:rsidRPr="00220317" w:rsidRDefault="00B26AED" w:rsidP="00C94066">
            <w:pPr>
              <w:pStyle w:val="BlockText"/>
              <w:ind w:left="0"/>
              <w:rPr>
                <w:sz w:val="12"/>
              </w:rPr>
            </w:pPr>
          </w:p>
          <w:p w14:paraId="431FA40B" w14:textId="77777777" w:rsidR="00B26AED" w:rsidRPr="00220317" w:rsidRDefault="00B26AED" w:rsidP="00C94066">
            <w:pPr>
              <w:pStyle w:val="BlockText"/>
              <w:ind w:left="0"/>
              <w:rPr>
                <w:sz w:val="1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FE5102A" w14:textId="77777777" w:rsidR="00B26AED" w:rsidRPr="006066BC" w:rsidRDefault="00B26AED" w:rsidP="00C94066">
            <w:pPr>
              <w:pStyle w:val="BlockText"/>
              <w:ind w:left="0"/>
              <w:rPr>
                <w:sz w:val="6"/>
                <w:szCs w:val="6"/>
              </w:rPr>
            </w:pPr>
          </w:p>
          <w:p w14:paraId="01A9F0C1" w14:textId="77777777" w:rsidR="00B26AED" w:rsidRPr="006066BC" w:rsidRDefault="00B26AED" w:rsidP="00C94066">
            <w:pPr>
              <w:pStyle w:val="BlockText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6F85D941" w14:textId="77777777" w:rsidR="00B26AED" w:rsidRPr="006066BC" w:rsidRDefault="00B26AED" w:rsidP="00C94066">
            <w:pPr>
              <w:pStyle w:val="BlockText"/>
              <w:ind w:left="0" w:right="-108"/>
              <w:rPr>
                <w:sz w:val="20"/>
              </w:rPr>
            </w:pPr>
          </w:p>
          <w:p w14:paraId="7CEC74D8" w14:textId="77777777" w:rsidR="00B26AED" w:rsidRPr="00220317" w:rsidRDefault="00B26AED" w:rsidP="00C94066">
            <w:pPr>
              <w:pStyle w:val="BlockText"/>
              <w:ind w:left="0" w:right="-108"/>
              <w:rPr>
                <w:sz w:val="1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164B6CCB" w14:textId="77777777" w:rsidR="00B26AED" w:rsidRDefault="00B26AED" w:rsidP="00C94066">
            <w:pPr>
              <w:pStyle w:val="BlockText"/>
              <w:ind w:left="0" w:right="-108"/>
              <w:rPr>
                <w:sz w:val="4"/>
              </w:rPr>
            </w:pPr>
          </w:p>
          <w:p w14:paraId="669977FE" w14:textId="77777777" w:rsidR="00B26AED" w:rsidRDefault="00B26AED" w:rsidP="00C94066">
            <w:pPr>
              <w:pStyle w:val="BlockText"/>
              <w:ind w:left="0" w:right="-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26AED" w:rsidRPr="00220317" w14:paraId="0B75A0ED" w14:textId="77777777" w:rsidTr="00F0165A">
        <w:trPr>
          <w:cantSplit/>
          <w:trHeight w:hRule="exact" w:val="160"/>
          <w:jc w:val="center"/>
        </w:trPr>
        <w:tc>
          <w:tcPr>
            <w:tcW w:w="3870" w:type="dxa"/>
            <w:tcBorders>
              <w:top w:val="single" w:sz="4" w:space="0" w:color="auto"/>
            </w:tcBorders>
          </w:tcPr>
          <w:p w14:paraId="32BC17A5" w14:textId="77777777" w:rsidR="00B26AED" w:rsidRPr="00220317" w:rsidRDefault="00B26AED" w:rsidP="00C94066">
            <w:pPr>
              <w:pStyle w:val="BlockText"/>
              <w:ind w:left="0"/>
              <w:rPr>
                <w:sz w:val="12"/>
              </w:rPr>
            </w:pPr>
            <w:r>
              <w:rPr>
                <w:sz w:val="12"/>
              </w:rPr>
              <w:t xml:space="preserve">      FEDERAL TAX I.D. #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74E3D993" w14:textId="77777777" w:rsidR="00B26AED" w:rsidRPr="00220317" w:rsidRDefault="00B26AED" w:rsidP="00C94066">
            <w:pPr>
              <w:pStyle w:val="BlockText"/>
              <w:ind w:left="0" w:right="-108"/>
              <w:rPr>
                <w:sz w:val="12"/>
              </w:rPr>
            </w:pPr>
            <w:r>
              <w:rPr>
                <w:sz w:val="12"/>
              </w:rPr>
              <w:t>PRINT NAME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641EC4ED" w14:textId="77777777" w:rsidR="00B26AED" w:rsidRPr="00220317" w:rsidRDefault="00B26AED" w:rsidP="00C94066">
            <w:pPr>
              <w:pStyle w:val="BlockText"/>
              <w:ind w:left="0" w:right="-108"/>
              <w:rPr>
                <w:sz w:val="12"/>
              </w:rPr>
            </w:pPr>
            <w:r>
              <w:rPr>
                <w:sz w:val="12"/>
              </w:rPr>
              <w:t>TITLE</w:t>
            </w:r>
          </w:p>
        </w:tc>
      </w:tr>
    </w:tbl>
    <w:p w14:paraId="22075BA7" w14:textId="77777777" w:rsidR="00B26AED" w:rsidRPr="00D72FB9" w:rsidRDefault="00B26AED" w:rsidP="00D72FB9">
      <w:pPr>
        <w:rPr>
          <w:rFonts w:ascii="Arial" w:hAnsi="Arial" w:cs="Arial"/>
          <w:sz w:val="20"/>
          <w:szCs w:val="20"/>
        </w:rPr>
      </w:pPr>
    </w:p>
    <w:sectPr w:rsidR="00B26AED" w:rsidRPr="00D72FB9" w:rsidSect="00D72FB9">
      <w:type w:val="continuous"/>
      <w:pgSz w:w="12240" w:h="15840" w:code="1"/>
      <w:pgMar w:top="547" w:right="720" w:bottom="547" w:left="720" w:header="360" w:footer="0" w:gutter="0"/>
      <w:cols w:space="4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B9"/>
    <w:rsid w:val="00004F5F"/>
    <w:rsid w:val="000107EF"/>
    <w:rsid w:val="00024584"/>
    <w:rsid w:val="00025856"/>
    <w:rsid w:val="00045CA7"/>
    <w:rsid w:val="000711F5"/>
    <w:rsid w:val="00073C57"/>
    <w:rsid w:val="000857E4"/>
    <w:rsid w:val="00091958"/>
    <w:rsid w:val="00096276"/>
    <w:rsid w:val="000D546E"/>
    <w:rsid w:val="001233F8"/>
    <w:rsid w:val="001678AB"/>
    <w:rsid w:val="001A52C8"/>
    <w:rsid w:val="002229B0"/>
    <w:rsid w:val="0022331E"/>
    <w:rsid w:val="00243598"/>
    <w:rsid w:val="00246871"/>
    <w:rsid w:val="0024739C"/>
    <w:rsid w:val="002744C0"/>
    <w:rsid w:val="002918A7"/>
    <w:rsid w:val="00292009"/>
    <w:rsid w:val="002B44E3"/>
    <w:rsid w:val="002E2F3F"/>
    <w:rsid w:val="002F4AB4"/>
    <w:rsid w:val="00321FE5"/>
    <w:rsid w:val="003274EB"/>
    <w:rsid w:val="00380101"/>
    <w:rsid w:val="00384B79"/>
    <w:rsid w:val="00391882"/>
    <w:rsid w:val="003B0AF3"/>
    <w:rsid w:val="003F5C4F"/>
    <w:rsid w:val="00412D53"/>
    <w:rsid w:val="00437799"/>
    <w:rsid w:val="00450C18"/>
    <w:rsid w:val="004523AF"/>
    <w:rsid w:val="004539B1"/>
    <w:rsid w:val="004A4965"/>
    <w:rsid w:val="004B1655"/>
    <w:rsid w:val="004B1C38"/>
    <w:rsid w:val="004C1E0C"/>
    <w:rsid w:val="0051591D"/>
    <w:rsid w:val="00520BB0"/>
    <w:rsid w:val="00531599"/>
    <w:rsid w:val="0053475E"/>
    <w:rsid w:val="00554ED9"/>
    <w:rsid w:val="0055590D"/>
    <w:rsid w:val="005801D7"/>
    <w:rsid w:val="00595176"/>
    <w:rsid w:val="005B1088"/>
    <w:rsid w:val="005B2F1C"/>
    <w:rsid w:val="005C02EF"/>
    <w:rsid w:val="005D6187"/>
    <w:rsid w:val="006038AF"/>
    <w:rsid w:val="00626EAD"/>
    <w:rsid w:val="00654F0F"/>
    <w:rsid w:val="00673E87"/>
    <w:rsid w:val="006805B9"/>
    <w:rsid w:val="00694DE8"/>
    <w:rsid w:val="006B14D4"/>
    <w:rsid w:val="006E1E12"/>
    <w:rsid w:val="006F44C0"/>
    <w:rsid w:val="007017BE"/>
    <w:rsid w:val="00712543"/>
    <w:rsid w:val="00735368"/>
    <w:rsid w:val="00742CBC"/>
    <w:rsid w:val="007448B6"/>
    <w:rsid w:val="007662C8"/>
    <w:rsid w:val="007867F0"/>
    <w:rsid w:val="00786A38"/>
    <w:rsid w:val="007D3191"/>
    <w:rsid w:val="007F78EF"/>
    <w:rsid w:val="008173B0"/>
    <w:rsid w:val="0083525E"/>
    <w:rsid w:val="0085387B"/>
    <w:rsid w:val="00854ECD"/>
    <w:rsid w:val="008D74CE"/>
    <w:rsid w:val="008F3B51"/>
    <w:rsid w:val="00910728"/>
    <w:rsid w:val="009343D3"/>
    <w:rsid w:val="00955F44"/>
    <w:rsid w:val="00970087"/>
    <w:rsid w:val="00990A52"/>
    <w:rsid w:val="00992503"/>
    <w:rsid w:val="009B07BA"/>
    <w:rsid w:val="009C117D"/>
    <w:rsid w:val="00A05D6A"/>
    <w:rsid w:val="00A42E1D"/>
    <w:rsid w:val="00A5324E"/>
    <w:rsid w:val="00A643BC"/>
    <w:rsid w:val="00A64ED6"/>
    <w:rsid w:val="00A85A03"/>
    <w:rsid w:val="00A8663F"/>
    <w:rsid w:val="00AA074F"/>
    <w:rsid w:val="00AC1F04"/>
    <w:rsid w:val="00AE6AF5"/>
    <w:rsid w:val="00B26AED"/>
    <w:rsid w:val="00B45E91"/>
    <w:rsid w:val="00B80768"/>
    <w:rsid w:val="00BB54C1"/>
    <w:rsid w:val="00BC6D60"/>
    <w:rsid w:val="00BE56C2"/>
    <w:rsid w:val="00BF3293"/>
    <w:rsid w:val="00C53AB9"/>
    <w:rsid w:val="00C8153F"/>
    <w:rsid w:val="00CA79A5"/>
    <w:rsid w:val="00CB1366"/>
    <w:rsid w:val="00CE5876"/>
    <w:rsid w:val="00CF6AAA"/>
    <w:rsid w:val="00D00763"/>
    <w:rsid w:val="00D0717A"/>
    <w:rsid w:val="00D364FA"/>
    <w:rsid w:val="00D36501"/>
    <w:rsid w:val="00D72FB9"/>
    <w:rsid w:val="00D97919"/>
    <w:rsid w:val="00DD77E6"/>
    <w:rsid w:val="00DF5992"/>
    <w:rsid w:val="00E01751"/>
    <w:rsid w:val="00E45E71"/>
    <w:rsid w:val="00E53A18"/>
    <w:rsid w:val="00E73581"/>
    <w:rsid w:val="00EA6CDC"/>
    <w:rsid w:val="00EB01B2"/>
    <w:rsid w:val="00EF336E"/>
    <w:rsid w:val="00F0165A"/>
    <w:rsid w:val="00F13C14"/>
    <w:rsid w:val="00F75002"/>
    <w:rsid w:val="00F815B5"/>
    <w:rsid w:val="00F8646E"/>
    <w:rsid w:val="00FB0E9F"/>
    <w:rsid w:val="00FB5759"/>
    <w:rsid w:val="00FB7453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E186"/>
  <w15:docId w15:val="{9A02028B-358F-4E2A-832B-80C0F70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36E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7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74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7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74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74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74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F336E"/>
    <w:pPr>
      <w:keepNext/>
      <w:jc w:val="right"/>
      <w:outlineLvl w:val="6"/>
    </w:pPr>
    <w:rPr>
      <w:rFonts w:ascii="Arial Narrow" w:hAnsi="Arial Narro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A07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A074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74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A07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A074F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74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A074F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A074F"/>
    <w:rPr>
      <w:i/>
      <w:iCs/>
    </w:rPr>
  </w:style>
  <w:style w:type="character" w:styleId="IntenseEmphasis">
    <w:name w:val="Intense Emphasis"/>
    <w:basedOn w:val="DefaultParagraphFont"/>
    <w:uiPriority w:val="66"/>
    <w:qFormat/>
    <w:rsid w:val="00AA074F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A074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74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74F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74F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74F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styleId="SubtleEmphasis">
    <w:name w:val="Subtle Emphasis"/>
    <w:basedOn w:val="DefaultParagraphFont"/>
    <w:uiPriority w:val="65"/>
    <w:qFormat/>
    <w:rsid w:val="00AA0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AA074F"/>
    <w:pPr>
      <w:ind w:left="708"/>
    </w:pPr>
  </w:style>
  <w:style w:type="paragraph" w:styleId="Quote">
    <w:name w:val="Quote"/>
    <w:basedOn w:val="Normal"/>
    <w:next w:val="Normal"/>
    <w:link w:val="QuoteChar"/>
    <w:uiPriority w:val="73"/>
    <w:qFormat/>
    <w:rsid w:val="00AA0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AA074F"/>
    <w:rPr>
      <w:i/>
      <w:iCs/>
      <w:color w:val="404040" w:themeColor="text1" w:themeTint="BF"/>
      <w:sz w:val="24"/>
      <w:szCs w:val="24"/>
      <w:lang w:val="en-US"/>
    </w:rPr>
  </w:style>
  <w:style w:type="character" w:styleId="BookTitle">
    <w:name w:val="Book Title"/>
    <w:basedOn w:val="DefaultParagraphFont"/>
    <w:uiPriority w:val="69"/>
    <w:qFormat/>
    <w:rsid w:val="00AA074F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68"/>
    <w:qFormat/>
    <w:rsid w:val="00AA074F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67"/>
    <w:qFormat/>
    <w:rsid w:val="00AA074F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AA07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AA074F"/>
    <w:rPr>
      <w:i/>
      <w:i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EF336E"/>
    <w:rPr>
      <w:rFonts w:ascii="Arial Narrow" w:hAnsi="Arial Narrow"/>
      <w:b/>
      <w:bCs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68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5D6187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854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ECD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CD"/>
    <w:rPr>
      <w:b/>
      <w:bCs/>
      <w:lang w:val="en-US"/>
    </w:rPr>
  </w:style>
  <w:style w:type="paragraph" w:styleId="BlockText">
    <w:name w:val="Block Text"/>
    <w:basedOn w:val="Normal"/>
    <w:rsid w:val="00B26AED"/>
    <w:pPr>
      <w:ind w:left="90" w:right="90"/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5941-301D-44D9-A348-33866967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Lage Landen B.V.</Company>
  <LinksUpToDate>false</LinksUpToDate>
  <CharactersWithSpaces>21392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E (Eileen)</dc:creator>
  <cp:lastModifiedBy>Pollack, Nikki</cp:lastModifiedBy>
  <cp:revision>6</cp:revision>
  <cp:lastPrinted>2019-01-11T21:25:00Z</cp:lastPrinted>
  <dcterms:created xsi:type="dcterms:W3CDTF">2023-11-13T18:52:00Z</dcterms:created>
  <dcterms:modified xsi:type="dcterms:W3CDTF">2023-12-04T19:23:00Z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b3033-663f-499e-bc94-6f5c8b35d5ff_Enabled">
    <vt:lpwstr>true</vt:lpwstr>
  </property>
  <property fmtid="{D5CDD505-2E9C-101B-9397-08002B2CF9AE}" pid="3" name="MSIP_Label_ba6b3033-663f-499e-bc94-6f5c8b35d5ff_SetDate">
    <vt:lpwstr>2023-03-27T19:01:17Z</vt:lpwstr>
  </property>
  <property fmtid="{D5CDD505-2E9C-101B-9397-08002B2CF9AE}" pid="4" name="MSIP_Label_ba6b3033-663f-499e-bc94-6f5c8b35d5ff_Method">
    <vt:lpwstr>Privileged</vt:lpwstr>
  </property>
  <property fmtid="{D5CDD505-2E9C-101B-9397-08002B2CF9AE}" pid="5" name="MSIP_Label_ba6b3033-663f-499e-bc94-6f5c8b35d5ff_Name">
    <vt:lpwstr>Internal Use</vt:lpwstr>
  </property>
  <property fmtid="{D5CDD505-2E9C-101B-9397-08002B2CF9AE}" pid="6" name="MSIP_Label_ba6b3033-663f-499e-bc94-6f5c8b35d5ff_SiteId">
    <vt:lpwstr>07751f8b-9617-49d5-9024-85f034f400ec</vt:lpwstr>
  </property>
  <property fmtid="{D5CDD505-2E9C-101B-9397-08002B2CF9AE}" pid="7" name="MSIP_Label_ba6b3033-663f-499e-bc94-6f5c8b35d5ff_ActionId">
    <vt:lpwstr>86626ca1-4cf5-4042-8bd9-c0b9b0785c2a</vt:lpwstr>
  </property>
  <property fmtid="{D5CDD505-2E9C-101B-9397-08002B2CF9AE}" pid="8" name="MSIP_Label_ba6b3033-663f-499e-bc94-6f5c8b35d5ff_ContentBits">
    <vt:lpwstr>0</vt:lpwstr>
  </property>
</Properties>
</file>