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DE58CF">
        <w:t>AR2504</w:t>
      </w:r>
      <w:bookmarkStart w:id="0" w:name="_GoBack"/>
      <w:bookmarkEnd w:id="0"/>
    </w:p>
    <w:p w:rsidR="00283F55" w:rsidRDefault="00283F55" w:rsidP="00FE1629">
      <w:pPr>
        <w:tabs>
          <w:tab w:val="right" w:pos="3060"/>
          <w:tab w:val="left" w:pos="3240"/>
          <w:tab w:val="left" w:pos="7290"/>
        </w:tabs>
        <w:ind w:right="-90"/>
      </w:pPr>
      <w:r>
        <w:tab/>
        <w:t>Contractor:</w:t>
      </w:r>
      <w:r>
        <w:tab/>
      </w:r>
      <w:r w:rsidR="00FE1629" w:rsidRPr="00FE1629">
        <w:rPr>
          <w:rStyle w:val="Strong"/>
        </w:rPr>
        <w:t>Knowledge Services</w:t>
      </w:r>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7E2461"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7E2461"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461" w:rsidRDefault="007E2461" w:rsidP="00ED2DF2">
      <w:pPr>
        <w:spacing w:after="0"/>
      </w:pPr>
      <w:r>
        <w:separator/>
      </w:r>
    </w:p>
  </w:endnote>
  <w:endnote w:type="continuationSeparator" w:id="0">
    <w:p w:rsidR="007E2461" w:rsidRDefault="007E2461"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7E2461">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7E2461">
              <w:rPr>
                <w:noProof/>
                <w:sz w:val="20"/>
                <w:szCs w:val="20"/>
              </w:rPr>
              <w:t>1</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461" w:rsidRDefault="007E2461" w:rsidP="00ED2DF2">
      <w:pPr>
        <w:spacing w:after="0"/>
      </w:pPr>
      <w:r>
        <w:separator/>
      </w:r>
    </w:p>
  </w:footnote>
  <w:footnote w:type="continuationSeparator" w:id="0">
    <w:p w:rsidR="007E2461" w:rsidRDefault="007E2461"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EC2382" w:rsidP="00283F55">
    <w:pPr>
      <w:spacing w:after="0"/>
    </w:pPr>
    <w:r>
      <w:t>Le</w:t>
    </w:r>
    <w:r w:rsidR="00E9510C">
      <w:t xml:space="preserve">d by the State of </w:t>
    </w:r>
    <w:r w:rsidR="00554FA7" w:rsidRPr="00EC2382">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D7197"/>
    <w:rsid w:val="001945A9"/>
    <w:rsid w:val="001A1817"/>
    <w:rsid w:val="00274D34"/>
    <w:rsid w:val="00283F55"/>
    <w:rsid w:val="00311C81"/>
    <w:rsid w:val="003709A7"/>
    <w:rsid w:val="003E4368"/>
    <w:rsid w:val="00430F56"/>
    <w:rsid w:val="00523EDA"/>
    <w:rsid w:val="00554FA7"/>
    <w:rsid w:val="005801EF"/>
    <w:rsid w:val="00611BCE"/>
    <w:rsid w:val="006E62D0"/>
    <w:rsid w:val="00753EFB"/>
    <w:rsid w:val="007576D5"/>
    <w:rsid w:val="0077185A"/>
    <w:rsid w:val="007E2461"/>
    <w:rsid w:val="007F19E6"/>
    <w:rsid w:val="00886675"/>
    <w:rsid w:val="009428BC"/>
    <w:rsid w:val="009F58FE"/>
    <w:rsid w:val="00A227BE"/>
    <w:rsid w:val="00A33FC6"/>
    <w:rsid w:val="00A63102"/>
    <w:rsid w:val="00A74950"/>
    <w:rsid w:val="00A80679"/>
    <w:rsid w:val="00A84B0A"/>
    <w:rsid w:val="00AA6962"/>
    <w:rsid w:val="00AC4AB4"/>
    <w:rsid w:val="00AF1955"/>
    <w:rsid w:val="00B13314"/>
    <w:rsid w:val="00B43D4C"/>
    <w:rsid w:val="00BF5F9C"/>
    <w:rsid w:val="00C0255D"/>
    <w:rsid w:val="00C308A7"/>
    <w:rsid w:val="00CE6847"/>
    <w:rsid w:val="00CF7D19"/>
    <w:rsid w:val="00DD4A95"/>
    <w:rsid w:val="00DE3119"/>
    <w:rsid w:val="00DE561D"/>
    <w:rsid w:val="00DE58CF"/>
    <w:rsid w:val="00E11D4B"/>
    <w:rsid w:val="00E771FD"/>
    <w:rsid w:val="00E9510C"/>
    <w:rsid w:val="00EC2382"/>
    <w:rsid w:val="00ED2DF2"/>
    <w:rsid w:val="00F01753"/>
    <w:rsid w:val="00F77FD5"/>
    <w:rsid w:val="00FC3347"/>
    <w:rsid w:val="00FE1629"/>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E1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5</cp:revision>
  <dcterms:created xsi:type="dcterms:W3CDTF">2016-10-19T23:18:00Z</dcterms:created>
  <dcterms:modified xsi:type="dcterms:W3CDTF">2017-03-09T23:56:00Z</dcterms:modified>
</cp:coreProperties>
</file>