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1BE9A" w14:textId="77777777" w:rsidR="000E0A46" w:rsidRDefault="000E0A46">
      <w:pPr>
        <w:pStyle w:val="BodyText"/>
        <w:rPr>
          <w:sz w:val="20"/>
        </w:rPr>
      </w:pPr>
    </w:p>
    <w:p w14:paraId="230A1102" w14:textId="77777777" w:rsidR="000E0A46" w:rsidRDefault="000E0A46">
      <w:pPr>
        <w:pStyle w:val="BodyText"/>
        <w:rPr>
          <w:sz w:val="20"/>
        </w:rPr>
      </w:pPr>
    </w:p>
    <w:p w14:paraId="543B4541" w14:textId="77777777" w:rsidR="000E0A46" w:rsidRDefault="000E0A46">
      <w:pPr>
        <w:pStyle w:val="BodyText"/>
        <w:spacing w:before="3"/>
        <w:rPr>
          <w:sz w:val="16"/>
        </w:rPr>
      </w:pPr>
    </w:p>
    <w:p w14:paraId="00DCAC0E" w14:textId="4E39D74D" w:rsidR="000E0A46" w:rsidRDefault="007779C9">
      <w:pPr>
        <w:pStyle w:val="BodyText"/>
        <w:spacing w:line="28" w:lineRule="exact"/>
        <w:ind w:left="106"/>
        <w:rPr>
          <w:sz w:val="2"/>
        </w:rPr>
      </w:pPr>
      <w:r>
        <w:rPr>
          <w:noProof/>
          <w:sz w:val="2"/>
        </w:rPr>
        <mc:AlternateContent>
          <mc:Choice Requires="wpg">
            <w:drawing>
              <wp:inline distT="0" distB="0" distL="0" distR="0" wp14:anchorId="526D7039" wp14:editId="64D1586A">
                <wp:extent cx="5179695" cy="17145"/>
                <wp:effectExtent l="10160" t="8890" r="10795" b="2540"/>
                <wp:docPr id="106424576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9695" cy="17145"/>
                          <a:chOff x="0" y="0"/>
                          <a:chExt cx="8157" cy="27"/>
                        </a:xfrm>
                      </wpg:grpSpPr>
                      <wps:wsp>
                        <wps:cNvPr id="408431528" name="Line 4"/>
                        <wps:cNvCnPr>
                          <a:cxnSpLocks noChangeShapeType="1"/>
                        </wps:cNvCnPr>
                        <wps:spPr bwMode="auto">
                          <a:xfrm>
                            <a:off x="0" y="13"/>
                            <a:ext cx="8156" cy="0"/>
                          </a:xfrm>
                          <a:prstGeom prst="line">
                            <a:avLst/>
                          </a:prstGeom>
                          <a:noFill/>
                          <a:ln w="16764">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B3E449" id="Group 3" o:spid="_x0000_s1026" style="width:407.85pt;height:1.35pt;mso-position-horizontal-relative:char;mso-position-vertical-relative:line" coordsize="81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">
                <v:line id="Line 4" o:spid="_x0000_s1027" style="position:absolute;visibility:visible;mso-wrap-style:square" from="0,13" to="815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" strokecolor="#231f20" strokeweight="1.32pt"/>
                <w10:anchorlock/>
              </v:group>
            </w:pict>
          </mc:Fallback>
        </mc:AlternateContent>
      </w:r>
    </w:p>
    <w:p w14:paraId="2CC1359B" w14:textId="77777777" w:rsidR="000E0A46" w:rsidRDefault="000E0A46">
      <w:pPr>
        <w:pStyle w:val="BodyText"/>
        <w:spacing w:before="6"/>
        <w:rPr>
          <w:sz w:val="20"/>
        </w:rPr>
      </w:pPr>
    </w:p>
    <w:p w14:paraId="272F04C2" w14:textId="4956676D" w:rsidR="002218F9" w:rsidRDefault="002218F9">
      <w:pPr>
        <w:spacing w:before="90"/>
        <w:ind w:left="120" w:right="236"/>
        <w:rPr>
          <w:color w:val="231F20"/>
          <w:sz w:val="24"/>
        </w:rPr>
      </w:pPr>
      <w:r w:rsidRPr="002218F9">
        <w:rPr>
          <w:color w:val="231F20"/>
          <w:sz w:val="24"/>
        </w:rPr>
        <w:t xml:space="preserve">In the event of any conflict or inconsistency between the terms and conditions of this Rental Agreement and those of the applicable NASPO ValuePoint Master Agreement (including any Participating Addendum thereto) between Herc and the Purchasing Entity, the terms and conditions of the Master Agreement shall govern and take precedence. The Master Agreement shall control in all respects </w:t>
      </w:r>
      <w:proofErr w:type="gramStart"/>
      <w:r w:rsidRPr="002218F9">
        <w:rPr>
          <w:color w:val="231F20"/>
          <w:sz w:val="24"/>
        </w:rPr>
        <w:t>with regard to</w:t>
      </w:r>
      <w:proofErr w:type="gramEnd"/>
      <w:r w:rsidRPr="002218F9">
        <w:rPr>
          <w:color w:val="231F20"/>
          <w:sz w:val="24"/>
        </w:rPr>
        <w:t xml:space="preserve"> the rights and obligations of the parties.</w:t>
      </w:r>
    </w:p>
    <w:p w14:paraId="13BAFEAC" w14:textId="77777777" w:rsidR="002218F9" w:rsidRDefault="002218F9">
      <w:pPr>
        <w:spacing w:before="90"/>
        <w:ind w:left="120" w:right="236"/>
        <w:rPr>
          <w:color w:val="231F20"/>
          <w:sz w:val="24"/>
        </w:rPr>
      </w:pPr>
    </w:p>
    <w:p w14:paraId="24023B1A" w14:textId="77777777" w:rsidR="000E0A46" w:rsidRDefault="000E0A46">
      <w:pPr>
        <w:pStyle w:val="BodyText"/>
        <w:spacing w:before="3"/>
        <w:rPr>
          <w:sz w:val="24"/>
        </w:rPr>
      </w:pPr>
    </w:p>
    <w:p w14:paraId="04A21F44" w14:textId="72FF8187" w:rsidR="000E0A46" w:rsidRDefault="008F4E5D">
      <w:pPr>
        <w:pStyle w:val="ListParagraph"/>
        <w:numPr>
          <w:ilvl w:val="0"/>
          <w:numId w:val="2"/>
        </w:numPr>
        <w:tabs>
          <w:tab w:val="left" w:pos="480"/>
          <w:tab w:val="left" w:pos="4890"/>
        </w:tabs>
        <w:spacing w:line="259" w:lineRule="auto"/>
        <w:ind w:right="131"/>
      </w:pPr>
      <w:r>
        <w:rPr>
          <w:b/>
          <w:color w:val="231F20"/>
        </w:rPr>
        <w:t xml:space="preserve">RIGHTS TO THE EQUIPMENT: </w:t>
      </w:r>
      <w:r>
        <w:rPr>
          <w:color w:val="231F20"/>
        </w:rPr>
        <w:t>Purchasing Entity represents that the equipment herein is to be used solely and exclusively for business or commercial purposes. The equipment is owned by Herc. Purchasing Entity acknowledges that no one other than Herc may transfer the equipment or any rights or obligations under the</w:t>
      </w:r>
      <w:r>
        <w:rPr>
          <w:color w:val="231F20"/>
          <w:spacing w:val="-11"/>
        </w:rPr>
        <w:t xml:space="preserve"> </w:t>
      </w:r>
      <w:r>
        <w:rPr>
          <w:color w:val="231F20"/>
        </w:rPr>
        <w:t>Rental</w:t>
      </w:r>
      <w:r>
        <w:rPr>
          <w:color w:val="231F20"/>
          <w:spacing w:val="-2"/>
        </w:rPr>
        <w:t xml:space="preserve"> </w:t>
      </w:r>
      <w:r>
        <w:rPr>
          <w:color w:val="231F20"/>
        </w:rPr>
        <w:t>Documentation.</w:t>
      </w:r>
      <w:r>
        <w:rPr>
          <w:color w:val="231F20"/>
        </w:rPr>
        <w:tab/>
        <w:t>Neither Purchasing Entity nor any operators are agents of Herc.  No one may perform major service, repair, or alter the equipment without Herc's prior written approval except for emergencies, which threaten life or property. Purchasing Entity will not suffer any liens or encumbrances to attach to the equipment and will defend, indemnify and hold Herc harmless from all loss, liability and expense by reason</w:t>
      </w:r>
      <w:r>
        <w:rPr>
          <w:color w:val="231F20"/>
          <w:spacing w:val="-4"/>
        </w:rPr>
        <w:t xml:space="preserve"> </w:t>
      </w:r>
      <w:r>
        <w:rPr>
          <w:color w:val="231F20"/>
        </w:rPr>
        <w:t>thereof</w:t>
      </w:r>
      <w:r w:rsidR="00D73F8E">
        <w:rPr>
          <w:color w:val="231F20"/>
        </w:rPr>
        <w:t xml:space="preserve"> to the extent such liens or encumbrances are caused by Purchasing Entity’s actions or omissions</w:t>
      </w:r>
      <w:r>
        <w:rPr>
          <w:color w:val="231F20"/>
        </w:rPr>
        <w:t>.</w:t>
      </w:r>
    </w:p>
    <w:p w14:paraId="5A96221F" w14:textId="64ECE57C" w:rsidR="000E0A46" w:rsidRDefault="008F4E5D">
      <w:pPr>
        <w:pStyle w:val="ListParagraph"/>
        <w:numPr>
          <w:ilvl w:val="0"/>
          <w:numId w:val="2"/>
        </w:numPr>
        <w:tabs>
          <w:tab w:val="left" w:pos="481"/>
        </w:tabs>
        <w:spacing w:line="259" w:lineRule="auto"/>
        <w:ind w:left="480" w:right="378"/>
      </w:pPr>
      <w:r>
        <w:rPr>
          <w:b/>
          <w:color w:val="231F20"/>
        </w:rPr>
        <w:t xml:space="preserve">OPERATION OF THE EQUIPMENT. </w:t>
      </w:r>
      <w:r>
        <w:rPr>
          <w:color w:val="231F20"/>
        </w:rPr>
        <w:t xml:space="preserve">Only Purchasing Entity and the following persons with Purchasing Entity’s permission ("Authorized Operators") may operate the equipment: Purchasing Entity's employees </w:t>
      </w:r>
      <w:proofErr w:type="gramStart"/>
      <w:r>
        <w:rPr>
          <w:color w:val="231F20"/>
        </w:rPr>
        <w:t>in the course of</w:t>
      </w:r>
      <w:proofErr w:type="gramEnd"/>
      <w:r>
        <w:rPr>
          <w:color w:val="231F20"/>
        </w:rPr>
        <w:t xml:space="preserve"> such employee's regular </w:t>
      </w:r>
      <w:proofErr w:type="gramStart"/>
      <w:r>
        <w:rPr>
          <w:color w:val="231F20"/>
        </w:rPr>
        <w:t>employment, and</w:t>
      </w:r>
      <w:proofErr w:type="gramEnd"/>
      <w:r>
        <w:rPr>
          <w:color w:val="231F20"/>
        </w:rPr>
        <w:t xml:space="preserve"> Purchasing Entity’s Owners and agents </w:t>
      </w:r>
      <w:proofErr w:type="gramStart"/>
      <w:r>
        <w:rPr>
          <w:color w:val="231F20"/>
        </w:rPr>
        <w:t>during the course of</w:t>
      </w:r>
      <w:proofErr w:type="gramEnd"/>
      <w:r>
        <w:rPr>
          <w:color w:val="231F20"/>
        </w:rPr>
        <w:t xml:space="preserve"> performing work for Purchasing Entity. Purchasing Entity and all Authorized Operators must be properly qualified to operate the equipment and have a valid operator's license with respect to the equipment where required by law. Use of the equipment by persons other than as provided for in this Paragraph will be at Purchasing Entity's sole</w:t>
      </w:r>
      <w:r>
        <w:rPr>
          <w:color w:val="231F20"/>
          <w:spacing w:val="-18"/>
        </w:rPr>
        <w:t xml:space="preserve"> </w:t>
      </w:r>
      <w:r>
        <w:rPr>
          <w:color w:val="231F20"/>
        </w:rPr>
        <w:t>risk</w:t>
      </w:r>
      <w:r w:rsidR="00D73F8E">
        <w:rPr>
          <w:color w:val="231F20"/>
        </w:rPr>
        <w:t>, except where loss or damage is caused by Herc’s negligence, latent defects, or breaches of warranty</w:t>
      </w:r>
      <w:r>
        <w:rPr>
          <w:color w:val="231F20"/>
        </w:rPr>
        <w:t>.</w:t>
      </w:r>
    </w:p>
    <w:p w14:paraId="4CA7DA1D" w14:textId="2E7D84BB" w:rsidR="000E0A46" w:rsidRDefault="008F4E5D">
      <w:pPr>
        <w:pStyle w:val="ListParagraph"/>
        <w:numPr>
          <w:ilvl w:val="0"/>
          <w:numId w:val="2"/>
        </w:numPr>
        <w:tabs>
          <w:tab w:val="left" w:pos="481"/>
        </w:tabs>
        <w:spacing w:line="259" w:lineRule="auto"/>
        <w:ind w:left="480" w:right="117"/>
      </w:pPr>
      <w:r>
        <w:rPr>
          <w:b/>
          <w:color w:val="231F20"/>
        </w:rPr>
        <w:t xml:space="preserve">PURCHASING ENTITY'S RESPONSIBILITIES.  </w:t>
      </w:r>
      <w:r>
        <w:rPr>
          <w:color w:val="231F20"/>
        </w:rPr>
        <w:t xml:space="preserve">Purchasing Entity must return the equipment to Herc in the same good and clean condition it was in when Purchasing Entity received it, ordinary wear </w:t>
      </w:r>
      <w:r w:rsidR="00D73F8E">
        <w:rPr>
          <w:color w:val="231F20"/>
        </w:rPr>
        <w:t xml:space="preserve">and tear </w:t>
      </w:r>
      <w:r>
        <w:rPr>
          <w:color w:val="231F20"/>
        </w:rPr>
        <w:t>excepted. The equipment must be returned to Herc at the Herc branch from which it was rented</w:t>
      </w:r>
      <w:r w:rsidR="000E66C1">
        <w:rPr>
          <w:color w:val="231F20"/>
        </w:rPr>
        <w:t>, except in cases where delivery and pick-up of the equipment is required</w:t>
      </w:r>
      <w:r>
        <w:rPr>
          <w:color w:val="231F20"/>
        </w:rPr>
        <w:t>. Purchasing Entity acknowledges that it must confirm return receipt of the equipment by Herc at the time the equipment is returned. Until such time as Herc receives actual possession of the equipment, Purchasing Entity agrees to hold said equipment in a safe and secure manner. Purchasing Entity shall notify the renting branch by telephone</w:t>
      </w:r>
      <w:r w:rsidR="000E66C1">
        <w:rPr>
          <w:color w:val="231F20"/>
        </w:rPr>
        <w:t>, email,</w:t>
      </w:r>
      <w:r>
        <w:rPr>
          <w:color w:val="231F20"/>
        </w:rPr>
        <w:t xml:space="preserve"> or fax, prior to any equipment movements between Purchasing Entity’s job sites.  The equipment will be used only in accordance with the manufacturer's instructions within its rated</w:t>
      </w:r>
      <w:r>
        <w:rPr>
          <w:color w:val="231F20"/>
          <w:spacing w:val="-3"/>
        </w:rPr>
        <w:t xml:space="preserve"> </w:t>
      </w:r>
      <w:r>
        <w:rPr>
          <w:color w:val="231F20"/>
        </w:rPr>
        <w:t>capacity.</w:t>
      </w:r>
    </w:p>
    <w:p w14:paraId="5E675A68" w14:textId="17652299" w:rsidR="000E0A46" w:rsidRDefault="008F4E5D">
      <w:pPr>
        <w:pStyle w:val="BodyText"/>
        <w:spacing w:before="154" w:line="259" w:lineRule="auto"/>
        <w:ind w:left="480" w:right="142" w:hanging="1"/>
      </w:pPr>
      <w:r>
        <w:rPr>
          <w:color w:val="231F20"/>
        </w:rPr>
        <w:t xml:space="preserve">Purchasing Entity will promptly notify Herc of any accident, damage or failure involving the equipment and will reasonably cooperate with Herc in gathering information in connection therewith. Purchasing Entity will perform or cause to be performed </w:t>
      </w:r>
      <w:r w:rsidR="005328D8">
        <w:rPr>
          <w:color w:val="231F20"/>
        </w:rPr>
        <w:t xml:space="preserve">routine </w:t>
      </w:r>
      <w:r>
        <w:rPr>
          <w:color w:val="231F20"/>
        </w:rPr>
        <w:t xml:space="preserve">lubrication and readiness checks of the equipment, including but not limited </w:t>
      </w:r>
      <w:proofErr w:type="gramStart"/>
      <w:r>
        <w:rPr>
          <w:color w:val="231F20"/>
        </w:rPr>
        <w:t>to:</w:t>
      </w:r>
      <w:proofErr w:type="gramEnd"/>
      <w:r>
        <w:rPr>
          <w:color w:val="231F20"/>
        </w:rPr>
        <w:t xml:space="preserve"> checking of the equipment before each shift; checking and maintaining crankcase, transmission, cooling and fluid systems daily; and checking tire pressure and battery fluid and charge levels weekly. If the equipment fails to operate properly or becomes in need of repair, Purchasing Entity will immediately cease using same and will immediately notify Herc.</w:t>
      </w:r>
    </w:p>
    <w:p w14:paraId="432838CA" w14:textId="77777777" w:rsidR="000E0A46" w:rsidRDefault="008F4E5D">
      <w:pPr>
        <w:pStyle w:val="ListParagraph"/>
        <w:numPr>
          <w:ilvl w:val="0"/>
          <w:numId w:val="2"/>
        </w:numPr>
        <w:tabs>
          <w:tab w:val="left" w:pos="481"/>
        </w:tabs>
        <w:spacing w:before="158" w:line="259" w:lineRule="auto"/>
        <w:ind w:left="480" w:right="231"/>
      </w:pPr>
      <w:r>
        <w:rPr>
          <w:b/>
          <w:color w:val="231F20"/>
        </w:rPr>
        <w:t xml:space="preserve">RISK OF LOSS. </w:t>
      </w:r>
      <w:r>
        <w:rPr>
          <w:color w:val="231F20"/>
        </w:rPr>
        <w:t xml:space="preserve">All loss of or damage to the equipment, unless such loss or damage results from a </w:t>
      </w:r>
      <w:r>
        <w:rPr>
          <w:color w:val="231F20"/>
        </w:rPr>
        <w:lastRenderedPageBreak/>
        <w:t>latent defect(s) or fault or negligence on the part of Herc, while on rental and in Purchasing Entity's care, custody or control, including, but not limited to, fire, flood, theft, comprehensive losses, collision and rollover, and Acts of God, will be the responsibility of Purchasing Entity and will</w:t>
      </w:r>
      <w:r>
        <w:rPr>
          <w:color w:val="231F20"/>
          <w:spacing w:val="-26"/>
        </w:rPr>
        <w:t xml:space="preserve"> </w:t>
      </w:r>
      <w:r>
        <w:rPr>
          <w:color w:val="231F20"/>
        </w:rPr>
        <w:t>be</w:t>
      </w:r>
    </w:p>
    <w:p w14:paraId="168FFD00" w14:textId="77777777" w:rsidR="000E0A46" w:rsidRDefault="008F4E5D">
      <w:pPr>
        <w:pStyle w:val="BodyText"/>
        <w:spacing w:before="80" w:line="259" w:lineRule="auto"/>
        <w:ind w:left="480" w:right="151"/>
      </w:pPr>
      <w:r>
        <w:rPr>
          <w:color w:val="231F20"/>
        </w:rPr>
        <w:t xml:space="preserve">paid to Herc promptly upon Purchasing Entity's receipt of an invoice therefor. Such responsibility is limited to: (1) reasonable repair cost; </w:t>
      </w:r>
      <w:proofErr w:type="gramStart"/>
      <w:r>
        <w:rPr>
          <w:color w:val="231F20"/>
        </w:rPr>
        <w:t>or,</w:t>
      </w:r>
      <w:proofErr w:type="gramEnd"/>
      <w:r>
        <w:rPr>
          <w:color w:val="231F20"/>
        </w:rPr>
        <w:t xml:space="preserve"> (2) the fair market value of the equipment at the time it is lost or damaged, less its salvage value. THE COST OF LABOR FOR SUCH REPAIRS WILL BE EITHER SUPPLIER’S THEN PREVAILING REASONABLE HOURLY RATE FOR LABOR, POSTED AT THE SUPPLIER BRANCH WHERE THE EQUIPMENT IS TO BE REPAIRED, OR THE REPAIRER'S REASONABLE HOURLY RATE FOR LABOR CHARGED TO SUPPLIER</w:t>
      </w:r>
    </w:p>
    <w:p w14:paraId="2CE99F79" w14:textId="08431964" w:rsidR="000E0A46" w:rsidRDefault="008F4E5D">
      <w:pPr>
        <w:pStyle w:val="BodyText"/>
        <w:spacing w:line="259" w:lineRule="auto"/>
        <w:ind w:left="480" w:right="236"/>
        <w:rPr>
          <w:color w:val="231F20"/>
        </w:rPr>
      </w:pPr>
      <w:r>
        <w:rPr>
          <w:color w:val="231F20"/>
        </w:rPr>
        <w:t xml:space="preserve">FOR SUCH REPAIRS, AS THE CASE MAY BE. Parts will be charged to Purchasing Entity at Herc’s cost as reasonably charged to Herc by the supplier or </w:t>
      </w:r>
      <w:proofErr w:type="gramStart"/>
      <w:r>
        <w:rPr>
          <w:color w:val="231F20"/>
        </w:rPr>
        <w:t>repairer, as the case may be</w:t>
      </w:r>
      <w:proofErr w:type="gramEnd"/>
      <w:r>
        <w:rPr>
          <w:color w:val="231F20"/>
        </w:rPr>
        <w:t>. Use of the equipment by persons other than as provided for herein will be at Purchasing Entity's sole risk</w:t>
      </w:r>
      <w:r w:rsidR="002F7003">
        <w:rPr>
          <w:color w:val="231F20"/>
        </w:rPr>
        <w:t>, except for loss or damage caused by Herc’s fault, negligence, or latent defects</w:t>
      </w:r>
      <w:r>
        <w:rPr>
          <w:color w:val="231F20"/>
        </w:rPr>
        <w:t>.</w:t>
      </w:r>
    </w:p>
    <w:p w14:paraId="06C25AE2" w14:textId="77777777" w:rsidR="002F7003" w:rsidRDefault="002F7003">
      <w:pPr>
        <w:pStyle w:val="BodyText"/>
        <w:spacing w:line="259" w:lineRule="auto"/>
        <w:ind w:left="480" w:right="236"/>
      </w:pPr>
    </w:p>
    <w:p w14:paraId="1997C0D2" w14:textId="776FD0A4" w:rsidR="000E0A46" w:rsidRDefault="00EC1192">
      <w:pPr>
        <w:pStyle w:val="BodyText"/>
        <w:spacing w:line="259" w:lineRule="auto"/>
        <w:ind w:left="480" w:right="148"/>
      </w:pPr>
      <w:r>
        <w:rPr>
          <w:b/>
          <w:color w:val="231F20"/>
        </w:rPr>
        <w:t xml:space="preserve">To the extent permitted by the laws of the Purchasing Entity,  </w:t>
      </w:r>
      <w:r w:rsidR="008F4E5D">
        <w:rPr>
          <w:color w:val="231F20"/>
        </w:rPr>
        <w:t>Purchasing Entity and any Authorized Operator hereby assume all risk of loss or damage</w:t>
      </w:r>
      <w:r w:rsidR="003F5A19">
        <w:rPr>
          <w:color w:val="231F20"/>
        </w:rPr>
        <w:t>,</w:t>
      </w:r>
      <w:r w:rsidR="008F4E5D">
        <w:rPr>
          <w:color w:val="231F20"/>
        </w:rPr>
        <w:t xml:space="preserve"> and waive all claims against Herc</w:t>
      </w:r>
      <w:r w:rsidR="003F5A19">
        <w:rPr>
          <w:color w:val="231F20"/>
        </w:rPr>
        <w:t>,</w:t>
      </w:r>
      <w:r w:rsidR="008F4E5D">
        <w:rPr>
          <w:color w:val="231F20"/>
        </w:rPr>
        <w:t xml:space="preserve"> by reason of any property left, or stored, by Purchasing Entity or any other person in or upon the equipment, and further agree to indemnify and hold harmless Herc, its subsidiary and affiliated companies, parent company and its and their officers, agents and employees, from and against all loss, liability, claim, action or expense, including but not limited to reasonable attorneys' fees, arising out of such loss and damage to the extent such loss or damage is not the result of latent defect(s), fault or negligence of Herc. In the event of concurrent responsibility, each party shall </w:t>
      </w:r>
      <w:r w:rsidR="002F7003">
        <w:rPr>
          <w:color w:val="231F20"/>
        </w:rPr>
        <w:t>be liable in proportion to its fault</w:t>
      </w:r>
      <w:r w:rsidR="008F4E5D">
        <w:rPr>
          <w:color w:val="231F20"/>
        </w:rPr>
        <w:t>.</w:t>
      </w:r>
    </w:p>
    <w:p w14:paraId="6DCD0649" w14:textId="2507C5BF" w:rsidR="000E0A46" w:rsidRDefault="008F4E5D">
      <w:pPr>
        <w:pStyle w:val="ListParagraph"/>
        <w:numPr>
          <w:ilvl w:val="0"/>
          <w:numId w:val="2"/>
        </w:numPr>
        <w:tabs>
          <w:tab w:val="left" w:pos="480"/>
        </w:tabs>
        <w:spacing w:line="259" w:lineRule="auto"/>
        <w:ind w:right="158"/>
      </w:pPr>
      <w:r>
        <w:rPr>
          <w:b/>
          <w:color w:val="231F20"/>
        </w:rPr>
        <w:t xml:space="preserve">INDEMNIFICATION. </w:t>
      </w:r>
      <w:r w:rsidR="00E64296">
        <w:rPr>
          <w:b/>
          <w:color w:val="231F20"/>
        </w:rPr>
        <w:t>To the extent permitted by the laws of the Purchasing Entity</w:t>
      </w:r>
      <w:r w:rsidR="00205310">
        <w:rPr>
          <w:b/>
          <w:color w:val="231F20"/>
        </w:rPr>
        <w:t>, and only to the extent such claim, damage, or cause of action is excluded from Herc’s obligations under the Master Agreement or applicable Participating Addendum</w:t>
      </w:r>
      <w:r w:rsidR="00E64296">
        <w:rPr>
          <w:b/>
          <w:color w:val="231F20"/>
        </w:rPr>
        <w:t xml:space="preserve">, </w:t>
      </w:r>
      <w:r>
        <w:rPr>
          <w:color w:val="231F20"/>
        </w:rPr>
        <w:t xml:space="preserve">Purchasing Entity will defend, indemnify and hold harmless Herc, its subsidiaries, parent company and its and their officers, agents and employees, from and against all loss, liability, claim, action or expense, including reasonable attorneys' fees, by reason of bodily injury, including death, and property damage, sustained by any person or persons, including but not limited to employees of Purchasing Entity, </w:t>
      </w:r>
      <w:r w:rsidR="008F23DF">
        <w:rPr>
          <w:color w:val="231F20"/>
        </w:rPr>
        <w:t xml:space="preserve">resulting from Purchasing Entity’s </w:t>
      </w:r>
      <w:r>
        <w:rPr>
          <w:color w:val="231F20"/>
        </w:rPr>
        <w:t>maintenance, use, possession, storage, operation, erection, dismantling, servicing</w:t>
      </w:r>
      <w:r w:rsidR="00205310">
        <w:rPr>
          <w:color w:val="231F20"/>
        </w:rPr>
        <w:t>,</w:t>
      </w:r>
      <w:r>
        <w:rPr>
          <w:color w:val="231F20"/>
        </w:rPr>
        <w:t xml:space="preserve"> or transportation of the equipment, or Purchasing Entity's failure to comply with the terms of this Agreement. </w:t>
      </w:r>
      <w:r w:rsidR="002F7003">
        <w:rPr>
          <w:color w:val="231F20"/>
        </w:rPr>
        <w:t xml:space="preserve"> Nothing in this section limits or waives the indemnification obligations set forth in the Master Agreement or a Participating Addendum</w:t>
      </w:r>
      <w:r w:rsidR="00581D6B">
        <w:rPr>
          <w:color w:val="231F20"/>
        </w:rPr>
        <w:t>.</w:t>
      </w:r>
    </w:p>
    <w:p w14:paraId="6D772217" w14:textId="6668C123" w:rsidR="000E0A46" w:rsidRDefault="008F4E5D">
      <w:pPr>
        <w:pStyle w:val="ListParagraph"/>
        <w:numPr>
          <w:ilvl w:val="0"/>
          <w:numId w:val="2"/>
        </w:numPr>
        <w:tabs>
          <w:tab w:val="left" w:pos="480"/>
          <w:tab w:val="left" w:pos="4002"/>
        </w:tabs>
        <w:spacing w:line="259" w:lineRule="auto"/>
        <w:ind w:left="478" w:right="137" w:hanging="359"/>
      </w:pPr>
      <w:r>
        <w:rPr>
          <w:b/>
          <w:color w:val="231F20"/>
        </w:rPr>
        <w:t>WARRANTIES AND REMEDIES</w:t>
      </w:r>
      <w:r>
        <w:rPr>
          <w:color w:val="231F20"/>
        </w:rPr>
        <w:t>. Herc warrants that the equipment, upon delivery to Purchasing Entity, will be in good mechanical and merchantable condition. Purchasing Entity acknowledges having examined the Equipment upon its delivery to Purchasing Entity. The Equipment shall be deemed to be accepted by Purchasing Entity upon delivery and subject to the terms and conditions of this Agreement if Purchasing Entity does not notify Herc in writing within 48 hours of delivery of the Equipment of any problem with the Equipment.  If the equipment is found by Purchasing Entity not to be in good mechanical condition, as a result of conditions not the responsibility of Purchasing Entity, nor caused by the fault or negligence of Purchasing Entity or Purchasing Entity’s employees or agents, Purchasing Entity will notify Herc within 48 hours of delivery, whereupon Herc will suitably replace the equipment as soon as is reasonably possible during Purchasing Entity’s normal operations. Purchasing Entity’s payment obligations shall commence on delivery of the replacement equipment or the</w:t>
      </w:r>
      <w:r>
        <w:rPr>
          <w:color w:val="231F20"/>
          <w:spacing w:val="-8"/>
        </w:rPr>
        <w:t xml:space="preserve"> </w:t>
      </w:r>
      <w:r>
        <w:rPr>
          <w:color w:val="231F20"/>
        </w:rPr>
        <w:t>repaired</w:t>
      </w:r>
      <w:r>
        <w:rPr>
          <w:color w:val="231F20"/>
          <w:spacing w:val="-2"/>
        </w:rPr>
        <w:t xml:space="preserve"> </w:t>
      </w:r>
      <w:r>
        <w:rPr>
          <w:color w:val="231F20"/>
        </w:rPr>
        <w:t>equipment.</w:t>
      </w:r>
      <w:r>
        <w:rPr>
          <w:color w:val="231F20"/>
        </w:rPr>
        <w:tab/>
        <w:t xml:space="preserve">If Herc removes the equipment, it shall no longer be subject to the Agreement. Purchasing Entity shall pay to Herc all amounts due for damage to equipment which is the responsibility of Purchasing Entity. Purchasing Entity agrees to provide reasonable </w:t>
      </w:r>
      <w:r>
        <w:rPr>
          <w:color w:val="231F20"/>
        </w:rPr>
        <w:lastRenderedPageBreak/>
        <w:t xml:space="preserve">access to the equipment to Herc's representatives. </w:t>
      </w:r>
      <w:r w:rsidR="00581D6B">
        <w:rPr>
          <w:color w:val="231F20"/>
        </w:rPr>
        <w:t xml:space="preserve"> Not</w:t>
      </w:r>
      <w:r w:rsidR="000E66C1">
        <w:rPr>
          <w:color w:val="231F20"/>
        </w:rPr>
        <w:t>h</w:t>
      </w:r>
      <w:r w:rsidR="00581D6B">
        <w:rPr>
          <w:color w:val="231F20"/>
        </w:rPr>
        <w:t xml:space="preserve">ing in this section limits or waives any statutory, implied, or express warranty that may be incorporated by law or required by the Master Agreement. </w:t>
      </w:r>
      <w:r>
        <w:rPr>
          <w:color w:val="231F20"/>
        </w:rPr>
        <w:t>Purchasing Entity waives all indirect, incidental and consequential damages arising out of or in connection with the renting, maintenance, use, operation, storage, erection, dismantling or transportation of the</w:t>
      </w:r>
      <w:r>
        <w:rPr>
          <w:color w:val="231F20"/>
          <w:spacing w:val="-4"/>
        </w:rPr>
        <w:t xml:space="preserve"> </w:t>
      </w:r>
      <w:r>
        <w:rPr>
          <w:color w:val="231F20"/>
        </w:rPr>
        <w:t>equipment</w:t>
      </w:r>
      <w:r w:rsidR="00581D6B">
        <w:rPr>
          <w:color w:val="231F20"/>
        </w:rPr>
        <w:t>, except to the extent such damages result from Herc’s gross negligence, willful misconduct, breach of indemnity obligations, bodily injury or death, or as otherwise prohibited by law</w:t>
      </w:r>
      <w:r>
        <w:rPr>
          <w:color w:val="231F20"/>
        </w:rPr>
        <w:t>.</w:t>
      </w:r>
    </w:p>
    <w:p w14:paraId="2571DE49" w14:textId="5EE4700A" w:rsidR="000E0A46" w:rsidRDefault="008F4E5D">
      <w:pPr>
        <w:pStyle w:val="ListParagraph"/>
        <w:numPr>
          <w:ilvl w:val="0"/>
          <w:numId w:val="2"/>
        </w:numPr>
        <w:tabs>
          <w:tab w:val="left" w:pos="480"/>
        </w:tabs>
        <w:spacing w:before="80" w:line="259" w:lineRule="auto"/>
        <w:ind w:right="136"/>
      </w:pPr>
      <w:r>
        <w:rPr>
          <w:b/>
          <w:color w:val="231F20"/>
        </w:rPr>
        <w:t xml:space="preserve">REFUELING OPTIONS. </w:t>
      </w:r>
      <w:r>
        <w:rPr>
          <w:color w:val="231F20"/>
        </w:rPr>
        <w:t xml:space="preserve">Herc agrees to provide the equipment to Purchasing Entity with full fuel tanks. Purchasing Entity may return the equipment with full fuel tanks(s) or allow Herc to refuel the equipment. If Purchasing Entity returns the equipment with the fuel tank(s) less than full, Purchasing Entity will pay to Herc a sum equal to Herc’s refueling service charge </w:t>
      </w:r>
      <w:r w:rsidR="00581D6B">
        <w:rPr>
          <w:color w:val="231F20"/>
        </w:rPr>
        <w:t>specified in the Master Agreement or a Participating Addendum</w:t>
      </w:r>
      <w:r>
        <w:rPr>
          <w:color w:val="231F20"/>
        </w:rPr>
        <w:t xml:space="preserve"> for the number of gallons required to refill the tank(s) at the time of</w:t>
      </w:r>
      <w:r>
        <w:rPr>
          <w:color w:val="231F20"/>
          <w:spacing w:val="-1"/>
        </w:rPr>
        <w:t xml:space="preserve"> </w:t>
      </w:r>
      <w:r>
        <w:rPr>
          <w:color w:val="231F20"/>
        </w:rPr>
        <w:t>return.</w:t>
      </w:r>
    </w:p>
    <w:p w14:paraId="1C695636" w14:textId="77777777" w:rsidR="000E0A46" w:rsidRDefault="000E0A46">
      <w:pPr>
        <w:pStyle w:val="BodyText"/>
        <w:spacing w:before="3"/>
        <w:rPr>
          <w:sz w:val="24"/>
        </w:rPr>
      </w:pPr>
    </w:p>
    <w:p w14:paraId="29EA5D60" w14:textId="77777777" w:rsidR="000E0A46" w:rsidRDefault="000E0A46">
      <w:pPr>
        <w:pStyle w:val="BodyText"/>
        <w:rPr>
          <w:b/>
          <w:sz w:val="20"/>
        </w:rPr>
      </w:pPr>
    </w:p>
    <w:p w14:paraId="1F0CFC5A" w14:textId="11B347E1" w:rsidR="000E0A46" w:rsidRDefault="007779C9">
      <w:pPr>
        <w:pStyle w:val="BodyText"/>
        <w:spacing w:before="5"/>
        <w:rPr>
          <w:b/>
          <w:sz w:val="26"/>
        </w:rPr>
      </w:pPr>
      <w:r>
        <w:rPr>
          <w:noProof/>
        </w:rPr>
        <mc:AlternateContent>
          <mc:Choice Requires="wps">
            <w:drawing>
              <wp:anchor distT="0" distB="0" distL="0" distR="0" simplePos="0" relativeHeight="251659264" behindDoc="1" locked="0" layoutInCell="1" allowOverlap="1" wp14:anchorId="4B7726D4" wp14:editId="1A177A15">
                <wp:simplePos x="0" y="0"/>
                <wp:positionH relativeFrom="page">
                  <wp:posOffset>914400</wp:posOffset>
                </wp:positionH>
                <wp:positionV relativeFrom="paragraph">
                  <wp:posOffset>227330</wp:posOffset>
                </wp:positionV>
                <wp:extent cx="5700395" cy="1270"/>
                <wp:effectExtent l="0" t="0" r="0" b="0"/>
                <wp:wrapTopAndBottom/>
                <wp:docPr id="110077182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0395" cy="1270"/>
                        </a:xfrm>
                        <a:custGeom>
                          <a:avLst/>
                          <a:gdLst>
                            <a:gd name="T0" fmla="+- 0 1440 1440"/>
                            <a:gd name="T1" fmla="*/ T0 w 8977"/>
                            <a:gd name="T2" fmla="+- 0 10416 1440"/>
                            <a:gd name="T3" fmla="*/ T2 w 8977"/>
                          </a:gdLst>
                          <a:ahLst/>
                          <a:cxnLst>
                            <a:cxn ang="0">
                              <a:pos x="T1" y="0"/>
                            </a:cxn>
                            <a:cxn ang="0">
                              <a:pos x="T3" y="0"/>
                            </a:cxn>
                          </a:cxnLst>
                          <a:rect l="0" t="0" r="r" b="b"/>
                          <a:pathLst>
                            <a:path w="8977">
                              <a:moveTo>
                                <a:pt x="0" y="0"/>
                              </a:moveTo>
                              <a:lnTo>
                                <a:pt x="8976" y="0"/>
                              </a:lnTo>
                            </a:path>
                          </a:pathLst>
                        </a:custGeom>
                        <a:noFill/>
                        <a:ln w="1676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74329" id="Freeform 2" o:spid="_x0000_s1026" style="position:absolute;margin-left:1in;margin-top:17.9pt;width:448.8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" path="m,l8976,e" filled="f" strokecolor="#231f20" strokeweight="1.32pt">
                <v:path arrowok="t" o:connecttype="custom" o:connectlocs="0,0;5699760,0" o:connectangles="0,0"/>
                <w10:wrap type="topAndBottom" anchorx="page"/>
              </v:shape>
            </w:pict>
          </mc:Fallback>
        </mc:AlternateContent>
      </w:r>
    </w:p>
    <w:sectPr w:rsidR="000E0A46">
      <w:headerReference w:type="default" r:id="rId7"/>
      <w:footerReference w:type="default" r:id="rId8"/>
      <w:pgSz w:w="12240" w:h="15840"/>
      <w:pgMar w:top="1340" w:right="1340" w:bottom="1220" w:left="1320" w:header="754" w:footer="10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CDBD5" w14:textId="77777777" w:rsidR="00465685" w:rsidRDefault="00465685">
      <w:r>
        <w:separator/>
      </w:r>
    </w:p>
  </w:endnote>
  <w:endnote w:type="continuationSeparator" w:id="0">
    <w:p w14:paraId="2777E9B9" w14:textId="77777777" w:rsidR="00465685" w:rsidRDefault="00465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F15BC" w14:textId="6D278900" w:rsidR="000E0A46" w:rsidRDefault="007779C9">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05313B86" wp14:editId="293EE6C3">
              <wp:simplePos x="0" y="0"/>
              <wp:positionH relativeFrom="page">
                <wp:posOffset>6750050</wp:posOffset>
              </wp:positionH>
              <wp:positionV relativeFrom="page">
                <wp:posOffset>9262745</wp:posOffset>
              </wp:positionV>
              <wp:extent cx="146050" cy="180340"/>
              <wp:effectExtent l="0" t="0" r="0" b="0"/>
              <wp:wrapNone/>
              <wp:docPr id="145236814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53E33" w14:textId="77777777" w:rsidR="000E0A46" w:rsidRDefault="008F4E5D">
                          <w:pPr>
                            <w:pStyle w:val="BodyText"/>
                            <w:spacing w:before="10"/>
                            <w:ind w:left="60"/>
                          </w:pPr>
                          <w:r>
                            <w:fldChar w:fldCharType="begin"/>
                          </w:r>
                          <w:r>
                            <w:rPr>
                              <w:color w:val="231F20"/>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313B86" id="_x0000_t202" coordsize="21600,21600" o:spt="202" path="m,l,21600r21600,l21600,xe">
              <v:stroke joinstyle="miter"/>
              <v:path gradientshapeok="t" o:connecttype="rect"/>
            </v:shapetype>
            <v:shape id="Text Box 1" o:spid="_x0000_s1026" type="#_x0000_t202" style="position:absolute;margin-left:531.5pt;margin-top:729.35pt;width:11.5pt;height:1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" filled="f" stroked="f">
              <v:textbox inset="0,0,0,0">
                <w:txbxContent>
                  <w:p w14:paraId="4CC53E33" w14:textId="77777777" w:rsidR="000E0A46" w:rsidRDefault="008F4E5D">
                    <w:pPr>
                      <w:pStyle w:val="BodyText"/>
                      <w:spacing w:before="10"/>
                      <w:ind w:left="60"/>
                    </w:pPr>
                    <w:r>
                      <w:fldChar w:fldCharType="begin"/>
                    </w:r>
                    <w:r>
                      <w:rPr>
                        <w:color w:val="231F20"/>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0CAED" w14:textId="77777777" w:rsidR="00465685" w:rsidRDefault="00465685">
      <w:r>
        <w:separator/>
      </w:r>
    </w:p>
  </w:footnote>
  <w:footnote w:type="continuationSeparator" w:id="0">
    <w:p w14:paraId="353F7495" w14:textId="77777777" w:rsidR="00465685" w:rsidRDefault="00465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6BE7" w14:textId="77777777" w:rsidR="000E0A46" w:rsidRDefault="008F4E5D">
    <w:pPr>
      <w:pStyle w:val="BodyText"/>
      <w:spacing w:line="14" w:lineRule="auto"/>
      <w:rPr>
        <w:sz w:val="20"/>
      </w:rPr>
    </w:pPr>
    <w:r>
      <w:rPr>
        <w:noProof/>
      </w:rPr>
      <w:drawing>
        <wp:anchor distT="0" distB="0" distL="0" distR="0" simplePos="0" relativeHeight="251657216" behindDoc="1" locked="0" layoutInCell="1" allowOverlap="1" wp14:anchorId="1229F482" wp14:editId="6E95D5A0">
          <wp:simplePos x="0" y="0"/>
          <wp:positionH relativeFrom="page">
            <wp:posOffset>4693932</wp:posOffset>
          </wp:positionH>
          <wp:positionV relativeFrom="page">
            <wp:posOffset>478536</wp:posOffset>
          </wp:positionV>
          <wp:extent cx="2167128" cy="36575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167128" cy="36575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9FF"/>
    <w:multiLevelType w:val="multilevel"/>
    <w:tmpl w:val="95BCDE08"/>
    <w:lvl w:ilvl="0">
      <w:start w:val="1"/>
      <w:numFmt w:val="decimal"/>
      <w:lvlText w:val="%1"/>
      <w:lvlJc w:val="left"/>
      <w:pPr>
        <w:ind w:left="820" w:hanging="701"/>
        <w:jc w:val="left"/>
      </w:pPr>
      <w:rPr>
        <w:rFonts w:hint="default"/>
      </w:rPr>
    </w:lvl>
    <w:lvl w:ilvl="1">
      <w:start w:val="4"/>
      <w:numFmt w:val="decimal"/>
      <w:lvlText w:val="%1.%2"/>
      <w:lvlJc w:val="left"/>
      <w:pPr>
        <w:ind w:left="820" w:hanging="701"/>
        <w:jc w:val="left"/>
      </w:pPr>
      <w:rPr>
        <w:rFonts w:hint="default"/>
      </w:rPr>
    </w:lvl>
    <w:lvl w:ilvl="2">
      <w:start w:val="3"/>
      <w:numFmt w:val="decimal"/>
      <w:lvlText w:val="%1.%2.%3."/>
      <w:lvlJc w:val="left"/>
      <w:pPr>
        <w:ind w:left="820" w:hanging="701"/>
        <w:jc w:val="left"/>
      </w:pPr>
      <w:rPr>
        <w:rFonts w:ascii="Times New Roman" w:eastAsia="Times New Roman" w:hAnsi="Times New Roman" w:cs="Times New Roman" w:hint="default"/>
        <w:b/>
        <w:bCs/>
        <w:color w:val="231F20"/>
        <w:w w:val="99"/>
        <w:sz w:val="28"/>
        <w:szCs w:val="28"/>
        <w:u w:val="thick" w:color="231F20"/>
      </w:rPr>
    </w:lvl>
    <w:lvl w:ilvl="3">
      <w:numFmt w:val="bullet"/>
      <w:lvlText w:val=""/>
      <w:lvlJc w:val="left"/>
      <w:pPr>
        <w:ind w:left="840" w:hanging="360"/>
      </w:pPr>
      <w:rPr>
        <w:rFonts w:ascii="Symbol" w:eastAsia="Symbol" w:hAnsi="Symbol" w:cs="Symbol" w:hint="default"/>
        <w:color w:val="231F20"/>
        <w:w w:val="100"/>
        <w:sz w:val="20"/>
        <w:szCs w:val="20"/>
      </w:rPr>
    </w:lvl>
    <w:lvl w:ilvl="4">
      <w:numFmt w:val="bullet"/>
      <w:lvlText w:val="•"/>
      <w:lvlJc w:val="left"/>
      <w:pPr>
        <w:ind w:left="3753" w:hanging="360"/>
      </w:pPr>
      <w:rPr>
        <w:rFonts w:hint="default"/>
      </w:rPr>
    </w:lvl>
    <w:lvl w:ilvl="5">
      <w:numFmt w:val="bullet"/>
      <w:lvlText w:val="•"/>
      <w:lvlJc w:val="left"/>
      <w:pPr>
        <w:ind w:left="4724" w:hanging="360"/>
      </w:pPr>
      <w:rPr>
        <w:rFonts w:hint="default"/>
      </w:rPr>
    </w:lvl>
    <w:lvl w:ilvl="6">
      <w:numFmt w:val="bullet"/>
      <w:lvlText w:val="•"/>
      <w:lvlJc w:val="left"/>
      <w:pPr>
        <w:ind w:left="5695" w:hanging="360"/>
      </w:pPr>
      <w:rPr>
        <w:rFonts w:hint="default"/>
      </w:rPr>
    </w:lvl>
    <w:lvl w:ilvl="7">
      <w:numFmt w:val="bullet"/>
      <w:lvlText w:val="•"/>
      <w:lvlJc w:val="left"/>
      <w:pPr>
        <w:ind w:left="6666" w:hanging="360"/>
      </w:pPr>
      <w:rPr>
        <w:rFonts w:hint="default"/>
      </w:rPr>
    </w:lvl>
    <w:lvl w:ilvl="8">
      <w:numFmt w:val="bullet"/>
      <w:lvlText w:val="•"/>
      <w:lvlJc w:val="left"/>
      <w:pPr>
        <w:ind w:left="7637" w:hanging="360"/>
      </w:pPr>
      <w:rPr>
        <w:rFonts w:hint="default"/>
      </w:rPr>
    </w:lvl>
  </w:abstractNum>
  <w:abstractNum w:abstractNumId="1" w15:restartNumberingAfterBreak="0">
    <w:nsid w:val="57D70C64"/>
    <w:multiLevelType w:val="hybridMultilevel"/>
    <w:tmpl w:val="F558CD2A"/>
    <w:lvl w:ilvl="0" w:tplc="81368C5A">
      <w:start w:val="1"/>
      <w:numFmt w:val="decimal"/>
      <w:lvlText w:val="%1."/>
      <w:lvlJc w:val="left"/>
      <w:pPr>
        <w:ind w:left="479" w:hanging="360"/>
        <w:jc w:val="left"/>
      </w:pPr>
      <w:rPr>
        <w:rFonts w:ascii="Times New Roman" w:eastAsia="Times New Roman" w:hAnsi="Times New Roman" w:cs="Times New Roman" w:hint="default"/>
        <w:color w:val="231F20"/>
        <w:w w:val="99"/>
        <w:sz w:val="22"/>
        <w:szCs w:val="22"/>
      </w:rPr>
    </w:lvl>
    <w:lvl w:ilvl="1" w:tplc="02BE8536">
      <w:numFmt w:val="bullet"/>
      <w:lvlText w:val="•"/>
      <w:lvlJc w:val="left"/>
      <w:pPr>
        <w:ind w:left="1390" w:hanging="360"/>
      </w:pPr>
      <w:rPr>
        <w:rFonts w:hint="default"/>
      </w:rPr>
    </w:lvl>
    <w:lvl w:ilvl="2" w:tplc="D7101820">
      <w:numFmt w:val="bullet"/>
      <w:lvlText w:val="•"/>
      <w:lvlJc w:val="left"/>
      <w:pPr>
        <w:ind w:left="2300" w:hanging="360"/>
      </w:pPr>
      <w:rPr>
        <w:rFonts w:hint="default"/>
      </w:rPr>
    </w:lvl>
    <w:lvl w:ilvl="3" w:tplc="E72E7B40">
      <w:numFmt w:val="bullet"/>
      <w:lvlText w:val="•"/>
      <w:lvlJc w:val="left"/>
      <w:pPr>
        <w:ind w:left="3210" w:hanging="360"/>
      </w:pPr>
      <w:rPr>
        <w:rFonts w:hint="default"/>
      </w:rPr>
    </w:lvl>
    <w:lvl w:ilvl="4" w:tplc="D30E4C98">
      <w:numFmt w:val="bullet"/>
      <w:lvlText w:val="•"/>
      <w:lvlJc w:val="left"/>
      <w:pPr>
        <w:ind w:left="4120" w:hanging="360"/>
      </w:pPr>
      <w:rPr>
        <w:rFonts w:hint="default"/>
      </w:rPr>
    </w:lvl>
    <w:lvl w:ilvl="5" w:tplc="EBA245AA">
      <w:numFmt w:val="bullet"/>
      <w:lvlText w:val="•"/>
      <w:lvlJc w:val="left"/>
      <w:pPr>
        <w:ind w:left="5030" w:hanging="360"/>
      </w:pPr>
      <w:rPr>
        <w:rFonts w:hint="default"/>
      </w:rPr>
    </w:lvl>
    <w:lvl w:ilvl="6" w:tplc="DF66EA58">
      <w:numFmt w:val="bullet"/>
      <w:lvlText w:val="•"/>
      <w:lvlJc w:val="left"/>
      <w:pPr>
        <w:ind w:left="5940" w:hanging="360"/>
      </w:pPr>
      <w:rPr>
        <w:rFonts w:hint="default"/>
      </w:rPr>
    </w:lvl>
    <w:lvl w:ilvl="7" w:tplc="CFE4E2E4">
      <w:numFmt w:val="bullet"/>
      <w:lvlText w:val="•"/>
      <w:lvlJc w:val="left"/>
      <w:pPr>
        <w:ind w:left="6850" w:hanging="360"/>
      </w:pPr>
      <w:rPr>
        <w:rFonts w:hint="default"/>
      </w:rPr>
    </w:lvl>
    <w:lvl w:ilvl="8" w:tplc="F4864E20">
      <w:numFmt w:val="bullet"/>
      <w:lvlText w:val="•"/>
      <w:lvlJc w:val="left"/>
      <w:pPr>
        <w:ind w:left="7760" w:hanging="360"/>
      </w:pPr>
      <w:rPr>
        <w:rFonts w:hint="default"/>
      </w:rPr>
    </w:lvl>
  </w:abstractNum>
  <w:num w:numId="1" w16cid:durableId="56130347">
    <w:abstractNumId w:val="0"/>
  </w:num>
  <w:num w:numId="2" w16cid:durableId="1958024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46"/>
    <w:rsid w:val="000E0A46"/>
    <w:rsid w:val="000E262C"/>
    <w:rsid w:val="000E66C1"/>
    <w:rsid w:val="001F514C"/>
    <w:rsid w:val="00205310"/>
    <w:rsid w:val="002218F9"/>
    <w:rsid w:val="002F7003"/>
    <w:rsid w:val="00330E7A"/>
    <w:rsid w:val="003F5A19"/>
    <w:rsid w:val="00403217"/>
    <w:rsid w:val="00465685"/>
    <w:rsid w:val="0049557B"/>
    <w:rsid w:val="0049693A"/>
    <w:rsid w:val="005328D8"/>
    <w:rsid w:val="00581D6B"/>
    <w:rsid w:val="006C282A"/>
    <w:rsid w:val="007779C9"/>
    <w:rsid w:val="007D736F"/>
    <w:rsid w:val="008F23DF"/>
    <w:rsid w:val="008F4E5D"/>
    <w:rsid w:val="00A656A2"/>
    <w:rsid w:val="00C823E7"/>
    <w:rsid w:val="00D73F8E"/>
    <w:rsid w:val="00D77CCA"/>
    <w:rsid w:val="00E31278"/>
    <w:rsid w:val="00E63AEE"/>
    <w:rsid w:val="00E64296"/>
    <w:rsid w:val="00EC1192"/>
    <w:rsid w:val="00F826E7"/>
    <w:rsid w:val="00FA6B0B"/>
    <w:rsid w:val="00FB6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6830A"/>
  <w15:docId w15:val="{38FF942F-E60A-4833-9313-A9A7C16B6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6"/>
      <w:ind w:left="840"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Revision">
    <w:name w:val="Revision"/>
    <w:hidden/>
    <w:uiPriority w:val="99"/>
    <w:semiHidden/>
    <w:rsid w:val="00D73F8E"/>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F7003"/>
    <w:rPr>
      <w:sz w:val="16"/>
      <w:szCs w:val="16"/>
    </w:rPr>
  </w:style>
  <w:style w:type="paragraph" w:styleId="CommentText">
    <w:name w:val="annotation text"/>
    <w:basedOn w:val="Normal"/>
    <w:link w:val="CommentTextChar"/>
    <w:uiPriority w:val="99"/>
    <w:unhideWhenUsed/>
    <w:rsid w:val="002F7003"/>
    <w:rPr>
      <w:sz w:val="20"/>
      <w:szCs w:val="20"/>
    </w:rPr>
  </w:style>
  <w:style w:type="character" w:customStyle="1" w:styleId="CommentTextChar">
    <w:name w:val="Comment Text Char"/>
    <w:basedOn w:val="DefaultParagraphFont"/>
    <w:link w:val="CommentText"/>
    <w:uiPriority w:val="99"/>
    <w:rsid w:val="002F70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F7003"/>
    <w:rPr>
      <w:b/>
      <w:bCs/>
    </w:rPr>
  </w:style>
  <w:style w:type="character" w:customStyle="1" w:styleId="CommentSubjectChar">
    <w:name w:val="Comment Subject Char"/>
    <w:basedOn w:val="CommentTextChar"/>
    <w:link w:val="CommentSubject"/>
    <w:uiPriority w:val="99"/>
    <w:semiHidden/>
    <w:rsid w:val="002F700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F89F33A-2E33-484F-B488-B7ED6666229E}">
  <we:reference id="WA200002124" version="2.1.0.0" store="Omex" storeType="OMEX"/>
  <we:alternateReferences>
    <we:reference id="WA200002124" version="2.1.0.0" store="WA200002124"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12</TotalTime>
  <Pages>3</Pages>
  <Words>1378</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Microsoft Word - Bidder Profile - Draft</vt:lpstr>
    </vt:vector>
  </TitlesOfParts>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Bidder Profile - Draft</dc:title>
  <dc:creator>zmiller</dc:creator>
  <cp:lastModifiedBy>Tia Corbett</cp:lastModifiedBy>
  <cp:revision>4</cp:revision>
  <dcterms:created xsi:type="dcterms:W3CDTF">2025-09-17T15:09:00Z</dcterms:created>
  <dcterms:modified xsi:type="dcterms:W3CDTF">2025-09-17T15:13:00Z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2025-06-24T00:00:00Z</vt:filetime>
  </property>
  <property fmtid="{D5CDD505-2E9C-101B-9397-08002B2CF9AE}" pid="3" name="Creator">
    <vt:lpwstr>PScript5.dll Version 5.2.2</vt:lpwstr>
  </property>
  <property fmtid="{D5CDD505-2E9C-101B-9397-08002B2CF9AE}" pid="4" name="LastSaved">
    <vt:filetime>2025-08-21T00:00:00Z</vt:filetime>
  </property>
</Properties>
</file>