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BB837" w14:textId="4D47128F" w:rsidR="0060241E" w:rsidRPr="00D04B61" w:rsidRDefault="000601D7" w:rsidP="005A2329">
      <w:pPr>
        <w:pStyle w:val="HeadingManual2"/>
        <w:rPr>
          <w:rFonts w:cs="Arial"/>
          <w:b w:val="0"/>
          <w:sz w:val="28"/>
          <w:szCs w:val="28"/>
        </w:rPr>
      </w:pPr>
      <w:r>
        <w:t>Gainwell’s Immunization Solution</w:t>
      </w:r>
    </w:p>
    <w:p w14:paraId="4687E029" w14:textId="47F98D64" w:rsidR="00AB2D17" w:rsidRPr="00F56EAA" w:rsidRDefault="007C20A3" w:rsidP="007D4202">
      <w:pPr>
        <w:pStyle w:val="BodyText"/>
      </w:pPr>
      <w:r w:rsidRPr="007C20A3">
        <w:t xml:space="preserve">Gainwell has more than 25 years of </w:t>
      </w:r>
      <w:r w:rsidR="00524F99">
        <w:t>Immunization Information System (</w:t>
      </w:r>
      <w:r w:rsidRPr="007C20A3">
        <w:t>IIS</w:t>
      </w:r>
      <w:r w:rsidR="00524F99">
        <w:t>)</w:t>
      </w:r>
      <w:r w:rsidRPr="007C20A3">
        <w:t xml:space="preserve"> software development, operation</w:t>
      </w:r>
      <w:r w:rsidR="004F4A43">
        <w:t>s</w:t>
      </w:r>
      <w:r w:rsidRPr="007C20A3">
        <w:t>, and maintenance</w:t>
      </w:r>
      <w:r w:rsidR="001378E4">
        <w:t xml:space="preserve"> experience</w:t>
      </w:r>
      <w:r w:rsidRPr="007C20A3">
        <w:t xml:space="preserve">. </w:t>
      </w:r>
      <w:r w:rsidR="00AB2D17" w:rsidRPr="00F56EAA">
        <w:t xml:space="preserve">With our extensive history and </w:t>
      </w:r>
      <w:r w:rsidR="00703765">
        <w:t>accomplishments</w:t>
      </w:r>
      <w:r w:rsidR="00AB2D17" w:rsidRPr="00F56EAA">
        <w:t xml:space="preserve"> in public health support, Gainwell is a leading provider of IIS solutions and services that use technology to:</w:t>
      </w:r>
    </w:p>
    <w:p w14:paraId="65AF6780" w14:textId="44394914" w:rsidR="00AB2D17" w:rsidRPr="00215584" w:rsidRDefault="00AB2D17" w:rsidP="00C93DF3">
      <w:pPr>
        <w:pStyle w:val="Bullet1Double"/>
        <w:numPr>
          <w:ilvl w:val="0"/>
          <w:numId w:val="52"/>
        </w:numPr>
      </w:pPr>
      <w:r w:rsidRPr="00215584">
        <w:t xml:space="preserve">Verify </w:t>
      </w:r>
      <w:r w:rsidR="76EA4F20">
        <w:t>and forecast</w:t>
      </w:r>
      <w:r>
        <w:t xml:space="preserve"> </w:t>
      </w:r>
      <w:r w:rsidRPr="00215584">
        <w:t>accurate immunization administration</w:t>
      </w:r>
    </w:p>
    <w:p w14:paraId="1522833A" w14:textId="03E8512A" w:rsidR="00AB2D17" w:rsidRPr="00215584" w:rsidRDefault="00AB2D17" w:rsidP="00C93DF3">
      <w:pPr>
        <w:pStyle w:val="Bullet1Double"/>
        <w:numPr>
          <w:ilvl w:val="0"/>
          <w:numId w:val="52"/>
        </w:numPr>
      </w:pPr>
      <w:r w:rsidRPr="00215584">
        <w:t>Increase physician adoption of IIS</w:t>
      </w:r>
    </w:p>
    <w:p w14:paraId="681106DC" w14:textId="027E77F3" w:rsidR="00AB2D17" w:rsidRPr="00215584" w:rsidRDefault="00AB2D17" w:rsidP="00C93DF3">
      <w:pPr>
        <w:pStyle w:val="Bullet1Double"/>
        <w:numPr>
          <w:ilvl w:val="0"/>
          <w:numId w:val="52"/>
        </w:numPr>
      </w:pPr>
      <w:r w:rsidRPr="00215584">
        <w:t>Raise overall immunization rates</w:t>
      </w:r>
    </w:p>
    <w:p w14:paraId="70410800" w14:textId="48CC67E3" w:rsidR="00AB2D17" w:rsidRPr="00215584" w:rsidRDefault="00AB2D17" w:rsidP="00C93DF3">
      <w:pPr>
        <w:pStyle w:val="Bullet1Double"/>
        <w:numPr>
          <w:ilvl w:val="0"/>
          <w:numId w:val="52"/>
        </w:numPr>
      </w:pPr>
      <w:r w:rsidRPr="00215584">
        <w:t>Improve public health outcomes</w:t>
      </w:r>
    </w:p>
    <w:p w14:paraId="7BD8C65F" w14:textId="5A85C6D0" w:rsidR="00446824" w:rsidRPr="00F56EAA" w:rsidRDefault="00AB2D17" w:rsidP="007D4202">
      <w:pPr>
        <w:pStyle w:val="BodyText"/>
      </w:pPr>
      <w:r w:rsidRPr="00F56EAA">
        <w:t xml:space="preserve">Our proven track record is complemented by an experienced </w:t>
      </w:r>
      <w:r w:rsidR="3368BF69">
        <w:t xml:space="preserve">Immunization System </w:t>
      </w:r>
      <w:r w:rsidRPr="00F56EAA">
        <w:t>team of more than 120 employees with technical and industry expertise. Additionally, Gainwell is an active participant in the national immunization community that sets the standards and direction for national immunization systems.</w:t>
      </w:r>
      <w:r w:rsidR="00AD3DD8" w:rsidRPr="00AD3DD8">
        <w:t xml:space="preserve"> </w:t>
      </w:r>
      <w:r w:rsidR="00AD3DD8">
        <w:t>This industry experience and the insights we gain daily from collaboration with our clients have enabled us to build and propose a first-class product.</w:t>
      </w:r>
    </w:p>
    <w:p w14:paraId="038C013E" w14:textId="7573F05B" w:rsidR="005B3E16" w:rsidRPr="00D04B61" w:rsidRDefault="005B3E16" w:rsidP="004471B1">
      <w:pPr>
        <w:pStyle w:val="HeadingManual4"/>
        <w:rPr>
          <w:rFonts w:cs="Arial" w:hint="eastAsia"/>
          <w:sz w:val="24"/>
        </w:rPr>
      </w:pPr>
      <w:r w:rsidRPr="00D04B61">
        <w:t>Product Description</w:t>
      </w:r>
    </w:p>
    <w:p w14:paraId="0B1C0934" w14:textId="2C3B17DE" w:rsidR="00052C75" w:rsidRDefault="006B52DD" w:rsidP="004C2755">
      <w:pPr>
        <w:pStyle w:val="BodyText"/>
      </w:pPr>
      <w:r>
        <w:t xml:space="preserve">Gainwell’s Immunization Solution is a </w:t>
      </w:r>
      <w:r w:rsidR="00877504">
        <w:t>modular</w:t>
      </w:r>
      <w:r w:rsidR="0046031A">
        <w:t>, Software-as-a-Service (SaaS)</w:t>
      </w:r>
      <w:r>
        <w:t xml:space="preserve">, COTS solution which </w:t>
      </w:r>
      <w:r w:rsidR="00877504">
        <w:t>is cloud-based for</w:t>
      </w:r>
      <w:r>
        <w:t xml:space="preserve"> greatly increased throughput compared with alternate platforms</w:t>
      </w:r>
      <w:r w:rsidR="00F06ABA">
        <w:t>. It</w:t>
      </w:r>
      <w:r>
        <w:t xml:space="preserve"> conforms to </w:t>
      </w:r>
      <w:r w:rsidR="00164EDA">
        <w:t>Centers for Disease Control (</w:t>
      </w:r>
      <w:r>
        <w:t>CDC</w:t>
      </w:r>
      <w:r w:rsidR="00164EDA">
        <w:t>)</w:t>
      </w:r>
      <w:r>
        <w:t xml:space="preserve">, Centers for Medicare and Medicaid Services (CMS), </w:t>
      </w:r>
      <w:r w:rsidR="00204FFE">
        <w:t xml:space="preserve">and </w:t>
      </w:r>
      <w:r>
        <w:t>Public Health Information Network (PHIN)</w:t>
      </w:r>
      <w:r w:rsidR="00164EDA">
        <w:t xml:space="preserve"> </w:t>
      </w:r>
      <w:r>
        <w:t>standards</w:t>
      </w:r>
      <w:r w:rsidR="00D25CA1">
        <w:t xml:space="preserve">. </w:t>
      </w:r>
      <w:r w:rsidR="0087731B">
        <w:t xml:space="preserve">Specifically, </w:t>
      </w:r>
      <w:r w:rsidR="00805103">
        <w:t>the solution</w:t>
      </w:r>
      <w:r w:rsidR="00A53991">
        <w:t xml:space="preserve"> is aligned to the </w:t>
      </w:r>
      <w:r w:rsidR="001A5E76">
        <w:t>Public Health Informatics Institute (PHII) Functional Model</w:t>
      </w:r>
      <w:r w:rsidR="0087731B">
        <w:t xml:space="preserve">, is built to meet the CDC’s IIS Functional Standards, and is designed to support the </w:t>
      </w:r>
      <w:r w:rsidR="001F120C">
        <w:t xml:space="preserve">jurisdiction </w:t>
      </w:r>
      <w:r w:rsidR="0087731B">
        <w:t xml:space="preserve">in meeting the CDC’s Health People 2030 goals. </w:t>
      </w:r>
      <w:r w:rsidR="00D25CA1">
        <w:t>It</w:t>
      </w:r>
      <w:r>
        <w:t xml:space="preserve"> allows for scalability</w:t>
      </w:r>
      <w:r w:rsidR="409CE8B5">
        <w:t xml:space="preserve"> to support</w:t>
      </w:r>
      <w:r>
        <w:t xml:space="preserve"> periods of intense usage such as during a pandemic. The solution combines COTS benefits with single-tenant design, providing the security and flexibility needed for operational scheduling and controls. </w:t>
      </w:r>
    </w:p>
    <w:p w14:paraId="495B7992" w14:textId="6D8B5C23" w:rsidR="00052C75" w:rsidRDefault="00BD3E0F" w:rsidP="00052C75">
      <w:pPr>
        <w:pStyle w:val="BodyText"/>
      </w:pPr>
      <w:r>
        <w:t>Our IIS</w:t>
      </w:r>
      <w:r w:rsidR="00052C75" w:rsidRPr="007F168D">
        <w:t xml:space="preserve"> was created with performance and scalability as two of its cornerstones. </w:t>
      </w:r>
      <w:r w:rsidR="00052C75">
        <w:t>In addition to these</w:t>
      </w:r>
      <w:r w:rsidR="00052C75" w:rsidRPr="009C1570">
        <w:t xml:space="preserve"> cornerstones, </w:t>
      </w:r>
      <w:r w:rsidR="00052C75">
        <w:t>the following advantages</w:t>
      </w:r>
      <w:r w:rsidR="00052C75" w:rsidRPr="009C1570">
        <w:t xml:space="preserve"> enable our clients to process more requests at a greater speed, as well as continue to scale just as quickly and easily across additional services</w:t>
      </w:r>
      <w:r w:rsidR="00052C75">
        <w:t>:</w:t>
      </w:r>
    </w:p>
    <w:p w14:paraId="5553BCEA" w14:textId="6F017428" w:rsidR="00052C75" w:rsidRDefault="00052C75" w:rsidP="00C93DF3">
      <w:pPr>
        <w:pStyle w:val="Bullet1Double"/>
        <w:numPr>
          <w:ilvl w:val="0"/>
          <w:numId w:val="52"/>
        </w:numPr>
      </w:pPr>
      <w:r>
        <w:t>Its streamlined code base has no bottlenecks inter</w:t>
      </w:r>
      <w:r w:rsidR="00E84B36">
        <w:t>-</w:t>
      </w:r>
      <w:r>
        <w:t xml:space="preserve">process calls, which reduces the number of needed processes running on the servers and lessens process waiting. </w:t>
      </w:r>
    </w:p>
    <w:p w14:paraId="088345E9" w14:textId="77777777" w:rsidR="00052C75" w:rsidRDefault="00052C75" w:rsidP="00C93DF3">
      <w:pPr>
        <w:pStyle w:val="Bullet1Double"/>
        <w:numPr>
          <w:ilvl w:val="0"/>
          <w:numId w:val="52"/>
        </w:numPr>
      </w:pPr>
      <w:r>
        <w:t>I</w:t>
      </w:r>
      <w:r w:rsidRPr="007F168D">
        <w:t xml:space="preserve">ts small code base and minimal third-party dependencies reduce the memory footprint required to process requests. </w:t>
      </w:r>
    </w:p>
    <w:p w14:paraId="2F1DBA83" w14:textId="77777777" w:rsidR="00052C75" w:rsidRDefault="00052C75" w:rsidP="00C93DF3">
      <w:pPr>
        <w:pStyle w:val="Bullet1Double"/>
        <w:numPr>
          <w:ilvl w:val="0"/>
          <w:numId w:val="52"/>
        </w:numPr>
      </w:pPr>
      <w:r>
        <w:t>I</w:t>
      </w:r>
      <w:r w:rsidRPr="007F168D">
        <w:t>t was designed to be able to scale quickly with little to no configuration needed for additional instances.</w:t>
      </w:r>
    </w:p>
    <w:p w14:paraId="69406C49" w14:textId="1FE43D98" w:rsidR="000B3160" w:rsidRDefault="000B3160" w:rsidP="000B3160">
      <w:pPr>
        <w:pStyle w:val="BodyText"/>
      </w:pPr>
      <w:r>
        <w:t xml:space="preserve">Gainwell’s Immunization Solution provides a flexible, secure, and compliant system that focuses on a seamless end-user experience. Our solution reduces the need for multiple vendors and applications to run an effective immunization </w:t>
      </w:r>
      <w:r w:rsidR="31F8C2D9">
        <w:t>system</w:t>
      </w:r>
      <w:r>
        <w:t xml:space="preserve">. With Gainwell, </w:t>
      </w:r>
      <w:r w:rsidR="001F120C">
        <w:t xml:space="preserve">jurisdictions </w:t>
      </w:r>
      <w:r>
        <w:t xml:space="preserve">can </w:t>
      </w:r>
      <w:r w:rsidR="00A7239F">
        <w:t xml:space="preserve">provide </w:t>
      </w:r>
      <w:r w:rsidR="001B1A68">
        <w:t>stakeholders</w:t>
      </w:r>
      <w:r w:rsidR="00BA59B0">
        <w:t>, including providers, patients, and administrators,</w:t>
      </w:r>
      <w:r>
        <w:t xml:space="preserve"> one location to adhere to program requirements and </w:t>
      </w:r>
      <w:r w:rsidR="00784694">
        <w:t xml:space="preserve">can </w:t>
      </w:r>
      <w:r w:rsidR="006850F7">
        <w:t>grant</w:t>
      </w:r>
      <w:r w:rsidR="00784694">
        <w:t xml:space="preserve"> </w:t>
      </w:r>
      <w:r>
        <w:t xml:space="preserve">health departments access to monitor and define actionable </w:t>
      </w:r>
      <w:r>
        <w:lastRenderedPageBreak/>
        <w:t>outcomes.</w:t>
      </w:r>
      <w:r w:rsidR="003B28B4">
        <w:t xml:space="preserve"> Use of the Gainwell Immunization Solution is subject to adherence with the Terms and Condition</w:t>
      </w:r>
      <w:r w:rsidR="003B28B4" w:rsidRPr="00E81DB2">
        <w:t>s</w:t>
      </w:r>
      <w:r w:rsidR="001372DF" w:rsidRPr="00E81DB2">
        <w:t>.</w:t>
      </w:r>
    </w:p>
    <w:p w14:paraId="5C80B1E0" w14:textId="77777777" w:rsidR="000B3160" w:rsidRPr="00D04B61" w:rsidRDefault="000B3160">
      <w:pPr>
        <w:pStyle w:val="Subheading"/>
        <w:rPr>
          <w:rFonts w:cs="Arial"/>
          <w:b w:val="0"/>
          <w:sz w:val="24"/>
          <w:szCs w:val="24"/>
        </w:rPr>
      </w:pPr>
      <w:r w:rsidRPr="00D04B61">
        <w:t>Key Features</w:t>
      </w:r>
    </w:p>
    <w:p w14:paraId="5034C3C1" w14:textId="4D1CD572" w:rsidR="000B3160" w:rsidRDefault="000B3160" w:rsidP="000B3160">
      <w:pPr>
        <w:pStyle w:val="BodyText"/>
      </w:pPr>
      <w:r>
        <w:t>The following are key features of our offering:</w:t>
      </w:r>
    </w:p>
    <w:p w14:paraId="3DEE8F0E" w14:textId="77777777" w:rsidR="0094411B" w:rsidRPr="00A91A9C" w:rsidRDefault="0094411B" w:rsidP="0094411B">
      <w:pPr>
        <w:pStyle w:val="TableCaptionAuto"/>
        <w:rPr>
          <w:lang w:bidi="ar-SA"/>
        </w:rPr>
      </w:pPr>
      <w:bookmarkStart w:id="0" w:name="_Toc134099293"/>
      <w:r w:rsidRPr="00A91A9C">
        <w:rPr>
          <w:lang w:bidi="ar-SA"/>
        </w:rPr>
        <w:t>Features and Benefits</w:t>
      </w:r>
      <w:bookmarkEnd w:id="0"/>
    </w:p>
    <w:tbl>
      <w:tblPr>
        <w:tblStyle w:val="TableGrid"/>
        <w:tblW w:w="0" w:type="auto"/>
        <w:tblBorders>
          <w:top w:val="none" w:sz="0" w:space="0" w:color="auto"/>
          <w:left w:val="none" w:sz="0" w:space="0" w:color="auto"/>
          <w:right w:val="none" w:sz="0" w:space="0" w:color="auto"/>
          <w:insideV w:val="none" w:sz="0" w:space="0" w:color="auto"/>
        </w:tblBorders>
        <w:tblCellMar>
          <w:top w:w="57" w:type="dxa"/>
        </w:tblCellMar>
        <w:tblLook w:val="04A0" w:firstRow="1" w:lastRow="0" w:firstColumn="1" w:lastColumn="0" w:noHBand="0" w:noVBand="1"/>
      </w:tblPr>
      <w:tblGrid>
        <w:gridCol w:w="5760"/>
        <w:gridCol w:w="3600"/>
      </w:tblGrid>
      <w:tr w:rsidR="0094411B" w:rsidRPr="00A91A9C" w14:paraId="46B7FA55" w14:textId="77777777">
        <w:tc>
          <w:tcPr>
            <w:tcW w:w="5760" w:type="dxa"/>
            <w:vAlign w:val="center"/>
          </w:tcPr>
          <w:p w14:paraId="03F2E7BA" w14:textId="77777777" w:rsidR="0094411B" w:rsidRPr="00A91A9C" w:rsidRDefault="0094411B">
            <w:pPr>
              <w:pStyle w:val="TableHeading10"/>
            </w:pPr>
            <w:r w:rsidRPr="00A91A9C">
              <w:t>Key Features</w:t>
            </w:r>
          </w:p>
        </w:tc>
        <w:tc>
          <w:tcPr>
            <w:tcW w:w="3600" w:type="dxa"/>
            <w:hideMark/>
          </w:tcPr>
          <w:p w14:paraId="18B083AB" w14:textId="77777777" w:rsidR="0094411B" w:rsidRPr="00A91A9C" w:rsidRDefault="0094411B">
            <w:pPr>
              <w:pStyle w:val="TableHeading10"/>
            </w:pPr>
            <w:r w:rsidRPr="00A91A9C">
              <w:t>Benefits</w:t>
            </w:r>
          </w:p>
        </w:tc>
      </w:tr>
      <w:tr w:rsidR="0094411B" w:rsidRPr="00A91A9C" w14:paraId="23C1232C" w14:textId="77777777">
        <w:tc>
          <w:tcPr>
            <w:tcW w:w="5760" w:type="dxa"/>
            <w:vAlign w:val="center"/>
            <w:hideMark/>
          </w:tcPr>
          <w:p w14:paraId="1B0B6619" w14:textId="0FB1E6BD" w:rsidR="0094411B" w:rsidRPr="00A91A9C" w:rsidRDefault="0094411B">
            <w:pPr>
              <w:pStyle w:val="TableText10Double"/>
            </w:pPr>
            <w:r w:rsidRPr="00A91A9C">
              <w:rPr>
                <w:b/>
                <w:bCs/>
                <w:noProof/>
              </w:rPr>
              <w:drawing>
                <wp:anchor distT="0" distB="0" distL="114300" distR="114300" simplePos="0" relativeHeight="251658240" behindDoc="0" locked="0" layoutInCell="1" allowOverlap="1" wp14:anchorId="31369632" wp14:editId="162CBEDA">
                  <wp:simplePos x="0" y="0"/>
                  <wp:positionH relativeFrom="column">
                    <wp:posOffset>-1123950</wp:posOffset>
                  </wp:positionH>
                  <wp:positionV relativeFrom="paragraph">
                    <wp:posOffset>-1270</wp:posOffset>
                  </wp:positionV>
                  <wp:extent cx="1000760" cy="1095375"/>
                  <wp:effectExtent l="0" t="0" r="8890" b="9525"/>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0760" cy="1095375"/>
                          </a:xfrm>
                          <a:prstGeom prst="rect">
                            <a:avLst/>
                          </a:prstGeom>
                        </pic:spPr>
                      </pic:pic>
                    </a:graphicData>
                  </a:graphic>
                  <wp14:sizeRelH relativeFrom="margin">
                    <wp14:pctWidth>0</wp14:pctWidth>
                  </wp14:sizeRelH>
                  <wp14:sizeRelV relativeFrom="margin">
                    <wp14:pctHeight>0</wp14:pctHeight>
                  </wp14:sizeRelV>
                </wp:anchor>
              </w:drawing>
            </w:r>
            <w:r w:rsidRPr="00A91A9C">
              <w:rPr>
                <w:b/>
                <w:bCs/>
              </w:rPr>
              <w:t>Compliance.</w:t>
            </w:r>
            <w:r w:rsidRPr="00A91A9C">
              <w:t xml:space="preserve"> Our unified cloud-based system meets Centers for Disease Control and Prevention (CDC) Functional Standards Version 4.1 and </w:t>
            </w:r>
            <w:r w:rsidR="00995440">
              <w:t>applicable</w:t>
            </w:r>
            <w:r w:rsidR="00995440" w:rsidRPr="00A91A9C">
              <w:t xml:space="preserve"> </w:t>
            </w:r>
            <w:r w:rsidRPr="00A91A9C">
              <w:t>data-quality standards.</w:t>
            </w:r>
          </w:p>
        </w:tc>
        <w:tc>
          <w:tcPr>
            <w:tcW w:w="3600" w:type="dxa"/>
            <w:hideMark/>
          </w:tcPr>
          <w:p w14:paraId="1F58910B" w14:textId="0CE314E6" w:rsidR="0094411B" w:rsidRPr="00A91A9C" w:rsidRDefault="0094411B">
            <w:pPr>
              <w:pStyle w:val="TableText10Double"/>
            </w:pPr>
            <w:r w:rsidRPr="00A91A9C">
              <w:t xml:space="preserve">The unified system provides a shared, user-friendly experience for patients, providers, the </w:t>
            </w:r>
            <w:r w:rsidR="006B6693">
              <w:t>jurisdiction</w:t>
            </w:r>
            <w:r w:rsidRPr="00A91A9C">
              <w:t>, and users.</w:t>
            </w:r>
          </w:p>
        </w:tc>
      </w:tr>
      <w:tr w:rsidR="0094411B" w:rsidRPr="00A91A9C" w14:paraId="46E7E19F" w14:textId="77777777">
        <w:tc>
          <w:tcPr>
            <w:tcW w:w="5760" w:type="dxa"/>
            <w:vAlign w:val="center"/>
            <w:hideMark/>
          </w:tcPr>
          <w:p w14:paraId="436F1019" w14:textId="77777777" w:rsidR="0094411B" w:rsidRPr="00A91A9C" w:rsidRDefault="0094411B">
            <w:pPr>
              <w:pStyle w:val="TableText10Double"/>
            </w:pPr>
            <w:r w:rsidRPr="00A91A9C">
              <w:rPr>
                <w:b/>
                <w:bCs/>
                <w:noProof/>
              </w:rPr>
              <w:drawing>
                <wp:anchor distT="0" distB="0" distL="114300" distR="114300" simplePos="0" relativeHeight="251658244" behindDoc="0" locked="0" layoutInCell="1" allowOverlap="1" wp14:anchorId="4DA27DFF" wp14:editId="3D2E667E">
                  <wp:simplePos x="0" y="0"/>
                  <wp:positionH relativeFrom="column">
                    <wp:posOffset>-1104900</wp:posOffset>
                  </wp:positionH>
                  <wp:positionV relativeFrom="paragraph">
                    <wp:posOffset>-10795</wp:posOffset>
                  </wp:positionV>
                  <wp:extent cx="986790" cy="1181735"/>
                  <wp:effectExtent l="0" t="0" r="381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6790" cy="1181735"/>
                          </a:xfrm>
                          <a:prstGeom prst="rect">
                            <a:avLst/>
                          </a:prstGeom>
                        </pic:spPr>
                      </pic:pic>
                    </a:graphicData>
                  </a:graphic>
                  <wp14:sizeRelH relativeFrom="margin">
                    <wp14:pctWidth>0</wp14:pctWidth>
                  </wp14:sizeRelH>
                  <wp14:sizeRelV relativeFrom="margin">
                    <wp14:pctHeight>0</wp14:pctHeight>
                  </wp14:sizeRelV>
                </wp:anchor>
              </w:drawing>
            </w:r>
            <w:r w:rsidRPr="00A91A9C">
              <w:rPr>
                <w:b/>
                <w:bCs/>
              </w:rPr>
              <w:t>Collaborative.</w:t>
            </w:r>
            <w:r w:rsidRPr="00A91A9C">
              <w:t xml:space="preserve"> Public and private agencies can transmit data in a variety of formats and comply with federal, state, and local immunization best practices.</w:t>
            </w:r>
          </w:p>
        </w:tc>
        <w:tc>
          <w:tcPr>
            <w:tcW w:w="3600" w:type="dxa"/>
          </w:tcPr>
          <w:p w14:paraId="16C96301" w14:textId="77777777" w:rsidR="0094411B" w:rsidRPr="00A91A9C" w:rsidRDefault="0094411B">
            <w:pPr>
              <w:pStyle w:val="TableText10Double"/>
            </w:pPr>
            <w:r w:rsidRPr="00A91A9C">
              <w:t>Robust data exchanges enable patients, providers, and healthcare partners to make informed, timely decisions together to improve health outcomes.</w:t>
            </w:r>
          </w:p>
        </w:tc>
      </w:tr>
      <w:tr w:rsidR="0094411B" w:rsidRPr="00A91A9C" w14:paraId="6BD77537" w14:textId="77777777">
        <w:tc>
          <w:tcPr>
            <w:tcW w:w="5760" w:type="dxa"/>
            <w:vAlign w:val="center"/>
            <w:hideMark/>
          </w:tcPr>
          <w:p w14:paraId="48C77CCF" w14:textId="77777777" w:rsidR="0094411B" w:rsidRPr="00A91A9C" w:rsidRDefault="0094411B">
            <w:pPr>
              <w:pStyle w:val="TableText10Double"/>
            </w:pPr>
            <w:r w:rsidRPr="00A91A9C">
              <w:rPr>
                <w:b/>
                <w:bCs/>
                <w:noProof/>
              </w:rPr>
              <w:drawing>
                <wp:anchor distT="0" distB="0" distL="114300" distR="114300" simplePos="0" relativeHeight="251658243" behindDoc="0" locked="0" layoutInCell="1" allowOverlap="1" wp14:anchorId="3FF462F7" wp14:editId="1D857792">
                  <wp:simplePos x="0" y="0"/>
                  <wp:positionH relativeFrom="column">
                    <wp:posOffset>-1127760</wp:posOffset>
                  </wp:positionH>
                  <wp:positionV relativeFrom="paragraph">
                    <wp:posOffset>-10795</wp:posOffset>
                  </wp:positionV>
                  <wp:extent cx="1013460" cy="1110615"/>
                  <wp:effectExtent l="0" t="0" r="0" b="0"/>
                  <wp:wrapSquare wrapText="bothSides"/>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3460" cy="1110615"/>
                          </a:xfrm>
                          <a:prstGeom prst="rect">
                            <a:avLst/>
                          </a:prstGeom>
                        </pic:spPr>
                      </pic:pic>
                    </a:graphicData>
                  </a:graphic>
                  <wp14:sizeRelH relativeFrom="margin">
                    <wp14:pctWidth>0</wp14:pctWidth>
                  </wp14:sizeRelH>
                  <wp14:sizeRelV relativeFrom="margin">
                    <wp14:pctHeight>0</wp14:pctHeight>
                  </wp14:sizeRelV>
                </wp:anchor>
              </w:drawing>
            </w:r>
            <w:r w:rsidRPr="00A91A9C">
              <w:rPr>
                <w:b/>
                <w:bCs/>
              </w:rPr>
              <w:t>Analytics Dashboards.</w:t>
            </w:r>
            <w:r w:rsidRPr="00A91A9C">
              <w:t xml:space="preserve"> Online tracking of immunizations and health screenings for patients in a variety of public/private healthcare provider sites. </w:t>
            </w:r>
          </w:p>
        </w:tc>
        <w:tc>
          <w:tcPr>
            <w:tcW w:w="3600" w:type="dxa"/>
          </w:tcPr>
          <w:p w14:paraId="280BE831" w14:textId="77777777" w:rsidR="0094411B" w:rsidRPr="00A91A9C" w:rsidRDefault="0094411B">
            <w:pPr>
              <w:pStyle w:val="TableText10Double"/>
              <w:rPr>
                <w:b/>
                <w:bCs/>
              </w:rPr>
            </w:pPr>
            <w:r w:rsidRPr="00A91A9C">
              <w:t>Broad access to comprehensive immunization results that can be used to monitor health equity for children, adolescents, and adults.</w:t>
            </w:r>
          </w:p>
        </w:tc>
      </w:tr>
      <w:tr w:rsidR="0094411B" w:rsidRPr="00A91A9C" w14:paraId="78031FB5" w14:textId="77777777">
        <w:tc>
          <w:tcPr>
            <w:tcW w:w="5760" w:type="dxa"/>
            <w:vAlign w:val="center"/>
          </w:tcPr>
          <w:p w14:paraId="43B8C1E1" w14:textId="77777777" w:rsidR="0094411B" w:rsidRPr="00A91A9C" w:rsidRDefault="0094411B">
            <w:pPr>
              <w:pStyle w:val="TableText10Double"/>
              <w:rPr>
                <w:b/>
                <w:bCs/>
              </w:rPr>
            </w:pPr>
            <w:r w:rsidRPr="00A91A9C">
              <w:rPr>
                <w:b/>
                <w:bCs/>
                <w:i/>
                <w:iCs/>
                <w:noProof/>
              </w:rPr>
              <w:drawing>
                <wp:anchor distT="0" distB="0" distL="114300" distR="114300" simplePos="0" relativeHeight="251658241" behindDoc="0" locked="0" layoutInCell="1" allowOverlap="1" wp14:anchorId="2448EDB7" wp14:editId="1CD43882">
                  <wp:simplePos x="0" y="0"/>
                  <wp:positionH relativeFrom="column">
                    <wp:posOffset>-1123950</wp:posOffset>
                  </wp:positionH>
                  <wp:positionV relativeFrom="paragraph">
                    <wp:posOffset>-1905</wp:posOffset>
                  </wp:positionV>
                  <wp:extent cx="1000760" cy="1096010"/>
                  <wp:effectExtent l="0" t="0" r="8890" b="8890"/>
                  <wp:wrapSquare wrapText="bothSides"/>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0760" cy="1096010"/>
                          </a:xfrm>
                          <a:prstGeom prst="rect">
                            <a:avLst/>
                          </a:prstGeom>
                        </pic:spPr>
                      </pic:pic>
                    </a:graphicData>
                  </a:graphic>
                  <wp14:sizeRelH relativeFrom="margin">
                    <wp14:pctWidth>0</wp14:pctWidth>
                  </wp14:sizeRelH>
                  <wp14:sizeRelV relativeFrom="margin">
                    <wp14:pctHeight>0</wp14:pctHeight>
                  </wp14:sizeRelV>
                </wp:anchor>
              </w:drawing>
            </w:r>
            <w:r w:rsidRPr="00A91A9C">
              <w:rPr>
                <w:b/>
                <w:bCs/>
              </w:rPr>
              <w:t xml:space="preserve">Software as a Service (SaaS). </w:t>
            </w:r>
            <w:r w:rsidRPr="00A91A9C">
              <w:t>Our web-based solution delivers an integrated patient experience that is accessible on multiple devices.</w:t>
            </w:r>
          </w:p>
        </w:tc>
        <w:tc>
          <w:tcPr>
            <w:tcW w:w="3600" w:type="dxa"/>
          </w:tcPr>
          <w:p w14:paraId="21F2BB2B" w14:textId="77777777" w:rsidR="0094411B" w:rsidRPr="00A91A9C" w:rsidRDefault="0094411B">
            <w:pPr>
              <w:pStyle w:val="TableText10Double"/>
            </w:pPr>
            <w:r w:rsidRPr="00A91A9C">
              <w:t>SaaS eliminates the need to worry about the age of infrastructure, software versions, or capacity limitations.</w:t>
            </w:r>
          </w:p>
        </w:tc>
      </w:tr>
      <w:tr w:rsidR="0094411B" w:rsidRPr="00A91A9C" w14:paraId="51C29763" w14:textId="77777777">
        <w:trPr>
          <w:trHeight w:val="1472"/>
        </w:trPr>
        <w:tc>
          <w:tcPr>
            <w:tcW w:w="5760" w:type="dxa"/>
            <w:vAlign w:val="center"/>
            <w:hideMark/>
          </w:tcPr>
          <w:p w14:paraId="2AE460B6" w14:textId="77777777" w:rsidR="0094411B" w:rsidRPr="00A91A9C" w:rsidRDefault="0094411B">
            <w:pPr>
              <w:pStyle w:val="TableText10Double"/>
              <w:rPr>
                <w:b/>
                <w:bCs/>
              </w:rPr>
            </w:pPr>
            <w:r w:rsidRPr="00A91A9C">
              <w:rPr>
                <w:b/>
                <w:bCs/>
                <w:i/>
                <w:iCs/>
                <w:noProof/>
              </w:rPr>
              <w:drawing>
                <wp:anchor distT="0" distB="0" distL="114300" distR="114300" simplePos="0" relativeHeight="251658242" behindDoc="0" locked="0" layoutInCell="1" allowOverlap="1" wp14:anchorId="1488A174" wp14:editId="58A6AAE4">
                  <wp:simplePos x="0" y="0"/>
                  <wp:positionH relativeFrom="column">
                    <wp:posOffset>-1091565</wp:posOffset>
                  </wp:positionH>
                  <wp:positionV relativeFrom="paragraph">
                    <wp:posOffset>16510</wp:posOffset>
                  </wp:positionV>
                  <wp:extent cx="977265" cy="1171575"/>
                  <wp:effectExtent l="0" t="0" r="0" b="9525"/>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7265" cy="1171575"/>
                          </a:xfrm>
                          <a:prstGeom prst="rect">
                            <a:avLst/>
                          </a:prstGeom>
                        </pic:spPr>
                      </pic:pic>
                    </a:graphicData>
                  </a:graphic>
                  <wp14:sizeRelH relativeFrom="margin">
                    <wp14:pctWidth>0</wp14:pctWidth>
                  </wp14:sizeRelH>
                  <wp14:sizeRelV relativeFrom="margin">
                    <wp14:pctHeight>0</wp14:pctHeight>
                  </wp14:sizeRelV>
                </wp:anchor>
              </w:drawing>
            </w:r>
            <w:r w:rsidRPr="00A91A9C">
              <w:rPr>
                <w:b/>
                <w:bCs/>
              </w:rPr>
              <w:t xml:space="preserve">Single-Tenant Solution. </w:t>
            </w:r>
            <w:r w:rsidRPr="00A91A9C">
              <w:t xml:space="preserve">Unlike competing solutions, our solution is based on a single-tenant service offering. </w:t>
            </w:r>
          </w:p>
        </w:tc>
        <w:tc>
          <w:tcPr>
            <w:tcW w:w="3600" w:type="dxa"/>
            <w:hideMark/>
          </w:tcPr>
          <w:p w14:paraId="165EE6A2" w14:textId="7533C6E8" w:rsidR="0094411B" w:rsidRPr="00A91A9C" w:rsidRDefault="0094411B">
            <w:pPr>
              <w:pStyle w:val="TableText10Double"/>
            </w:pPr>
            <w:r w:rsidRPr="00A91A9C">
              <w:t xml:space="preserve">Single tenancy provides the </w:t>
            </w:r>
            <w:r w:rsidR="006B6693">
              <w:t>jurisdiction</w:t>
            </w:r>
            <w:r w:rsidR="006B6693" w:rsidRPr="00A91A9C">
              <w:t xml:space="preserve"> </w:t>
            </w:r>
            <w:r w:rsidRPr="00A91A9C">
              <w:t xml:space="preserve">with assurance its data is not intermingled with other clients’ data. It offers the flexibility of </w:t>
            </w:r>
            <w:r w:rsidR="00442497">
              <w:t>jurisdiction</w:t>
            </w:r>
            <w:r w:rsidR="00442497" w:rsidRPr="00A91A9C">
              <w:t xml:space="preserve"> </w:t>
            </w:r>
            <w:r w:rsidRPr="00A91A9C">
              <w:t>-specific operational scheduling and controls.</w:t>
            </w:r>
          </w:p>
        </w:tc>
      </w:tr>
    </w:tbl>
    <w:p w14:paraId="1790186B" w14:textId="77777777" w:rsidR="00727023" w:rsidRPr="003648FE" w:rsidRDefault="00727023" w:rsidP="000B3160">
      <w:pPr>
        <w:pStyle w:val="BodyText"/>
      </w:pPr>
    </w:p>
    <w:p w14:paraId="333BAB0D" w14:textId="3E1061CD" w:rsidR="00ED579C" w:rsidRDefault="000B3160" w:rsidP="004C2755">
      <w:pPr>
        <w:pStyle w:val="BodyText"/>
      </w:pPr>
      <w:r w:rsidRPr="00EB07C5">
        <w:lastRenderedPageBreak/>
        <w:t xml:space="preserve">Our IIS allows agencies to make data-driven decisions, maintain compliance with industry requirements, and increase the effectiveness of public healthcare management and equitable delivery. </w:t>
      </w:r>
    </w:p>
    <w:p w14:paraId="114E4F38" w14:textId="33DBCDB0" w:rsidR="0060241E" w:rsidRPr="00D04B61" w:rsidRDefault="00D55AE6" w:rsidP="005A2329">
      <w:pPr>
        <w:pStyle w:val="Subheading"/>
      </w:pPr>
      <w:r w:rsidRPr="442188AD">
        <w:t xml:space="preserve">Core </w:t>
      </w:r>
      <w:r w:rsidR="00DC130D" w:rsidRPr="442188AD">
        <w:t>Functionality</w:t>
      </w:r>
    </w:p>
    <w:p w14:paraId="7F392AAA" w14:textId="5E62B58E" w:rsidR="00C6739B" w:rsidRDefault="00233A9F" w:rsidP="00C6739B">
      <w:pPr>
        <w:pStyle w:val="BodyText"/>
      </w:pPr>
      <w:r>
        <w:t>Gainwell’s Immunization</w:t>
      </w:r>
      <w:r w:rsidR="00C6739B">
        <w:t xml:space="preserve"> </w:t>
      </w:r>
      <w:r>
        <w:t>S</w:t>
      </w:r>
      <w:r w:rsidR="00C6739B">
        <w:t xml:space="preserve">olution is designed to be modular and highly configurable, enabling </w:t>
      </w:r>
      <w:r w:rsidR="006B6693">
        <w:t xml:space="preserve">jurisdictions </w:t>
      </w:r>
      <w:r w:rsidR="00C6739B">
        <w:t xml:space="preserve">to customize and scale their solution to fit functional and budgetary needs. Our base solution </w:t>
      </w:r>
      <w:r w:rsidR="001D3C19">
        <w:t xml:space="preserve">possesses </w:t>
      </w:r>
      <w:r w:rsidR="00C4651F">
        <w:t xml:space="preserve">these </w:t>
      </w:r>
      <w:r w:rsidR="00C6739B">
        <w:t xml:space="preserve">core functional areas: </w:t>
      </w:r>
    </w:p>
    <w:p w14:paraId="32E5F27C" w14:textId="404A8C14" w:rsidR="00C4651F" w:rsidRDefault="00C4651F" w:rsidP="009250EA">
      <w:pPr>
        <w:pStyle w:val="Bullet1Double"/>
        <w:numPr>
          <w:ilvl w:val="0"/>
          <w:numId w:val="53"/>
        </w:numPr>
        <w:suppressAutoHyphens/>
        <w:ind w:left="778"/>
      </w:pPr>
      <w:r w:rsidRPr="136801E3">
        <w:rPr>
          <w:b/>
        </w:rPr>
        <w:t>Population</w:t>
      </w:r>
      <w:r w:rsidR="3990FFB6" w:rsidRPr="136801E3">
        <w:rPr>
          <w:b/>
        </w:rPr>
        <w:t xml:space="preserve"> and Deduplication</w:t>
      </w:r>
      <w:r w:rsidRPr="136801E3">
        <w:rPr>
          <w:b/>
        </w:rPr>
        <w:t xml:space="preserve"> Management.</w:t>
      </w:r>
      <w:r>
        <w:t xml:space="preserve"> </w:t>
      </w:r>
      <w:r w:rsidRPr="009250EA">
        <w:rPr>
          <w:rStyle w:val="BodyTextChar"/>
        </w:rPr>
        <w:t>Accurate information for population management</w:t>
      </w:r>
      <w:r w:rsidR="2D1BB222" w:rsidRPr="009250EA">
        <w:rPr>
          <w:rStyle w:val="BodyTextChar"/>
        </w:rPr>
        <w:t xml:space="preserve"> </w:t>
      </w:r>
      <w:r w:rsidR="66283956" w:rsidRPr="009250EA">
        <w:rPr>
          <w:rStyle w:val="BodyTextChar"/>
        </w:rPr>
        <w:t xml:space="preserve">to </w:t>
      </w:r>
      <w:r w:rsidR="0FE459A5" w:rsidRPr="009250EA">
        <w:rPr>
          <w:rStyle w:val="BodyTextChar"/>
        </w:rPr>
        <w:t>assist</w:t>
      </w:r>
      <w:r w:rsidR="66283956" w:rsidRPr="009250EA">
        <w:rPr>
          <w:rStyle w:val="BodyTextChar"/>
        </w:rPr>
        <w:t xml:space="preserve"> in raising rate initiatives</w:t>
      </w:r>
      <w:r w:rsidR="43386FC2" w:rsidRPr="009250EA">
        <w:rPr>
          <w:rStyle w:val="BodyTextChar"/>
        </w:rPr>
        <w:t xml:space="preserve"> and </w:t>
      </w:r>
      <w:r w:rsidR="00796BDC">
        <w:t>jurisdiction</w:t>
      </w:r>
      <w:r w:rsidR="00796BDC" w:rsidRPr="00A91A9C">
        <w:t xml:space="preserve"> </w:t>
      </w:r>
      <w:r w:rsidR="43386FC2" w:rsidRPr="009250EA">
        <w:rPr>
          <w:rStyle w:val="BodyTextChar"/>
        </w:rPr>
        <w:t>and federal reporting</w:t>
      </w:r>
      <w:r w:rsidR="66283956" w:rsidRPr="009250EA">
        <w:rPr>
          <w:rStyle w:val="BodyTextChar"/>
        </w:rPr>
        <w:t xml:space="preserve">. </w:t>
      </w:r>
      <w:r w:rsidR="2D1BB222" w:rsidRPr="009250EA">
        <w:rPr>
          <w:rStyle w:val="BodyTextChar"/>
        </w:rPr>
        <w:t xml:space="preserve"> </w:t>
      </w:r>
      <w:r w:rsidR="267C5767" w:rsidRPr="009250EA">
        <w:rPr>
          <w:rStyle w:val="BodyTextChar"/>
        </w:rPr>
        <w:t xml:space="preserve">Our </w:t>
      </w:r>
      <w:r w:rsidR="6F36CC3D" w:rsidRPr="009250EA">
        <w:rPr>
          <w:rStyle w:val="BodyTextChar"/>
        </w:rPr>
        <w:t xml:space="preserve">solution </w:t>
      </w:r>
      <w:r w:rsidR="6138CFE0" w:rsidRPr="009250EA">
        <w:rPr>
          <w:rStyle w:val="BodyTextChar"/>
        </w:rPr>
        <w:t>helps increase data quality by</w:t>
      </w:r>
      <w:r w:rsidR="1394BA6C" w:rsidRPr="009250EA">
        <w:rPr>
          <w:rStyle w:val="BodyTextChar"/>
        </w:rPr>
        <w:t xml:space="preserve"> r</w:t>
      </w:r>
      <w:r w:rsidR="7EEE5408" w:rsidRPr="009250EA">
        <w:rPr>
          <w:rStyle w:val="BodyTextChar"/>
        </w:rPr>
        <w:t xml:space="preserve">emoving redundant patient records, preventing fragmented and duplicate information from being processed and ensuring that updates and queries apply to the correct </w:t>
      </w:r>
      <w:r w:rsidR="5B566B9E" w:rsidRPr="009250EA">
        <w:rPr>
          <w:rStyle w:val="BodyTextChar"/>
        </w:rPr>
        <w:t>patient</w:t>
      </w:r>
      <w:r w:rsidR="6B5626D7" w:rsidRPr="009250EA">
        <w:rPr>
          <w:rStyle w:val="BodyTextChar"/>
        </w:rPr>
        <w:t xml:space="preserve"> for accurate reporting</w:t>
      </w:r>
      <w:r w:rsidR="7EEE5408" w:rsidRPr="009250EA">
        <w:rPr>
          <w:rStyle w:val="BodyTextChar"/>
        </w:rPr>
        <w:t>.</w:t>
      </w:r>
    </w:p>
    <w:p w14:paraId="7962BED0" w14:textId="2C36E93B" w:rsidR="00A5138F" w:rsidRDefault="00A5138F" w:rsidP="009250EA">
      <w:pPr>
        <w:pStyle w:val="Bullet1Double"/>
        <w:numPr>
          <w:ilvl w:val="0"/>
          <w:numId w:val="52"/>
        </w:numPr>
        <w:suppressAutoHyphens/>
        <w:ind w:left="720" w:hanging="432"/>
        <w:rPr>
          <w:rFonts w:ascii="Open Sans" w:eastAsia="Open Sans" w:hAnsi="Open Sans" w:cs="Open Sans"/>
          <w:color w:val="000000" w:themeColor="text1"/>
          <w:sz w:val="25"/>
          <w:szCs w:val="25"/>
        </w:rPr>
      </w:pPr>
      <w:r w:rsidRPr="003C2C14">
        <w:rPr>
          <w:b/>
          <w:bCs w:val="0"/>
        </w:rPr>
        <w:t>Immunization Forecasting</w:t>
      </w:r>
      <w:r>
        <w:t xml:space="preserve">. </w:t>
      </w:r>
      <w:r w:rsidRPr="001372DF">
        <w:rPr>
          <w:rStyle w:val="BodyTextChar"/>
        </w:rPr>
        <w:t>Clinical decision support of immunizations due and the recommended doses.</w:t>
      </w:r>
      <w:r w:rsidR="454CBEB3" w:rsidRPr="001372DF">
        <w:rPr>
          <w:rStyle w:val="BodyTextChar"/>
        </w:rPr>
        <w:t xml:space="preserve"> An automated process that determines the recommended immunizations needed for a patient and delivers these recommendations to the healthcare provider </w:t>
      </w:r>
      <w:r w:rsidR="1EBCCD0A" w:rsidRPr="001372DF">
        <w:rPr>
          <w:rStyle w:val="BodyTextChar"/>
        </w:rPr>
        <w:t xml:space="preserve">based on </w:t>
      </w:r>
      <w:r w:rsidR="454CBEB3" w:rsidRPr="001372DF">
        <w:rPr>
          <w:rStyle w:val="BodyTextChar"/>
        </w:rPr>
        <w:t>the Advisory Committee</w:t>
      </w:r>
      <w:r w:rsidR="5A358396" w:rsidRPr="001372DF">
        <w:rPr>
          <w:rStyle w:val="BodyTextChar"/>
        </w:rPr>
        <w:t xml:space="preserve"> on Immunization Practices (ACIP).</w:t>
      </w:r>
      <w:r w:rsidR="5A358396" w:rsidRPr="55CF0109">
        <w:rPr>
          <w:rFonts w:ascii="Open Sans" w:eastAsia="Open Sans" w:hAnsi="Open Sans" w:cs="Open Sans"/>
          <w:bCs w:val="0"/>
          <w:color w:val="000000" w:themeColor="text1"/>
          <w:sz w:val="25"/>
          <w:szCs w:val="25"/>
        </w:rPr>
        <w:t xml:space="preserve"> </w:t>
      </w:r>
    </w:p>
    <w:p w14:paraId="4C289315" w14:textId="057A3AEA" w:rsidR="00EA30D7" w:rsidRDefault="00C6739B" w:rsidP="009250EA">
      <w:pPr>
        <w:pStyle w:val="Bullet1Double"/>
        <w:numPr>
          <w:ilvl w:val="0"/>
          <w:numId w:val="52"/>
        </w:numPr>
        <w:suppressAutoHyphens/>
        <w:ind w:left="720" w:hanging="432"/>
      </w:pPr>
      <w:r w:rsidRPr="136801E3">
        <w:rPr>
          <w:b/>
        </w:rPr>
        <w:t xml:space="preserve">Data Exchange. </w:t>
      </w:r>
      <w:r>
        <w:t xml:space="preserve">Provides real-time data exchange and interactions with electronic </w:t>
      </w:r>
      <w:r w:rsidR="00233A9F">
        <w:t>health/</w:t>
      </w:r>
      <w:r>
        <w:t>medical record (</w:t>
      </w:r>
      <w:r w:rsidR="001B27B6">
        <w:t>EHR</w:t>
      </w:r>
      <w:r w:rsidR="00233A9F">
        <w:t>/EMR</w:t>
      </w:r>
      <w:r>
        <w:t>) systems, hospital systems, and so forth to provide a consolidated immunization record</w:t>
      </w:r>
      <w:r w:rsidR="608FFFBA">
        <w:t xml:space="preserve">, help guide patient care and improve </w:t>
      </w:r>
      <w:r w:rsidR="783FD09C">
        <w:t xml:space="preserve">overall </w:t>
      </w:r>
      <w:r w:rsidR="608FFFBA">
        <w:t>vaccination rates</w:t>
      </w:r>
      <w:r w:rsidR="002D31C1">
        <w:t xml:space="preserve">. </w:t>
      </w:r>
    </w:p>
    <w:p w14:paraId="5EC450B8" w14:textId="1A4ED532" w:rsidR="00644CA0" w:rsidRDefault="00C6739B" w:rsidP="55CF0109">
      <w:pPr>
        <w:pStyle w:val="Bullet1Double"/>
        <w:numPr>
          <w:ilvl w:val="0"/>
          <w:numId w:val="52"/>
        </w:numPr>
      </w:pPr>
      <w:r w:rsidRPr="136801E3">
        <w:rPr>
          <w:b/>
        </w:rPr>
        <w:t>Vaccine Inventory Management and Accountability.</w:t>
      </w:r>
      <w:r>
        <w:t xml:space="preserve"> </w:t>
      </w:r>
      <w:r w:rsidRPr="001372DF">
        <w:rPr>
          <w:rStyle w:val="BodyTextChar"/>
        </w:rPr>
        <w:t xml:space="preserve">Tightly integrated with the CDC’s vaccine management and distribution system (VTrckS) to order and manage doses for the Vaccines for Children (VFC) population, managing and distributing doses, and providing the accountability reporting required at the </w:t>
      </w:r>
      <w:r w:rsidR="00796BDC">
        <w:t>jurisdictional</w:t>
      </w:r>
      <w:r w:rsidR="00796BDC" w:rsidRPr="00A91A9C">
        <w:t xml:space="preserve"> </w:t>
      </w:r>
      <w:r w:rsidRPr="001372DF">
        <w:rPr>
          <w:rStyle w:val="BodyTextChar"/>
        </w:rPr>
        <w:t>and federal levels.</w:t>
      </w:r>
    </w:p>
    <w:p w14:paraId="3A498483" w14:textId="5D55A1EC" w:rsidR="005E2235" w:rsidRDefault="234CDDFF" w:rsidP="00EA30D7">
      <w:pPr>
        <w:pStyle w:val="Bullet1Double"/>
        <w:numPr>
          <w:ilvl w:val="0"/>
          <w:numId w:val="52"/>
        </w:numPr>
      </w:pPr>
      <w:r w:rsidRPr="00644CA0">
        <w:rPr>
          <w:b/>
          <w:bCs w:val="0"/>
        </w:rPr>
        <w:t xml:space="preserve">Electronic Enrollments and Agreements. </w:t>
      </w:r>
      <w:r w:rsidR="4927B6CD" w:rsidRPr="001372DF">
        <w:rPr>
          <w:rStyle w:val="BodyTextChar"/>
        </w:rPr>
        <w:t xml:space="preserve">Leveraging the CDCs </w:t>
      </w:r>
      <w:r w:rsidR="671F0E97" w:rsidRPr="001372DF">
        <w:rPr>
          <w:rStyle w:val="BodyTextChar"/>
        </w:rPr>
        <w:t xml:space="preserve">vaccine </w:t>
      </w:r>
      <w:r w:rsidR="4927B6CD" w:rsidRPr="001372DF">
        <w:rPr>
          <w:rStyle w:val="BodyTextChar"/>
        </w:rPr>
        <w:t>storage and handling toolkit</w:t>
      </w:r>
      <w:r w:rsidR="00233A9F">
        <w:rPr>
          <w:rStyle w:val="BodyTextChar"/>
        </w:rPr>
        <w:t>,</w:t>
      </w:r>
      <w:r w:rsidR="4927B6CD" w:rsidRPr="001372DF">
        <w:rPr>
          <w:rStyle w:val="BodyTextChar"/>
        </w:rPr>
        <w:t xml:space="preserve"> the solution </w:t>
      </w:r>
      <w:r w:rsidR="4D03F693" w:rsidRPr="001372DF">
        <w:rPr>
          <w:rStyle w:val="BodyTextChar"/>
        </w:rPr>
        <w:t xml:space="preserve">allows for </w:t>
      </w:r>
      <w:r w:rsidR="4927B6CD" w:rsidRPr="001372DF">
        <w:rPr>
          <w:rStyle w:val="BodyTextChar"/>
        </w:rPr>
        <w:t xml:space="preserve">a fully electronic </w:t>
      </w:r>
      <w:r w:rsidR="18FE20FD" w:rsidRPr="001372DF">
        <w:rPr>
          <w:rStyle w:val="BodyTextChar"/>
        </w:rPr>
        <w:t>enrollment</w:t>
      </w:r>
      <w:r w:rsidR="4927B6CD" w:rsidRPr="001372DF">
        <w:rPr>
          <w:rStyle w:val="BodyTextChar"/>
        </w:rPr>
        <w:t xml:space="preserve"> </w:t>
      </w:r>
      <w:r w:rsidR="238ABFF0" w:rsidRPr="001372DF">
        <w:rPr>
          <w:rStyle w:val="BodyTextChar"/>
        </w:rPr>
        <w:t xml:space="preserve">including </w:t>
      </w:r>
      <w:r w:rsidR="00644CA0" w:rsidRPr="001372DF">
        <w:rPr>
          <w:rStyle w:val="BodyTextChar"/>
        </w:rPr>
        <w:t>electronic</w:t>
      </w:r>
      <w:r w:rsidR="7CEE0EEF" w:rsidRPr="001372DF">
        <w:rPr>
          <w:rStyle w:val="BodyTextChar"/>
        </w:rPr>
        <w:t xml:space="preserve"> signature.</w:t>
      </w:r>
      <w:r w:rsidR="238ABFF0" w:rsidRPr="001372DF">
        <w:rPr>
          <w:rStyle w:val="BodyTextChar"/>
        </w:rPr>
        <w:t xml:space="preserve"> The enrollment </w:t>
      </w:r>
      <w:r w:rsidR="4927B6CD" w:rsidRPr="001372DF">
        <w:rPr>
          <w:rStyle w:val="BodyTextChar"/>
        </w:rPr>
        <w:t>outlin</w:t>
      </w:r>
      <w:r w:rsidR="6A51839B" w:rsidRPr="001372DF">
        <w:rPr>
          <w:rStyle w:val="BodyTextChar"/>
        </w:rPr>
        <w:t>es</w:t>
      </w:r>
      <w:r w:rsidR="4927B6CD" w:rsidRPr="001372DF">
        <w:rPr>
          <w:rStyle w:val="BodyTextChar"/>
        </w:rPr>
        <w:t xml:space="preserve"> the requirements of the </w:t>
      </w:r>
      <w:r w:rsidR="001A26E5" w:rsidRPr="001372DF">
        <w:rPr>
          <w:rStyle w:val="BodyTextChar"/>
        </w:rPr>
        <w:t>VFC</w:t>
      </w:r>
      <w:r w:rsidR="4927B6CD" w:rsidRPr="001372DF">
        <w:rPr>
          <w:rStyle w:val="BodyTextChar"/>
        </w:rPr>
        <w:t xml:space="preserve"> </w:t>
      </w:r>
      <w:r w:rsidR="05FFF8BA" w:rsidRPr="001372DF">
        <w:rPr>
          <w:rStyle w:val="BodyTextChar"/>
        </w:rPr>
        <w:t>P</w:t>
      </w:r>
      <w:r w:rsidR="4927B6CD" w:rsidRPr="001372DF">
        <w:rPr>
          <w:rStyle w:val="BodyTextChar"/>
        </w:rPr>
        <w:t>rogram and</w:t>
      </w:r>
      <w:r w:rsidR="4CC2AE1C" w:rsidRPr="001372DF">
        <w:rPr>
          <w:rStyle w:val="BodyTextChar"/>
        </w:rPr>
        <w:t xml:space="preserve"> while also allowing</w:t>
      </w:r>
      <w:r w:rsidR="4927B6CD" w:rsidRPr="001372DF">
        <w:rPr>
          <w:rStyle w:val="BodyTextChar"/>
        </w:rPr>
        <w:t xml:space="preserve"> for</w:t>
      </w:r>
      <w:r w:rsidR="410C1EB2" w:rsidRPr="001372DF">
        <w:rPr>
          <w:rStyle w:val="BodyTextChar"/>
        </w:rPr>
        <w:t xml:space="preserve"> other vaccine enrollment types</w:t>
      </w:r>
      <w:r w:rsidR="06AB79B5" w:rsidRPr="001372DF">
        <w:rPr>
          <w:rStyle w:val="BodyTextChar"/>
        </w:rPr>
        <w:t xml:space="preserve"> to be managed</w:t>
      </w:r>
      <w:r w:rsidR="728EC25E" w:rsidRPr="001372DF">
        <w:rPr>
          <w:rStyle w:val="BodyTextChar"/>
        </w:rPr>
        <w:t xml:space="preserve"> and can easily be configured to support your </w:t>
      </w:r>
      <w:r w:rsidR="00354828">
        <w:rPr>
          <w:rStyle w:val="BodyTextChar"/>
        </w:rPr>
        <w:t>jurisdiction’s</w:t>
      </w:r>
      <w:r w:rsidR="00354828" w:rsidRPr="001372DF">
        <w:rPr>
          <w:rStyle w:val="BodyTextChar"/>
        </w:rPr>
        <w:t xml:space="preserve"> </w:t>
      </w:r>
      <w:r w:rsidR="728EC25E" w:rsidRPr="001372DF">
        <w:rPr>
          <w:rStyle w:val="BodyTextChar"/>
        </w:rPr>
        <w:t>needs.</w:t>
      </w:r>
      <w:r w:rsidR="728EC25E" w:rsidRPr="55CF0109">
        <w:t xml:space="preserve"> </w:t>
      </w:r>
      <w:r w:rsidR="06AB79B5" w:rsidRPr="55CF0109">
        <w:t xml:space="preserve"> </w:t>
      </w:r>
    </w:p>
    <w:p w14:paraId="4204FA7D" w14:textId="1EBB425E" w:rsidR="00C6739B" w:rsidRDefault="004778EB" w:rsidP="009250EA">
      <w:pPr>
        <w:pStyle w:val="Bullet1Double"/>
        <w:numPr>
          <w:ilvl w:val="0"/>
          <w:numId w:val="52"/>
        </w:numPr>
        <w:suppressAutoHyphens/>
        <w:ind w:left="720" w:hanging="432"/>
      </w:pPr>
      <w:r>
        <w:rPr>
          <w:b/>
        </w:rPr>
        <w:t>Analytic</w:t>
      </w:r>
      <w:r w:rsidR="00C6739B" w:rsidRPr="136801E3">
        <w:rPr>
          <w:b/>
        </w:rPr>
        <w:t xml:space="preserve"> Reports.</w:t>
      </w:r>
      <w:r w:rsidR="00C6739B">
        <w:t xml:space="preserve"> </w:t>
      </w:r>
      <w:r w:rsidR="00C6739B" w:rsidRPr="001372DF">
        <w:rPr>
          <w:rStyle w:val="BodyTextChar"/>
        </w:rPr>
        <w:t>Delivers reporting capabilities at the patient, organization,</w:t>
      </w:r>
      <w:r w:rsidR="00564DC0">
        <w:rPr>
          <w:rStyle w:val="BodyTextChar"/>
        </w:rPr>
        <w:t xml:space="preserve"> city,</w:t>
      </w:r>
      <w:r w:rsidR="00C6739B" w:rsidRPr="001372DF">
        <w:rPr>
          <w:rStyle w:val="BodyTextChar"/>
        </w:rPr>
        <w:t xml:space="preserve"> county, and </w:t>
      </w:r>
      <w:r w:rsidR="00796BDC">
        <w:t>jurisdiction</w:t>
      </w:r>
      <w:r w:rsidR="00796BDC" w:rsidRPr="00A91A9C">
        <w:t xml:space="preserve"> </w:t>
      </w:r>
      <w:r w:rsidR="00C6739B" w:rsidRPr="001372DF">
        <w:rPr>
          <w:rStyle w:val="BodyTextChar"/>
        </w:rPr>
        <w:t>level to accurately outline coverage rates for vaccine-preventable diseases.</w:t>
      </w:r>
    </w:p>
    <w:p w14:paraId="2CB7E47A" w14:textId="77777777" w:rsidR="00C6739B" w:rsidRDefault="00C6739B" w:rsidP="009250EA">
      <w:pPr>
        <w:pStyle w:val="Bullet1Double"/>
        <w:numPr>
          <w:ilvl w:val="0"/>
          <w:numId w:val="52"/>
        </w:numPr>
        <w:suppressAutoHyphens/>
        <w:ind w:left="720" w:hanging="432"/>
      </w:pPr>
      <w:r w:rsidRPr="136801E3">
        <w:rPr>
          <w:b/>
        </w:rPr>
        <w:t>School Record Management.</w:t>
      </w:r>
      <w:r>
        <w:t xml:space="preserve"> </w:t>
      </w:r>
      <w:r w:rsidRPr="001372DF">
        <w:rPr>
          <w:rStyle w:val="BodyTextChar"/>
        </w:rPr>
        <w:t>Improves compliance rates with immunization requirements; can be configured for both school and childcare functionality.</w:t>
      </w:r>
    </w:p>
    <w:p w14:paraId="22D8B165" w14:textId="782A704E" w:rsidR="009E72E9" w:rsidRPr="00EB07C5" w:rsidRDefault="00EA30D7" w:rsidP="001372DF">
      <w:pPr>
        <w:pStyle w:val="BodyText"/>
      </w:pPr>
      <w:r w:rsidRPr="136801E3">
        <w:rPr>
          <w:lang w:bidi="ar-SA"/>
        </w:rPr>
        <w:t>T</w:t>
      </w:r>
      <w:r w:rsidR="00B617CC" w:rsidRPr="136801E3">
        <w:rPr>
          <w:lang w:bidi="ar-SA"/>
        </w:rPr>
        <w:t xml:space="preserve">hese functional areas </w:t>
      </w:r>
      <w:r w:rsidR="00ED4813" w:rsidRPr="136801E3">
        <w:rPr>
          <w:lang w:bidi="ar-SA"/>
        </w:rPr>
        <w:t xml:space="preserve">are utilized </w:t>
      </w:r>
      <w:r w:rsidR="00B617CC" w:rsidRPr="136801E3">
        <w:rPr>
          <w:lang w:bidi="ar-SA"/>
        </w:rPr>
        <w:t>to improve the effectiveness of immunization</w:t>
      </w:r>
      <w:r w:rsidR="00ED4813" w:rsidRPr="136801E3">
        <w:rPr>
          <w:lang w:bidi="ar-SA"/>
        </w:rPr>
        <w:t xml:space="preserve"> </w:t>
      </w:r>
      <w:r w:rsidR="00B617CC" w:rsidRPr="136801E3">
        <w:rPr>
          <w:lang w:bidi="ar-SA"/>
        </w:rPr>
        <w:t>management and delivery. Gainwell's Immunization Solution allows effective management and</w:t>
      </w:r>
      <w:r w:rsidR="00ED4813" w:rsidRPr="136801E3">
        <w:rPr>
          <w:lang w:bidi="ar-SA"/>
        </w:rPr>
        <w:t xml:space="preserve"> </w:t>
      </w:r>
      <w:r w:rsidR="00B617CC" w:rsidRPr="136801E3">
        <w:rPr>
          <w:lang w:bidi="ar-SA"/>
        </w:rPr>
        <w:t>automation processes to improve immunization programs. Its robust analytics capabilities help</w:t>
      </w:r>
      <w:r w:rsidR="00ED4813" w:rsidRPr="136801E3">
        <w:rPr>
          <w:lang w:bidi="ar-SA"/>
        </w:rPr>
        <w:t xml:space="preserve"> </w:t>
      </w:r>
      <w:r w:rsidR="00B617CC" w:rsidRPr="136801E3">
        <w:rPr>
          <w:lang w:bidi="ar-SA"/>
        </w:rPr>
        <w:t>transform data into the insights needed for effective decision making. Our solution helps meet</w:t>
      </w:r>
      <w:r w:rsidR="00ED4813" w:rsidRPr="136801E3">
        <w:rPr>
          <w:lang w:bidi="ar-SA"/>
        </w:rPr>
        <w:t xml:space="preserve"> </w:t>
      </w:r>
      <w:r w:rsidR="00796BDC" w:rsidRPr="00796BDC">
        <w:rPr>
          <w:lang w:bidi="ar-SA"/>
        </w:rPr>
        <w:t xml:space="preserve">jurisdiction </w:t>
      </w:r>
      <w:r w:rsidR="00B617CC" w:rsidRPr="136801E3">
        <w:rPr>
          <w:lang w:bidi="ar-SA"/>
        </w:rPr>
        <w:t>-specific policy needs and provides services for implementation, operation, user support,</w:t>
      </w:r>
      <w:r w:rsidR="00ED4813" w:rsidRPr="136801E3">
        <w:rPr>
          <w:lang w:bidi="ar-SA"/>
        </w:rPr>
        <w:t xml:space="preserve"> </w:t>
      </w:r>
      <w:r w:rsidR="00B617CC" w:rsidRPr="136801E3">
        <w:rPr>
          <w:lang w:bidi="ar-SA"/>
        </w:rPr>
        <w:t>and training.</w:t>
      </w:r>
    </w:p>
    <w:p w14:paraId="7C39330F" w14:textId="0586CEB9" w:rsidR="00B7477D" w:rsidRDefault="00B7477D" w:rsidP="005A3DEC">
      <w:pPr>
        <w:pStyle w:val="Subheading"/>
      </w:pPr>
      <w:r>
        <w:lastRenderedPageBreak/>
        <w:t>Improved User Experience</w:t>
      </w:r>
      <w:r w:rsidR="001F12B9">
        <w:t xml:space="preserve"> &amp; Delivery</w:t>
      </w:r>
    </w:p>
    <w:p w14:paraId="308C117A" w14:textId="4E821DA6" w:rsidR="00770C98" w:rsidRDefault="00770C98" w:rsidP="00770C98">
      <w:pPr>
        <w:pStyle w:val="BodyText"/>
      </w:pPr>
      <w:r>
        <w:t xml:space="preserve">The COTS Gainwell Immunization Solution provides a unified experience for each stakeholder. </w:t>
      </w:r>
      <w:r w:rsidR="005A7472">
        <w:t xml:space="preserve">The following figure illustrates the full user experience from all personas and how they drive better outcomes within the </w:t>
      </w:r>
      <w:r w:rsidR="00354828">
        <w:t>jurisdiction</w:t>
      </w:r>
      <w:r w:rsidR="005A7472">
        <w:t xml:space="preserve">. </w:t>
      </w:r>
      <w:r w:rsidR="003F464A">
        <w:t xml:space="preserve">Users also have the option to select from </w:t>
      </w:r>
      <w:r w:rsidR="00BE6843">
        <w:t xml:space="preserve">the following </w:t>
      </w:r>
      <w:r w:rsidR="00F30490">
        <w:t xml:space="preserve">solution-wide </w:t>
      </w:r>
      <w:r w:rsidR="00CC041A">
        <w:t>language</w:t>
      </w:r>
      <w:r w:rsidR="00F30490">
        <w:t xml:space="preserve"> options</w:t>
      </w:r>
      <w:r w:rsidR="00C1717F">
        <w:t xml:space="preserve"> included </w:t>
      </w:r>
      <w:r w:rsidR="003C4E04">
        <w:t>at no additional charge</w:t>
      </w:r>
      <w:r w:rsidR="00F30490">
        <w:t xml:space="preserve">: English, French, German and Spanish. </w:t>
      </w:r>
      <w:r w:rsidR="00C9385A">
        <w:t>Additional</w:t>
      </w:r>
      <w:r w:rsidR="00F30490">
        <w:t xml:space="preserve"> languages </w:t>
      </w:r>
      <w:r w:rsidR="00C50014">
        <w:t xml:space="preserve">can be configured by </w:t>
      </w:r>
      <w:r w:rsidR="00354828">
        <w:t>jurisdiction</w:t>
      </w:r>
      <w:r w:rsidR="00C9385A">
        <w:t xml:space="preserve">, pursuant to a </w:t>
      </w:r>
      <w:r w:rsidR="00E809FF">
        <w:t>mutually agreed upon fee.</w:t>
      </w:r>
    </w:p>
    <w:p w14:paraId="1BCCE08D" w14:textId="77777777" w:rsidR="00DA1DB9" w:rsidRPr="00A91A9C" w:rsidRDefault="00DA1DB9" w:rsidP="00CE20EE">
      <w:pPr>
        <w:pStyle w:val="FigureCaptionAuto"/>
        <w:tabs>
          <w:tab w:val="clear" w:pos="1980"/>
          <w:tab w:val="left" w:pos="1170"/>
          <w:tab w:val="num" w:pos="2700"/>
        </w:tabs>
        <w:ind w:left="810" w:hanging="720"/>
      </w:pPr>
      <w:bookmarkStart w:id="1" w:name="_Toc134099210"/>
      <w:r w:rsidRPr="00A91A9C">
        <w:t>Driving Healthy Outcomes</w:t>
      </w:r>
      <w:bookmarkEnd w:id="1"/>
    </w:p>
    <w:p w14:paraId="08635C96" w14:textId="6D1E1366" w:rsidR="00586520" w:rsidRPr="00727023" w:rsidRDefault="00E26DEC" w:rsidP="001C231B">
      <w:pPr>
        <w:pStyle w:val="BodyText"/>
        <w:rPr>
          <w:bCs/>
        </w:rPr>
      </w:pPr>
      <w:r>
        <w:rPr>
          <w:bCs/>
          <w:noProof/>
        </w:rPr>
        <w:drawing>
          <wp:inline distT="0" distB="0" distL="0" distR="0" wp14:anchorId="0E607C58" wp14:editId="1CF88831">
            <wp:extent cx="5876014" cy="327151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92676" cy="3280790"/>
                    </a:xfrm>
                    <a:prstGeom prst="rect">
                      <a:avLst/>
                    </a:prstGeom>
                    <a:noFill/>
                  </pic:spPr>
                </pic:pic>
              </a:graphicData>
            </a:graphic>
          </wp:inline>
        </w:drawing>
      </w:r>
    </w:p>
    <w:p w14:paraId="58BE8ADE" w14:textId="783AAB86" w:rsidR="004978CA" w:rsidRDefault="004978CA" w:rsidP="00586520">
      <w:pPr>
        <w:pStyle w:val="BodyText"/>
      </w:pPr>
      <w:r w:rsidRPr="004978CA">
        <w:t xml:space="preserve">The tool’s responsive design allows for a best-in-class user experience for providers and </w:t>
      </w:r>
      <w:r w:rsidR="00796BDC">
        <w:t>jurisdiction</w:t>
      </w:r>
      <w:r w:rsidR="00796BDC" w:rsidRPr="00A91A9C">
        <w:t xml:space="preserve"> </w:t>
      </w:r>
      <w:r w:rsidRPr="004978CA">
        <w:t>users on devices that have a web browser. Because of the significant prevalence of smartphone use among program members, usability on the mobile device is critical.</w:t>
      </w:r>
      <w:r>
        <w:t xml:space="preserve"> Additionally, the system supports two-step verification for improved security.</w:t>
      </w:r>
      <w:r w:rsidR="00C829F1">
        <w:t xml:space="preserve"> </w:t>
      </w:r>
      <w:r w:rsidR="001B419E">
        <w:t>A view of the security architecture is contained in Figure 2, below.</w:t>
      </w:r>
    </w:p>
    <w:p w14:paraId="7DD33347" w14:textId="2A6337E2" w:rsidR="001F0F27" w:rsidRDefault="001F0F27" w:rsidP="00586520">
      <w:pPr>
        <w:pStyle w:val="BodyText"/>
      </w:pPr>
    </w:p>
    <w:p w14:paraId="3B63B424" w14:textId="7B029726" w:rsidR="001F0F27" w:rsidRDefault="001F0F27" w:rsidP="00586520">
      <w:pPr>
        <w:pStyle w:val="BodyText"/>
      </w:pPr>
    </w:p>
    <w:p w14:paraId="2D6D9759" w14:textId="605405A0" w:rsidR="001F0F27" w:rsidRDefault="001F0F27" w:rsidP="00586520">
      <w:pPr>
        <w:pStyle w:val="BodyText"/>
      </w:pPr>
    </w:p>
    <w:p w14:paraId="1268B23B" w14:textId="558A3283" w:rsidR="001F0F27" w:rsidRDefault="001F0F27" w:rsidP="00586520">
      <w:pPr>
        <w:pStyle w:val="BodyText"/>
      </w:pPr>
    </w:p>
    <w:p w14:paraId="31C0A475" w14:textId="4671E050" w:rsidR="001F0F27" w:rsidRDefault="001F0F27" w:rsidP="00586520">
      <w:pPr>
        <w:pStyle w:val="BodyText"/>
      </w:pPr>
    </w:p>
    <w:p w14:paraId="19B745AA" w14:textId="26F8541D" w:rsidR="001F0F27" w:rsidRDefault="001F0F27" w:rsidP="00586520">
      <w:pPr>
        <w:pStyle w:val="BodyText"/>
      </w:pPr>
    </w:p>
    <w:p w14:paraId="1FBFAFB5" w14:textId="17C47E0F" w:rsidR="001F0F27" w:rsidRDefault="001F0F27" w:rsidP="00586520">
      <w:pPr>
        <w:pStyle w:val="BodyText"/>
      </w:pPr>
    </w:p>
    <w:p w14:paraId="6824CDFA" w14:textId="66FEE96D" w:rsidR="001F0F27" w:rsidRDefault="001F0F27" w:rsidP="00586520">
      <w:pPr>
        <w:pStyle w:val="BodyText"/>
      </w:pPr>
    </w:p>
    <w:p w14:paraId="5C4DF33B" w14:textId="35790935" w:rsidR="001F0F27" w:rsidRDefault="001F0F27" w:rsidP="00586520">
      <w:pPr>
        <w:pStyle w:val="BodyText"/>
      </w:pPr>
    </w:p>
    <w:p w14:paraId="0534A0B4" w14:textId="761AABB8" w:rsidR="00036810" w:rsidRDefault="00036810" w:rsidP="001F0F27">
      <w:pPr>
        <w:pStyle w:val="FigureCaptionAuto"/>
        <w:rPr>
          <w:bCs/>
        </w:rPr>
      </w:pPr>
      <w:r w:rsidRPr="001F0F27">
        <w:lastRenderedPageBreak/>
        <w:t>Security Reference Architecture</w:t>
      </w:r>
      <w:r w:rsidRPr="00EF0040">
        <w:rPr>
          <w:bCs/>
        </w:rPr>
        <w:t xml:space="preserve"> </w:t>
      </w:r>
    </w:p>
    <w:p w14:paraId="0F848860" w14:textId="77777777" w:rsidR="001B419E" w:rsidRDefault="001B419E" w:rsidP="00036810">
      <w:pPr>
        <w:pStyle w:val="BodyText"/>
        <w:rPr>
          <w:b/>
          <w:bCs/>
        </w:rPr>
      </w:pPr>
    </w:p>
    <w:p w14:paraId="00EDCDB6" w14:textId="2923D15E" w:rsidR="001B419E" w:rsidRPr="00EF0040" w:rsidRDefault="002F6DAF" w:rsidP="00036810">
      <w:pPr>
        <w:pStyle w:val="BodyText"/>
        <w:rPr>
          <w:b/>
          <w:bCs/>
        </w:rPr>
      </w:pPr>
      <w:r>
        <w:rPr>
          <w:b/>
          <w:bCs/>
          <w:noProof/>
        </w:rPr>
        <w:drawing>
          <wp:inline distT="0" distB="0" distL="0" distR="0" wp14:anchorId="4A286177" wp14:editId="4B34DECF">
            <wp:extent cx="5866130" cy="4638944"/>
            <wp:effectExtent l="0" t="0" r="1270" b="9525"/>
            <wp:docPr id="17569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0860" cy="4650593"/>
                    </a:xfrm>
                    <a:prstGeom prst="rect">
                      <a:avLst/>
                    </a:prstGeom>
                    <a:noFill/>
                  </pic:spPr>
                </pic:pic>
              </a:graphicData>
            </a:graphic>
          </wp:inline>
        </w:drawing>
      </w:r>
    </w:p>
    <w:p w14:paraId="6275D3FD" w14:textId="77777777" w:rsidR="00036810" w:rsidRDefault="00036810" w:rsidP="00036810">
      <w:pPr>
        <w:pStyle w:val="BodyText"/>
      </w:pPr>
    </w:p>
    <w:p w14:paraId="6EACCCD9" w14:textId="5F04DDD1" w:rsidR="00586520" w:rsidRPr="00A91A9C" w:rsidRDefault="00586520" w:rsidP="00586520">
      <w:pPr>
        <w:pStyle w:val="BodyText"/>
      </w:pPr>
      <w:r w:rsidRPr="00A91A9C">
        <w:t>Our solution supports:</w:t>
      </w:r>
    </w:p>
    <w:p w14:paraId="763BA4ED" w14:textId="77777777" w:rsidR="00586520" w:rsidRDefault="00586520" w:rsidP="00586520">
      <w:pPr>
        <w:pStyle w:val="Bullet1Single0"/>
      </w:pPr>
      <w:r w:rsidRPr="00A91A9C">
        <w:t>Faster delivery of changes through high levels of configurability and cloud-based scalability</w:t>
      </w:r>
    </w:p>
    <w:p w14:paraId="6933214A" w14:textId="434D929A" w:rsidR="00586520" w:rsidRPr="00A91A9C" w:rsidRDefault="00586520" w:rsidP="00586520">
      <w:pPr>
        <w:pStyle w:val="Bullet1Single0"/>
      </w:pPr>
      <w:r w:rsidRPr="00A91A9C">
        <w:t>Fast integration of optional additional modular capabilities</w:t>
      </w:r>
      <w:r w:rsidR="00503CDA">
        <w:t>,</w:t>
      </w:r>
      <w:r w:rsidRPr="00A91A9C">
        <w:t xml:space="preserve"> as needed</w:t>
      </w:r>
    </w:p>
    <w:p w14:paraId="69910433" w14:textId="3362B798" w:rsidR="00586520" w:rsidRPr="00A91A9C" w:rsidRDefault="00586520" w:rsidP="00E668B0">
      <w:pPr>
        <w:pStyle w:val="Bullet1Single0"/>
      </w:pPr>
      <w:r w:rsidRPr="00A91A9C">
        <w:t>Adherence to industry standards, including CDC, Public Health Information Network (PHIN), ACIP, American Immunization Registry Association (AIRA), and Section 508</w:t>
      </w:r>
    </w:p>
    <w:p w14:paraId="7B5AFD14" w14:textId="04CEDDA3" w:rsidR="00586520" w:rsidRPr="00A91A9C" w:rsidRDefault="00267B2A" w:rsidP="00E668B0">
      <w:pPr>
        <w:pStyle w:val="Bullet1Single0"/>
      </w:pPr>
      <w:r>
        <w:t>Scheduled</w:t>
      </w:r>
      <w:r w:rsidR="00586520" w:rsidRPr="00A91A9C">
        <w:t xml:space="preserve"> releases at no additional cost to meet ever-changing industry standards</w:t>
      </w:r>
    </w:p>
    <w:p w14:paraId="03B4EEC5" w14:textId="50450D86" w:rsidR="00CC041A" w:rsidRDefault="00586520" w:rsidP="00E668B0">
      <w:pPr>
        <w:pStyle w:val="Bullet1Single0"/>
      </w:pPr>
      <w:r w:rsidRPr="00A91A9C">
        <w:t>Secure and compliant with National Institute of Standards and Technology (NIST) 800-53 Rev. 5 moderate</w:t>
      </w:r>
    </w:p>
    <w:p w14:paraId="65163DBB" w14:textId="4FFCC4B4" w:rsidR="002E195A" w:rsidRPr="00EB07C5" w:rsidRDefault="002E195A" w:rsidP="00025B32">
      <w:pPr>
        <w:pStyle w:val="BodyText"/>
        <w:spacing w:before="240"/>
      </w:pPr>
      <w:r w:rsidRPr="00EB07C5">
        <w:t>Gainwell is using the CDC’s IIS Functional Standards related to user/organization</w:t>
      </w:r>
      <w:r>
        <w:t>al</w:t>
      </w:r>
      <w:r w:rsidRPr="00EB07C5">
        <w:t xml:space="preserve"> management</w:t>
      </w:r>
      <w:r w:rsidR="000C1B69">
        <w:t>. Our</w:t>
      </w:r>
      <w:r w:rsidRPr="00EB07C5">
        <w:t xml:space="preserve"> solution provides role-based access control (RBAC) to set, delete, and modify multiple levels of user roles and provide rigid controls for data security at the </w:t>
      </w:r>
      <w:r w:rsidR="00796BDC" w:rsidRPr="00796BDC">
        <w:t>jurisdiction</w:t>
      </w:r>
      <w:r w:rsidRPr="00EB07C5">
        <w:t xml:space="preserve">, organization, and user levels. It </w:t>
      </w:r>
      <w:r>
        <w:t>enables</w:t>
      </w:r>
      <w:r w:rsidRPr="00EB07C5">
        <w:t xml:space="preserve"> jurisdictional administrators to manage user roles and their permissions. </w:t>
      </w:r>
      <w:r w:rsidR="000A0A8F">
        <w:t>Jurisdictions</w:t>
      </w:r>
      <w:r w:rsidR="000A0A8F" w:rsidRPr="00EB07C5">
        <w:t xml:space="preserve"> </w:t>
      </w:r>
      <w:r w:rsidRPr="00EB07C5">
        <w:t xml:space="preserve">can configure the relationships between users and an organization. </w:t>
      </w:r>
    </w:p>
    <w:p w14:paraId="1C25BBE3" w14:textId="1920AE2D" w:rsidR="002E195A" w:rsidRDefault="00E243E8" w:rsidP="001372DF">
      <w:pPr>
        <w:pStyle w:val="BodyText"/>
      </w:pPr>
      <w:r>
        <w:lastRenderedPageBreak/>
        <w:t>Th</w:t>
      </w:r>
      <w:r w:rsidR="0084722A">
        <w:t>is</w:t>
      </w:r>
      <w:r>
        <w:t xml:space="preserve"> high configurability</w:t>
      </w:r>
      <w:r w:rsidR="002E195A" w:rsidRPr="00EB07C5">
        <w:t xml:space="preserve"> provides </w:t>
      </w:r>
      <w:r w:rsidR="000A0A8F">
        <w:t>jurisdictions</w:t>
      </w:r>
      <w:r w:rsidR="000A0A8F" w:rsidRPr="00EB07C5">
        <w:t xml:space="preserve"> </w:t>
      </w:r>
      <w:r w:rsidR="002E195A" w:rsidRPr="00EB07C5">
        <w:t>with a technology framework in which to advance best practices in user/organizational management.</w:t>
      </w:r>
    </w:p>
    <w:p w14:paraId="4FFF5D26" w14:textId="432C78DE" w:rsidR="00B429A9" w:rsidRDefault="00B429A9" w:rsidP="00B429A9">
      <w:pPr>
        <w:pStyle w:val="Subheading"/>
      </w:pPr>
      <w:r>
        <w:t>Quality Results</w:t>
      </w:r>
    </w:p>
    <w:p w14:paraId="683E2230" w14:textId="08579028" w:rsidR="006D0D7B" w:rsidRPr="006D0D7B" w:rsidRDefault="006D0D7B" w:rsidP="006D0D7B">
      <w:pPr>
        <w:pStyle w:val="Subheading"/>
        <w:rPr>
          <w:b w:val="0"/>
        </w:rPr>
      </w:pPr>
      <w:r w:rsidRPr="006D0D7B">
        <w:rPr>
          <w:b w:val="0"/>
        </w:rPr>
        <w:t>Gainwell’s next-generation IIS supports better-quality public</w:t>
      </w:r>
      <w:r>
        <w:rPr>
          <w:b w:val="0"/>
        </w:rPr>
        <w:t xml:space="preserve"> </w:t>
      </w:r>
      <w:r w:rsidRPr="006D0D7B">
        <w:rPr>
          <w:b w:val="0"/>
        </w:rPr>
        <w:t>health outcomes and reduces vaccine-preventable diseases.</w:t>
      </w:r>
      <w:r>
        <w:rPr>
          <w:b w:val="0"/>
        </w:rPr>
        <w:t xml:space="preserve"> </w:t>
      </w:r>
      <w:r w:rsidRPr="006D0D7B">
        <w:rPr>
          <w:b w:val="0"/>
        </w:rPr>
        <w:t>Our solution delivers more accurate data about immunization</w:t>
      </w:r>
      <w:r>
        <w:rPr>
          <w:b w:val="0"/>
        </w:rPr>
        <w:t xml:space="preserve"> </w:t>
      </w:r>
      <w:r w:rsidRPr="006D0D7B">
        <w:rPr>
          <w:b w:val="0"/>
        </w:rPr>
        <w:t>history through automating greater real-time exchange of</w:t>
      </w:r>
      <w:r>
        <w:rPr>
          <w:b w:val="0"/>
        </w:rPr>
        <w:t xml:space="preserve"> </w:t>
      </w:r>
      <w:r w:rsidRPr="006D0D7B">
        <w:rPr>
          <w:b w:val="0"/>
        </w:rPr>
        <w:t>vaccine data and more effectively matching and deduplicating</w:t>
      </w:r>
      <w:r>
        <w:rPr>
          <w:b w:val="0"/>
        </w:rPr>
        <w:t xml:space="preserve"> </w:t>
      </w:r>
      <w:r w:rsidRPr="006D0D7B">
        <w:rPr>
          <w:b w:val="0"/>
        </w:rPr>
        <w:t>data records.</w:t>
      </w:r>
    </w:p>
    <w:p w14:paraId="7786BBF9" w14:textId="751F7ADF" w:rsidR="00B429A9" w:rsidRDefault="006D0D7B" w:rsidP="006D0D7B">
      <w:pPr>
        <w:pStyle w:val="Subheading"/>
        <w:rPr>
          <w:b w:val="0"/>
        </w:rPr>
      </w:pPr>
      <w:r w:rsidRPr="006D0D7B">
        <w:rPr>
          <w:b w:val="0"/>
        </w:rPr>
        <w:t>Individuals have quick access to their immunization records</w:t>
      </w:r>
      <w:r>
        <w:rPr>
          <w:b w:val="0"/>
        </w:rPr>
        <w:t xml:space="preserve"> </w:t>
      </w:r>
      <w:r w:rsidRPr="006D0D7B">
        <w:rPr>
          <w:b w:val="0"/>
        </w:rPr>
        <w:t>and clear reminders of next steps. Providers have reminders,</w:t>
      </w:r>
      <w:r>
        <w:rPr>
          <w:b w:val="0"/>
        </w:rPr>
        <w:t xml:space="preserve"> </w:t>
      </w:r>
      <w:r w:rsidRPr="006D0D7B">
        <w:rPr>
          <w:b w:val="0"/>
        </w:rPr>
        <w:t>recall notices, reports, and tools to order and administer</w:t>
      </w:r>
      <w:r>
        <w:rPr>
          <w:b w:val="0"/>
        </w:rPr>
        <w:t xml:space="preserve"> </w:t>
      </w:r>
      <w:r w:rsidRPr="006D0D7B">
        <w:rPr>
          <w:b w:val="0"/>
        </w:rPr>
        <w:t>vaccines. Public health officials and health plans have</w:t>
      </w:r>
      <w:r>
        <w:rPr>
          <w:b w:val="0"/>
        </w:rPr>
        <w:t xml:space="preserve"> </w:t>
      </w:r>
      <w:r w:rsidRPr="006D0D7B">
        <w:rPr>
          <w:b w:val="0"/>
        </w:rPr>
        <w:t>meaningful reporting, including predictive analytics, to help</w:t>
      </w:r>
      <w:r>
        <w:rPr>
          <w:b w:val="0"/>
        </w:rPr>
        <w:t xml:space="preserve"> </w:t>
      </w:r>
      <w:r w:rsidRPr="006D0D7B">
        <w:rPr>
          <w:b w:val="0"/>
        </w:rPr>
        <w:t>support equitable distribution of vaccines and to plan outreach to communities with barriers to</w:t>
      </w:r>
      <w:r>
        <w:rPr>
          <w:b w:val="0"/>
        </w:rPr>
        <w:t xml:space="preserve"> </w:t>
      </w:r>
      <w:r w:rsidRPr="006D0D7B">
        <w:rPr>
          <w:b w:val="0"/>
        </w:rPr>
        <w:t>vaccine access. As a result, programs achieve better return on investment, improved health</w:t>
      </w:r>
      <w:r>
        <w:rPr>
          <w:b w:val="0"/>
        </w:rPr>
        <w:t xml:space="preserve"> </w:t>
      </w:r>
      <w:r w:rsidRPr="006D0D7B">
        <w:rPr>
          <w:b w:val="0"/>
        </w:rPr>
        <w:t>outcomes, and enhanced operational efficiency.</w:t>
      </w:r>
    </w:p>
    <w:p w14:paraId="22ED6C97" w14:textId="77777777" w:rsidR="00B11BC0" w:rsidRDefault="00B11BC0" w:rsidP="00E25CCD">
      <w:pPr>
        <w:pStyle w:val="BodyText"/>
        <w:rPr>
          <w:b/>
        </w:rPr>
      </w:pPr>
    </w:p>
    <w:p w14:paraId="5E8D4A3E" w14:textId="2AAF521A" w:rsidR="00B11BC0" w:rsidRDefault="00B11BC0" w:rsidP="00E25CCD">
      <w:pPr>
        <w:pStyle w:val="BodyText"/>
        <w:rPr>
          <w:b/>
        </w:rPr>
      </w:pPr>
      <w:r w:rsidRPr="00B11BC0">
        <w:rPr>
          <w:b/>
        </w:rPr>
        <w:t>Patient Match/Deduplication</w:t>
      </w:r>
    </w:p>
    <w:p w14:paraId="577406B4" w14:textId="5FE5A10A" w:rsidR="005F219A" w:rsidRDefault="00DB7A2E" w:rsidP="005F219A">
      <w:pPr>
        <w:pStyle w:val="BodyText"/>
      </w:pPr>
      <w:r>
        <w:t>Gainwell’s Immunization Solution provides</w:t>
      </w:r>
      <w:r w:rsidRPr="00DB7A2E">
        <w:t xml:space="preserve"> improved functionality with real-time client deduplication and record merging at the patient and the immunization level. Per CDC guidance, the solution implements rules to remove redundant patient records from </w:t>
      </w:r>
      <w:r w:rsidR="002F6F95">
        <w:t>an</w:t>
      </w:r>
      <w:r w:rsidRPr="00DB7A2E">
        <w:t xml:space="preserve"> </w:t>
      </w:r>
      <w:r w:rsidR="002F6F95">
        <w:t>a</w:t>
      </w:r>
      <w:r w:rsidRPr="00DB7A2E">
        <w:t>gency’s immunization database, prevent incomplete or flawed information from being processed, and verify that updates and queries are applied to the correct record. Functionality includes using prebuilt screens to allow the end user to view matched/pended clients and merge or make distinct records</w:t>
      </w:r>
      <w:r w:rsidR="002D31C1" w:rsidRPr="00DB7A2E">
        <w:t xml:space="preserve">. </w:t>
      </w:r>
    </w:p>
    <w:p w14:paraId="43B85530" w14:textId="6566B6C1" w:rsidR="00715ABE" w:rsidRDefault="00715ABE" w:rsidP="00715ABE">
      <w:pPr>
        <w:pStyle w:val="BodyText"/>
      </w:pPr>
      <w:r>
        <w:t>This ability helps unify and simplify the collection, organization, and analysis of data by merging patient information into consolidated immunization records accessible by authorized personnel. The solution comes with knowledge about and rules for reconciling or rejecting the most common forms of data duplication and other conflicts that occur in healthcare data. It supports the ability to automatically identify incoming patient records as potential duplicates. It also supports the ability to instantly identify potential duplicates within existing patient records.</w:t>
      </w:r>
    </w:p>
    <w:p w14:paraId="3490F0CA" w14:textId="11A8EF0D" w:rsidR="00715ABE" w:rsidRDefault="00715ABE" w:rsidP="00715ABE">
      <w:pPr>
        <w:pStyle w:val="BodyText"/>
      </w:pPr>
      <w:r>
        <w:t>The solution applies industry standards published by AIRA. Immunization solutions often receive data from multiple sources using sets of rules to manage the deduplication process and verify data continuity. Data is sequenced, weighted, and then evaluated to produce the strongest match. Set variables, principles, and business rules validate the results. Our solution uses a “match to a patient” process on incoming patient records so the new information is linked to update the correct patient record or create a new patient record as needed.</w:t>
      </w:r>
    </w:p>
    <w:p w14:paraId="538AC88F" w14:textId="006BE6AF" w:rsidR="00A77EAC" w:rsidRPr="000232CD" w:rsidRDefault="00A77EAC" w:rsidP="000232CD">
      <w:pPr>
        <w:pStyle w:val="Subheading"/>
      </w:pPr>
      <w:r>
        <w:t xml:space="preserve">Data Exchange and </w:t>
      </w:r>
      <w:r w:rsidR="003F407C">
        <w:t>Industry Compliance</w:t>
      </w:r>
    </w:p>
    <w:p w14:paraId="4F7CF176" w14:textId="77777777" w:rsidR="00027FE9" w:rsidRPr="00A91A9C" w:rsidRDefault="00027FE9" w:rsidP="00027FE9">
      <w:pPr>
        <w:pStyle w:val="BodyText"/>
      </w:pPr>
      <w:r w:rsidRPr="00A91A9C">
        <w:t>The Data Exchange component supports updates to a single consolidated immunization record through real-time data exchange with electronic health records (EHRs) and other EHR sources. Our standards for data exchange include:</w:t>
      </w:r>
    </w:p>
    <w:p w14:paraId="07480AB2" w14:textId="77777777" w:rsidR="00027FE9" w:rsidRPr="00A91A9C" w:rsidRDefault="00027FE9" w:rsidP="00027FE9">
      <w:pPr>
        <w:pStyle w:val="Bullet1Double"/>
      </w:pPr>
      <w:r w:rsidRPr="00A91A9C">
        <w:t>Value sets associated with the CDC-endorsed HL7 Implementation Guide for Immunization Messaging</w:t>
      </w:r>
    </w:p>
    <w:p w14:paraId="71CF056F" w14:textId="77777777" w:rsidR="00027FE9" w:rsidRPr="00A91A9C" w:rsidRDefault="00027FE9" w:rsidP="00027FE9">
      <w:pPr>
        <w:pStyle w:val="Bullet1Double"/>
      </w:pPr>
      <w:r w:rsidRPr="00A91A9C">
        <w:t>PHIN standards</w:t>
      </w:r>
    </w:p>
    <w:p w14:paraId="0F656DCF" w14:textId="27E9C02F" w:rsidR="005A3DEC" w:rsidRPr="00EB07C5" w:rsidRDefault="00027FE9" w:rsidP="005A3DEC">
      <w:pPr>
        <w:pStyle w:val="BodyText"/>
      </w:pPr>
      <w:r w:rsidRPr="00027FE9">
        <w:lastRenderedPageBreak/>
        <w:t>Additionally, the system supports CDC Immunization Information Systems Support Branch (IISSB) Functional Standards. These standards address technical guidance for data transport and deduplication, clinical decision support for immunizations (forecasting vaccine), the CDC’s Immunization Gateway (IZGW), and the ability to exchange data among jurisdictions. Compliance with these standards improves data quality and gives public health officials better insight into where to expend resources to address the needs of vulnerable communities</w:t>
      </w:r>
      <w:r w:rsidR="00B52F9D">
        <w:t xml:space="preserve">. </w:t>
      </w:r>
      <w:r w:rsidR="005A3DEC" w:rsidRPr="00EB07C5">
        <w:t xml:space="preserve">Configurability also allows for </w:t>
      </w:r>
      <w:r w:rsidR="00796BDC">
        <w:t>jurisdiction</w:t>
      </w:r>
      <w:r w:rsidR="00796BDC" w:rsidRPr="00A91A9C">
        <w:t xml:space="preserve"> </w:t>
      </w:r>
      <w:r w:rsidR="005A3DEC">
        <w:t>-</w:t>
      </w:r>
      <w:r w:rsidR="005A3DEC" w:rsidRPr="00EB07C5">
        <w:t xml:space="preserve">specific required data elements to be added. </w:t>
      </w:r>
    </w:p>
    <w:p w14:paraId="77DC1530" w14:textId="04A7A744" w:rsidR="005C689D" w:rsidRPr="005C689D" w:rsidRDefault="001D2E78" w:rsidP="00C968B0">
      <w:pPr>
        <w:pStyle w:val="Heading50"/>
        <w:rPr>
          <w:rFonts w:hint="eastAsia"/>
        </w:rPr>
      </w:pPr>
      <w:r>
        <w:t>Provider Interface and Management</w:t>
      </w:r>
    </w:p>
    <w:p w14:paraId="44730F9E" w14:textId="49852F63" w:rsidR="005A3DEC" w:rsidRPr="00EB07C5" w:rsidRDefault="005A3DEC" w:rsidP="005A3DEC">
      <w:pPr>
        <w:pStyle w:val="BodyText"/>
      </w:pPr>
      <w:r w:rsidRPr="00EB07C5">
        <w:t xml:space="preserve">The solution accommodates enrollment for VFC participants and providers; however, provider enrollment for the solution is not limited to VFC providers only. The enrollment functionality also allows providers that serve adults and special populations. With </w:t>
      </w:r>
      <w:r>
        <w:t>this</w:t>
      </w:r>
      <w:r w:rsidRPr="00EB07C5">
        <w:t xml:space="preserve"> functionality not limited to VFC providers, the Gainwell Immunization Solution can be used for enrolling providers in response to current and future public health emergencies.</w:t>
      </w:r>
      <w:r w:rsidR="007F298F">
        <w:t xml:space="preserve"> Electronic enrollments and agreements are easily configured for all provider types and provide centralized reporting for improved user experience of both providers and the </w:t>
      </w:r>
      <w:r w:rsidR="00D47258">
        <w:t>jurisdiction</w:t>
      </w:r>
      <w:r w:rsidR="007F298F">
        <w:t>.</w:t>
      </w:r>
    </w:p>
    <w:p w14:paraId="7EE20A0D" w14:textId="77777777" w:rsidR="00B01B94" w:rsidRPr="00EB07C5" w:rsidRDefault="00B01B94" w:rsidP="00B01B94">
      <w:pPr>
        <w:pStyle w:val="Subheading"/>
      </w:pPr>
      <w:r w:rsidRPr="00EB07C5">
        <w:t>Exchanging Data with EHRs in Real Time</w:t>
      </w:r>
    </w:p>
    <w:p w14:paraId="40A892C1" w14:textId="1E191BBF" w:rsidR="00B01B94" w:rsidRPr="00EB07C5" w:rsidRDefault="00B01B94" w:rsidP="00B01B94">
      <w:pPr>
        <w:pStyle w:val="BodyText"/>
      </w:pPr>
      <w:r w:rsidRPr="00EB07C5">
        <w:t xml:space="preserve">Gainwell’s Immunization Solution provides real-time data exchange and interactions with </w:t>
      </w:r>
      <w:r w:rsidRPr="00EB07C5">
        <w:rPr>
          <w:lang w:bidi="ar-SA"/>
        </w:rPr>
        <w:t>Electronic Health Record (EHR</w:t>
      </w:r>
      <w:r w:rsidRPr="26A493A8">
        <w:rPr>
          <w:lang w:bidi="ar-SA"/>
        </w:rPr>
        <w:t>/</w:t>
      </w:r>
      <w:r>
        <w:rPr>
          <w:lang w:bidi="ar-SA"/>
        </w:rPr>
        <w:t>E</w:t>
      </w:r>
      <w:r w:rsidR="00233A9F">
        <w:rPr>
          <w:lang w:bidi="ar-SA"/>
        </w:rPr>
        <w:t>M</w:t>
      </w:r>
      <w:r>
        <w:rPr>
          <w:lang w:bidi="ar-SA"/>
        </w:rPr>
        <w:t>R</w:t>
      </w:r>
      <w:r w:rsidRPr="26A493A8">
        <w:rPr>
          <w:lang w:bidi="ar-SA"/>
        </w:rPr>
        <w:t>)</w:t>
      </w:r>
      <w:r w:rsidRPr="00EB07C5">
        <w:rPr>
          <w:lang w:bidi="ar-SA"/>
        </w:rPr>
        <w:t xml:space="preserve"> applications </w:t>
      </w:r>
      <w:r w:rsidRPr="00EB07C5">
        <w:t>and other electronic health records sources to provide a consolidated immunization record for each patient. Gainwell interacts with various health and human service</w:t>
      </w:r>
      <w:r>
        <w:t>s</w:t>
      </w:r>
      <w:r w:rsidRPr="00EB07C5">
        <w:t xml:space="preserve"> partners and providers through our existing contracts </w:t>
      </w:r>
      <w:r>
        <w:t>across the country;</w:t>
      </w:r>
      <w:r w:rsidRPr="00EB07C5">
        <w:t xml:space="preserve"> </w:t>
      </w:r>
      <w:r>
        <w:t xml:space="preserve">thus, </w:t>
      </w:r>
      <w:r w:rsidRPr="00EB07C5">
        <w:t xml:space="preserve">we are intimately familiar with the intricacies of these entities and the security required to protect </w:t>
      </w:r>
      <w:r w:rsidR="00D47258">
        <w:t>jurisdictions’</w:t>
      </w:r>
      <w:r w:rsidR="00D47258" w:rsidRPr="00EB07C5">
        <w:t xml:space="preserve"> </w:t>
      </w:r>
      <w:r w:rsidRPr="00EB07C5">
        <w:t xml:space="preserve">members during the data exchange process. Because we manage these services, </w:t>
      </w:r>
      <w:r>
        <w:t>our</w:t>
      </w:r>
      <w:r w:rsidRPr="00EB07C5">
        <w:t xml:space="preserve"> solution is built to </w:t>
      </w:r>
      <w:r>
        <w:t>use</w:t>
      </w:r>
      <w:r w:rsidRPr="00EB07C5">
        <w:t xml:space="preserve"> next-generation technology to increase satisfaction while protecting and securing data.</w:t>
      </w:r>
    </w:p>
    <w:p w14:paraId="0D2B02C8" w14:textId="77777777" w:rsidR="005A3DEC" w:rsidRPr="00EB07C5" w:rsidRDefault="005A3DEC" w:rsidP="005A3DEC">
      <w:pPr>
        <w:pStyle w:val="Subheading"/>
      </w:pPr>
      <w:r w:rsidRPr="00EB07C5">
        <w:t>Documenting School/Childcare Audits by Local Public Health Agencies</w:t>
      </w:r>
    </w:p>
    <w:p w14:paraId="46167917" w14:textId="21F1DB37" w:rsidR="005A3DEC" w:rsidRPr="00EB07C5" w:rsidRDefault="005A3DEC" w:rsidP="005A3DEC">
      <w:pPr>
        <w:pStyle w:val="BodyText"/>
      </w:pPr>
      <w:r w:rsidRPr="00EB07C5">
        <w:t xml:space="preserve">Our School </w:t>
      </w:r>
      <w:r>
        <w:t xml:space="preserve">Record Management </w:t>
      </w:r>
      <w:r w:rsidRPr="00EB07C5">
        <w:t>module can be configured for both school and childcare functionality. The benefit of this module is to improve compliance rates with immunization</w:t>
      </w:r>
      <w:r w:rsidRPr="00EB07C5">
        <w:rPr>
          <w:rFonts w:ascii="Roboto" w:hAnsi="Roboto"/>
          <w:color w:val="575757"/>
        </w:rPr>
        <w:t xml:space="preserve"> requirements. </w:t>
      </w:r>
      <w:r w:rsidRPr="00EB07C5">
        <w:t xml:space="preserve">School nurses and staff can use this module to review children’s existing immunization records and enter medically verified historical immunizations that are missing in their IIS. </w:t>
      </w:r>
      <w:r w:rsidR="008A24E8">
        <w:t xml:space="preserve">The </w:t>
      </w:r>
      <w:r w:rsidR="00D47258">
        <w:t>jurisdiction</w:t>
      </w:r>
      <w:r w:rsidR="00D47258" w:rsidRPr="00EB07C5">
        <w:t xml:space="preserve"> </w:t>
      </w:r>
      <w:r w:rsidRPr="00EB07C5">
        <w:t>determines the documents to be considered as proof of medically verified historical immunization. Users can generate reports to determine compliance, determine individuals who may be missing immunization requirements, or determine who is susceptible to a vaccine-preventable disease. The benefits that providers will realize by promoting this module will be seen with the increased accuracy and completeness of immunization records. Data collected from schools</w:t>
      </w:r>
      <w:r>
        <w:t xml:space="preserve"> and </w:t>
      </w:r>
      <w:r w:rsidRPr="00EB07C5">
        <w:t xml:space="preserve">daycares can be configured to monitor compliance in geographic areas of excellence or areas of further opportunity for outreach and health education. </w:t>
      </w:r>
    </w:p>
    <w:p w14:paraId="0A35348E" w14:textId="7376B7B5" w:rsidR="005A3DEC" w:rsidRPr="00EB07C5" w:rsidRDefault="005A3DEC" w:rsidP="00D047C7">
      <w:pPr>
        <w:pStyle w:val="Heading50"/>
        <w:rPr>
          <w:rFonts w:hint="eastAsia"/>
        </w:rPr>
      </w:pPr>
      <w:r w:rsidRPr="00EB07C5">
        <w:t>Vaccine Inventory Management and Accountability</w:t>
      </w:r>
    </w:p>
    <w:p w14:paraId="5C82F345" w14:textId="47BAFD15" w:rsidR="00742C06" w:rsidRPr="00EB07C5" w:rsidRDefault="005A3DEC" w:rsidP="005A3DEC">
      <w:pPr>
        <w:pStyle w:val="BodyText"/>
      </w:pPr>
      <w:r w:rsidRPr="00EB07C5">
        <w:t xml:space="preserve">One of </w:t>
      </w:r>
      <w:r>
        <w:t>the Gainwell solution’s</w:t>
      </w:r>
      <w:r w:rsidRPr="00EB07C5">
        <w:t xml:space="preserve"> core functional areas, Vaccine Inventory Management and Accountability, is designed to be tightly integrated with the CDC's VTrckS to order and manage doses for the VFC population. This includes managing and distributing doses and verifying the accountability reporting required at the </w:t>
      </w:r>
      <w:r w:rsidR="00796BDC">
        <w:t>jurisdictional</w:t>
      </w:r>
      <w:r w:rsidR="00796BDC" w:rsidRPr="00A91A9C">
        <w:t xml:space="preserve"> </w:t>
      </w:r>
      <w:r w:rsidRPr="00EB07C5">
        <w:t xml:space="preserve">and federal levels. This functionality </w:t>
      </w:r>
      <w:r w:rsidRPr="00EB07C5">
        <w:lastRenderedPageBreak/>
        <w:t>enable</w:t>
      </w:r>
      <w:r>
        <w:t>s</w:t>
      </w:r>
      <w:r w:rsidRPr="00EB07C5">
        <w:t xml:space="preserve"> </w:t>
      </w:r>
      <w:r w:rsidR="00E6080B">
        <w:t xml:space="preserve">a </w:t>
      </w:r>
      <w:r w:rsidR="00DE36CD">
        <w:t>jurisdiction</w:t>
      </w:r>
      <w:r w:rsidR="00E6080B" w:rsidRPr="00EB07C5">
        <w:t xml:space="preserve"> </w:t>
      </w:r>
      <w:r w:rsidRPr="00EB07C5">
        <w:t xml:space="preserve">to manage the distribution of vaccines from </w:t>
      </w:r>
      <w:r w:rsidR="00DE36CD">
        <w:t>jurisdiction</w:t>
      </w:r>
      <w:r w:rsidRPr="00EB07C5">
        <w:t xml:space="preserve"> resources to counties and individual providers enrolled in Gainwell’s Immunization Solution.</w:t>
      </w:r>
    </w:p>
    <w:p w14:paraId="18C7BB01" w14:textId="77777777" w:rsidR="005A3DEC" w:rsidRPr="00EB07C5" w:rsidRDefault="005A3DEC" w:rsidP="005A3DEC">
      <w:pPr>
        <w:pStyle w:val="Subheading"/>
      </w:pPr>
      <w:r w:rsidRPr="00EB07C5">
        <w:t>Supporting Online Vaccine Ordering</w:t>
      </w:r>
    </w:p>
    <w:p w14:paraId="415DD8E0" w14:textId="04C8E9CF" w:rsidR="005A3DEC" w:rsidRPr="00EB07C5" w:rsidRDefault="005A3DEC" w:rsidP="005A3DEC">
      <w:pPr>
        <w:pStyle w:val="BodyText"/>
      </w:pPr>
      <w:r>
        <w:t>Gainwell’s</w:t>
      </w:r>
      <w:r w:rsidRPr="00EB07C5">
        <w:t xml:space="preserve"> solution fully supports online vaccine ordering for VFC providers. Features include inventory management of private and public vaccine supplies, and functionality to export data to VTrckS. Overall, the solution provides robust support for healthcare providers in meeting the requirements of the VFC program as well as </w:t>
      </w:r>
      <w:r w:rsidR="000A0ACE">
        <w:t>jurisdiction</w:t>
      </w:r>
      <w:r w:rsidR="000A0ACE" w:rsidRPr="00A91A9C">
        <w:t xml:space="preserve"> </w:t>
      </w:r>
      <w:r w:rsidRPr="00EB07C5">
        <w:t>vaccine programs.</w:t>
      </w:r>
    </w:p>
    <w:p w14:paraId="4855D61A" w14:textId="39F90480" w:rsidR="005A3DEC" w:rsidRPr="00EB07C5" w:rsidRDefault="005A3DEC" w:rsidP="005A3DEC">
      <w:pPr>
        <w:pStyle w:val="BodyText"/>
      </w:pPr>
      <w:r w:rsidRPr="00EB07C5">
        <w:t xml:space="preserve">Most notably, the solution improves </w:t>
      </w:r>
      <w:r w:rsidR="00DE36CD">
        <w:t>jurisdiction</w:t>
      </w:r>
      <w:r w:rsidR="00824505">
        <w:t>s’</w:t>
      </w:r>
      <w:r w:rsidR="00824505" w:rsidRPr="00EB07C5">
        <w:t xml:space="preserve"> </w:t>
      </w:r>
      <w:r w:rsidRPr="00EB07C5">
        <w:t>capabilities in the following areas: order processing, r</w:t>
      </w:r>
      <w:r w:rsidRPr="00EB07C5">
        <w:rPr>
          <w:lang w:bidi="ar-SA"/>
        </w:rPr>
        <w:t xml:space="preserve">eviewing/approving orders, dose decrementing, inventory reconciliation, transfers, wastage, and expiration. </w:t>
      </w:r>
      <w:r w:rsidRPr="00EB07C5">
        <w:t xml:space="preserve">Gainwell’s Immunization Solution is fully designed to be configurable, unlike many solutions on the market. Configurability includes the </w:t>
      </w:r>
      <w:r w:rsidR="00DE36CD">
        <w:t>jurisdiction</w:t>
      </w:r>
      <w:r w:rsidRPr="00EB07C5">
        <w:t xml:space="preserve">’s ability to configure vaccine order sets. This </w:t>
      </w:r>
      <w:r>
        <w:t>helps</w:t>
      </w:r>
      <w:r w:rsidRPr="00EB07C5">
        <w:t xml:space="preserve"> </w:t>
      </w:r>
      <w:r w:rsidR="00DE36CD">
        <w:t>jurisdiction</w:t>
      </w:r>
      <w:r w:rsidR="004D77EC">
        <w:t>s</w:t>
      </w:r>
      <w:r w:rsidR="004D77EC" w:rsidRPr="00EB07C5">
        <w:t xml:space="preserve"> </w:t>
      </w:r>
      <w:r w:rsidRPr="00EB07C5">
        <w:t>determin</w:t>
      </w:r>
      <w:r>
        <w:t>e</w:t>
      </w:r>
      <w:r w:rsidRPr="00EB07C5">
        <w:t xml:space="preserve"> which vaccines each facility is eligible to order.</w:t>
      </w:r>
    </w:p>
    <w:p w14:paraId="20037D49" w14:textId="4B779906" w:rsidR="005A3DEC" w:rsidRDefault="005A3DEC" w:rsidP="001372DF">
      <w:pPr>
        <w:pStyle w:val="BodyText"/>
      </w:pPr>
      <w:r w:rsidRPr="00EB07C5">
        <w:t xml:space="preserve">Both private and public vaccines can be tracked in the vaccine inventory tiles. Using this functionality means vaccines are being monitored and </w:t>
      </w:r>
      <w:r>
        <w:t>used</w:t>
      </w:r>
      <w:r w:rsidRPr="00EB07C5">
        <w:t xml:space="preserve"> before expiration, lowering the risk of unadministered vaccines. The inventory management tools not only assist the facility in accountable inventory management but also </w:t>
      </w:r>
      <w:r>
        <w:t>enable</w:t>
      </w:r>
      <w:r w:rsidRPr="00EB07C5">
        <w:t xml:space="preserve"> the </w:t>
      </w:r>
      <w:r w:rsidR="00DE36CD">
        <w:t>jurisdiction</w:t>
      </w:r>
      <w:r w:rsidRPr="00EB07C5">
        <w:t xml:space="preserve"> to forecast future vaccine needs, which supports efforts in responsible fiscal management. Additionally, the solution’s user functionality allows for the export of vaccine orders to VTrckS. </w:t>
      </w:r>
    </w:p>
    <w:p w14:paraId="72800531" w14:textId="77777777" w:rsidR="007F298F" w:rsidRDefault="007F298F" w:rsidP="007F298F">
      <w:pPr>
        <w:pStyle w:val="Bullet1Double"/>
        <w:numPr>
          <w:ilvl w:val="0"/>
          <w:numId w:val="0"/>
        </w:numPr>
        <w:rPr>
          <w:b/>
          <w:bCs w:val="0"/>
        </w:rPr>
      </w:pPr>
      <w:r w:rsidRPr="00AE7D4F">
        <w:rPr>
          <w:b/>
          <w:bCs w:val="0"/>
        </w:rPr>
        <w:t>Immunization Forecasting</w:t>
      </w:r>
    </w:p>
    <w:p w14:paraId="34542A0E" w14:textId="77777777" w:rsidR="007F298F" w:rsidRDefault="007F298F" w:rsidP="007F298F">
      <w:pPr>
        <w:pStyle w:val="BodyText"/>
        <w:rPr>
          <w:b/>
        </w:rPr>
      </w:pPr>
      <w:r w:rsidRPr="00B100D6">
        <w:t>The Immunization Forecasting component notifies clinicians of immunizations due and recommended patient doses based on the CDC’s Advisory Committee on Immunization Practices (ACIP) guidelines.</w:t>
      </w:r>
    </w:p>
    <w:p w14:paraId="4033A07A" w14:textId="518926CB" w:rsidR="007F298F" w:rsidRDefault="007F298F" w:rsidP="001372DF">
      <w:pPr>
        <w:pStyle w:val="BodyText"/>
      </w:pPr>
      <w:r>
        <w:t>Gainwell understands that both age and underlining conditions are factors in determining the immunization requirements for each patient/student. Gainwell’s Immunization Solution maintains the ACIP-recommended schedules for children, adolescents, and adults, including travel vaccines. The solution evaluates a patient's immunization history according to Clinical Decision Support for Immunization (CDSi) project guidance and delivers CDS</w:t>
      </w:r>
      <w:r w:rsidR="0047066C">
        <w:t>i</w:t>
      </w:r>
      <w:r>
        <w:t xml:space="preserve"> scenarios to AIRA’s Aggregate Analysis Reporting Tool (AART) for assessment and validity. As a value-added benefit, Gainwell analyzes proposed changes voted on by the ACIP and then updates the solution as necessary on your behalf near real-time. Lastly, the solution will store all prior immunization schedules to assist in validation assessment at the time the vaccine was administered as well as the corresponding test cases</w:t>
      </w:r>
      <w:r w:rsidR="00592D84">
        <w:t xml:space="preserve">. </w:t>
      </w:r>
    </w:p>
    <w:p w14:paraId="15126B30" w14:textId="7FE5D714" w:rsidR="0019314B" w:rsidRDefault="00F0360C" w:rsidP="00A856A9">
      <w:pPr>
        <w:pStyle w:val="Heading50"/>
        <w:rPr>
          <w:rFonts w:hint="eastAsia"/>
        </w:rPr>
      </w:pPr>
      <w:r>
        <w:t>Reporting and Data Analytics</w:t>
      </w:r>
    </w:p>
    <w:p w14:paraId="789ECE82" w14:textId="46364C54" w:rsidR="00AC3D59" w:rsidRDefault="009B0C93" w:rsidP="009B0C93">
      <w:pPr>
        <w:pStyle w:val="BodyText"/>
      </w:pPr>
      <w:r>
        <w:t xml:space="preserve">The solution offers visualizations that support the analysis of immunization coverage. </w:t>
      </w:r>
      <w:r w:rsidR="00DE36CD">
        <w:t>Jurisdiction</w:t>
      </w:r>
      <w:r>
        <w:t>, county, provider, school, and geographic information systems are eligible functions that can figure into the development of dashboards, which include geographic information to identify risk and other critical factors in a visualization.</w:t>
      </w:r>
    </w:p>
    <w:p w14:paraId="777C0003" w14:textId="788A8A49" w:rsidR="00984AE2" w:rsidRPr="00A91A9C" w:rsidRDefault="0061097B" w:rsidP="00984AE2">
      <w:pPr>
        <w:pStyle w:val="BodyText"/>
      </w:pPr>
      <w:r>
        <w:t xml:space="preserve">Population Management </w:t>
      </w:r>
      <w:r w:rsidR="00997173">
        <w:t xml:space="preserve">reports </w:t>
      </w:r>
      <w:r>
        <w:t xml:space="preserve">support accurate annual reporting to the CDC on immunization events and outcomes. </w:t>
      </w:r>
      <w:r w:rsidR="00997173" w:rsidRPr="00997173">
        <w:t xml:space="preserve">Dashboard reporting enables </w:t>
      </w:r>
      <w:r w:rsidR="00DE36CD">
        <w:t>jurisdiction</w:t>
      </w:r>
      <w:r w:rsidR="00997173" w:rsidRPr="00997173">
        <w:t xml:space="preserve">s to identify healthcare trends at the </w:t>
      </w:r>
      <w:r w:rsidR="000A0ACE" w:rsidRPr="000A0ACE">
        <w:t>jurisdiction</w:t>
      </w:r>
      <w:r w:rsidR="00997173" w:rsidRPr="00997173">
        <w:t xml:space="preserve">, provider, and school levels. </w:t>
      </w:r>
      <w:r w:rsidR="00DE36CD">
        <w:t>Jurisdiction</w:t>
      </w:r>
      <w:r w:rsidR="00997173">
        <w:t>s</w:t>
      </w:r>
      <w:r w:rsidR="00997173" w:rsidRPr="00997173">
        <w:t xml:space="preserve"> can also drill down on other data elements as determined by the data being displayed to verify adherence to the </w:t>
      </w:r>
      <w:r w:rsidR="00DE36CD">
        <w:t>jurisdiction</w:t>
      </w:r>
      <w:r w:rsidR="00997173" w:rsidRPr="00997173">
        <w:t>’s specific data release policies.</w:t>
      </w:r>
      <w:r w:rsidR="00984AE2">
        <w:t xml:space="preserve"> </w:t>
      </w:r>
      <w:r w:rsidR="00984AE2" w:rsidRPr="00A91A9C">
        <w:t>Reports include:</w:t>
      </w:r>
    </w:p>
    <w:p w14:paraId="6B196308" w14:textId="457CB31A" w:rsidR="00984AE2" w:rsidRPr="00A91A9C" w:rsidRDefault="00984AE2" w:rsidP="00984AE2">
      <w:pPr>
        <w:pStyle w:val="Bullet1Double"/>
      </w:pPr>
      <w:r w:rsidRPr="00A91A9C">
        <w:lastRenderedPageBreak/>
        <w:t>Vaccine use at the patient, clinic,</w:t>
      </w:r>
      <w:r w:rsidR="006D360F">
        <w:t xml:space="preserve"> and </w:t>
      </w:r>
      <w:r w:rsidRPr="00A91A9C">
        <w:t xml:space="preserve"> jurisdiction level</w:t>
      </w:r>
    </w:p>
    <w:p w14:paraId="47F91222" w14:textId="77777777" w:rsidR="00984AE2" w:rsidRPr="00A91A9C" w:rsidRDefault="00984AE2" w:rsidP="00984AE2">
      <w:pPr>
        <w:pStyle w:val="Bullet1Double"/>
      </w:pPr>
      <w:r w:rsidRPr="00A91A9C">
        <w:t xml:space="preserve">Inventory auditing to support accountability for the </w:t>
      </w:r>
      <w:r w:rsidRPr="00A91A9C">
        <w:rPr>
          <w:rStyle w:val="Bullet1DoubleCharChar"/>
        </w:rPr>
        <w:t>distribution</w:t>
      </w:r>
      <w:r w:rsidRPr="00A91A9C">
        <w:t xml:space="preserve"> and use of publicly purchased vaccine supplies</w:t>
      </w:r>
    </w:p>
    <w:p w14:paraId="54447A0E" w14:textId="545A69B4" w:rsidR="0061097B" w:rsidRDefault="00984AE2" w:rsidP="00A856A9">
      <w:pPr>
        <w:pStyle w:val="Bullet1Double"/>
      </w:pPr>
      <w:r>
        <w:t>Changes in vaccine administration trends at different administration levels</w:t>
      </w:r>
    </w:p>
    <w:p w14:paraId="0CF9C273" w14:textId="402578F9" w:rsidR="00AC3D59" w:rsidRPr="00EB07C5" w:rsidRDefault="00AC3D59" w:rsidP="00AC3D59">
      <w:pPr>
        <w:pStyle w:val="Subheading"/>
      </w:pPr>
      <w:r w:rsidRPr="00EB07C5">
        <w:t>Delivering Reminder/Recall Notices</w:t>
      </w:r>
    </w:p>
    <w:p w14:paraId="64A57697" w14:textId="186B26CC" w:rsidR="00AC3D59" w:rsidRPr="00EB07C5" w:rsidRDefault="00AC3D59" w:rsidP="00AC3D59">
      <w:pPr>
        <w:pStyle w:val="BodyText"/>
      </w:pPr>
      <w:r>
        <w:t>Gainwell’s Immunization</w:t>
      </w:r>
      <w:r w:rsidRPr="00EB07C5">
        <w:t xml:space="preserve"> Solution provides the functionality to deliver reminders and recall notices at both the provider and </w:t>
      </w:r>
      <w:r w:rsidR="00DE36CD">
        <w:t>jurisdiction</w:t>
      </w:r>
      <w:r w:rsidRPr="00EB07C5">
        <w:t xml:space="preserve"> levels (plus the county, regional, and/or territor</w:t>
      </w:r>
      <w:r>
        <w:t>y</w:t>
      </w:r>
      <w:r w:rsidRPr="00EB07C5">
        <w:t xml:space="preserve"> levels). </w:t>
      </w:r>
      <w:r>
        <w:t>We</w:t>
      </w:r>
      <w:r w:rsidRPr="00EB07C5">
        <w:t xml:space="preserve"> support </w:t>
      </w:r>
      <w:r w:rsidR="00DE36CD">
        <w:t>jurisdiction</w:t>
      </w:r>
      <w:r>
        <w:t>s’</w:t>
      </w:r>
      <w:r w:rsidRPr="00EB07C5">
        <w:t xml:space="preserve"> effort</w:t>
      </w:r>
      <w:r>
        <w:t>s</w:t>
      </w:r>
      <w:r w:rsidRPr="00EB07C5">
        <w:t xml:space="preserve"> to establish clear, efficient, and targeted communication between </w:t>
      </w:r>
      <w:r>
        <w:t>themselves</w:t>
      </w:r>
      <w:r w:rsidRPr="00EB07C5">
        <w:t xml:space="preserve">, providers, and patients. Among its many features, the solution generates patient-specific reminders and recall notifications, assists providers in identifying specific age-group cohorts when sending reminders, generates patient lists and schedule calendars for reminder and recall communications, and </w:t>
      </w:r>
      <w:r w:rsidRPr="00EB07C5">
        <w:rPr>
          <w:lang w:bidi="ar-SA"/>
        </w:rPr>
        <w:t xml:space="preserve">generates vaccine recall notices by administering provider. </w:t>
      </w:r>
    </w:p>
    <w:p w14:paraId="265CFB71" w14:textId="100F392D" w:rsidR="00F0360C" w:rsidRDefault="00AC3D59" w:rsidP="00A856A9">
      <w:pPr>
        <w:pStyle w:val="BodyText"/>
      </w:pPr>
      <w:r w:rsidRPr="008477C8">
        <w:t xml:space="preserve">For instance, </w:t>
      </w:r>
      <w:r w:rsidR="00DE36CD">
        <w:t>jurisdiction</w:t>
      </w:r>
      <w:r>
        <w:t>s</w:t>
      </w:r>
      <w:r w:rsidRPr="008477C8">
        <w:t xml:space="preserve"> can use this functionality to target cohorts to raise overall immunization rates. Functionality can be streamlined to recall patients for one specific vaccine or multiple vaccines. The results can be used as a tool to aid leadership in determining appropriate public health interventions.</w:t>
      </w:r>
    </w:p>
    <w:p w14:paraId="2ABAA810" w14:textId="080AEE19" w:rsidR="00F0360C" w:rsidRPr="00EB07C5" w:rsidRDefault="00F0360C" w:rsidP="00F0360C">
      <w:pPr>
        <w:pStyle w:val="Subheading"/>
      </w:pPr>
      <w:r w:rsidRPr="00EB07C5">
        <w:t>Providing HEDIS Functionality</w:t>
      </w:r>
    </w:p>
    <w:p w14:paraId="08AC91EA" w14:textId="28DC72EC" w:rsidR="00CD6313" w:rsidRPr="00CD6313" w:rsidRDefault="00DE36CD" w:rsidP="00A856A9">
      <w:pPr>
        <w:pStyle w:val="BodyText"/>
      </w:pPr>
      <w:r>
        <w:t>Jurisdiction</w:t>
      </w:r>
      <w:r w:rsidR="00F0360C">
        <w:t>s</w:t>
      </w:r>
      <w:r w:rsidR="00F0360C" w:rsidRPr="00EB07C5">
        <w:t xml:space="preserve"> will determine the level of access necessary for health plan partners for the insured patient cohorts. For example, </w:t>
      </w:r>
      <w:r w:rsidR="00F0360C">
        <w:t xml:space="preserve">a </w:t>
      </w:r>
      <w:r>
        <w:t>jurisdiction</w:t>
      </w:r>
      <w:r w:rsidR="00F0360C" w:rsidRPr="00EB07C5">
        <w:t xml:space="preserve"> could allow access to measure the percentage of children 2 years of age who had received four doses of diphtheria, tetanus, and acellular pertussis (DTaP); three doses of polio (IPV); one dose of measles, mumps</w:t>
      </w:r>
      <w:r w:rsidR="00F0360C">
        <w:t>,</w:t>
      </w:r>
      <w:r w:rsidR="00F0360C" w:rsidRPr="00EB07C5">
        <w:t xml:space="preserve"> and rubella (MMR); three doses of Haemophilus influenzae type B (Hib); three doses of hepatitis B (HepB), one dose of varicella (VZV); four doses of pneumococcal conjugate (PCV); one dose of hepatitis A (HepA); two or three doses of rotavirus (RV); and two doses of influenza (flu) vaccines by their second birthday. </w:t>
      </w:r>
      <w:r w:rsidR="00F0360C">
        <w:t xml:space="preserve">The </w:t>
      </w:r>
      <w:r>
        <w:t>jurisdiction</w:t>
      </w:r>
      <w:r w:rsidR="00F0360C" w:rsidRPr="00EB07C5">
        <w:t xml:space="preserve"> could also allow access to aid in assessing adolescents 13 years of age who had one dose of the meningococcal vaccine (MCV); one dose of the tetanus, diphtheria, and acellular pertussis (Tdap) vaccine; and the complete human papillomavirus vaccine (HPV) series by their 13th birthday</w:t>
      </w:r>
      <w:r w:rsidR="00F0360C" w:rsidRPr="00EB07C5" w:rsidDel="00C862E5">
        <w:t>.</w:t>
      </w:r>
      <w:r w:rsidR="00F0360C" w:rsidRPr="00EB07C5">
        <w:t xml:space="preserve"> </w:t>
      </w:r>
      <w:r>
        <w:t>Jurisdiction</w:t>
      </w:r>
      <w:r w:rsidR="00F0360C" w:rsidRPr="00EB07C5">
        <w:t xml:space="preserve"> rules would drive health plan access</w:t>
      </w:r>
      <w:r w:rsidR="00F0360C">
        <w:t>,</w:t>
      </w:r>
      <w:r w:rsidR="00F0360C" w:rsidRPr="00EB07C5">
        <w:t xml:space="preserve"> and then each health plan </w:t>
      </w:r>
      <w:r w:rsidR="00F0360C">
        <w:t>could</w:t>
      </w:r>
      <w:r w:rsidR="00F0360C" w:rsidRPr="00EB07C5">
        <w:t xml:space="preserve"> select </w:t>
      </w:r>
      <w:r w:rsidR="00F0360C">
        <w:t>the</w:t>
      </w:r>
      <w:r w:rsidR="00F0360C" w:rsidRPr="00EB07C5">
        <w:t xml:space="preserve"> functionality and reporting they care to review. This may be accomplished through a query and response function, </w:t>
      </w:r>
      <w:r w:rsidR="00F0360C">
        <w:t>RBAC</w:t>
      </w:r>
      <w:r w:rsidR="00F0360C" w:rsidRPr="00EB07C5">
        <w:t>, and/or an ad hoc report.</w:t>
      </w:r>
    </w:p>
    <w:p w14:paraId="5F4AB606" w14:textId="77777777" w:rsidR="005A3DEC" w:rsidRDefault="005A3DEC" w:rsidP="00A856A9">
      <w:pPr>
        <w:pStyle w:val="Heading50"/>
        <w:rPr>
          <w:rFonts w:hint="eastAsia"/>
        </w:rPr>
      </w:pPr>
      <w:r>
        <w:t>Value-Add Modules for Customization</w:t>
      </w:r>
    </w:p>
    <w:p w14:paraId="5035F64B" w14:textId="58C3D59C" w:rsidR="005A3DEC" w:rsidRPr="00EB07C5" w:rsidRDefault="005A3DEC" w:rsidP="005A3DEC">
      <w:pPr>
        <w:pStyle w:val="BodyText"/>
      </w:pPr>
      <w:r w:rsidRPr="00EB07C5">
        <w:t xml:space="preserve">In addition to the core functions detailed above, the following modules are value-add options available to </w:t>
      </w:r>
      <w:r w:rsidR="00DE36CD">
        <w:t>jurisdiction</w:t>
      </w:r>
      <w:r w:rsidR="00E6737C">
        <w:t>s through NASPO</w:t>
      </w:r>
      <w:r w:rsidRPr="00EB07C5">
        <w:t xml:space="preserve">: </w:t>
      </w:r>
    </w:p>
    <w:p w14:paraId="5188090B" w14:textId="689D8DA0" w:rsidR="00D93E57" w:rsidRPr="008F0F97" w:rsidRDefault="00D93E57" w:rsidP="00D93E57">
      <w:pPr>
        <w:pStyle w:val="Bullet1Double"/>
      </w:pPr>
      <w:r w:rsidRPr="008F0F97">
        <w:rPr>
          <w:b/>
        </w:rPr>
        <w:t>Vision Screening Module</w:t>
      </w:r>
      <w:r w:rsidRPr="008F0F97">
        <w:t xml:space="preserve">: </w:t>
      </w:r>
      <w:r>
        <w:t xml:space="preserve">Ability </w:t>
      </w:r>
      <w:r w:rsidRPr="008F0F97">
        <w:t>to record age-appropriate vision screening test results</w:t>
      </w:r>
    </w:p>
    <w:p w14:paraId="28ACC566" w14:textId="77777777" w:rsidR="00826BD1" w:rsidRPr="008F0F97" w:rsidRDefault="00826BD1" w:rsidP="00826BD1">
      <w:pPr>
        <w:pStyle w:val="Bullet1Double"/>
      </w:pPr>
      <w:r w:rsidRPr="008F0F97">
        <w:rPr>
          <w:b/>
        </w:rPr>
        <w:t>Hearing Screening Module</w:t>
      </w:r>
      <w:r>
        <w:rPr>
          <w:b/>
        </w:rPr>
        <w:t>:</w:t>
      </w:r>
      <w:r w:rsidRPr="008F0F97">
        <w:t xml:space="preserve"> </w:t>
      </w:r>
      <w:r>
        <w:t>Ability to allow</w:t>
      </w:r>
      <w:r w:rsidRPr="008F0F97">
        <w:t xml:space="preserve"> birthing hospitals to record hearing test results</w:t>
      </w:r>
    </w:p>
    <w:p w14:paraId="59F5FEE6" w14:textId="67776ACE" w:rsidR="005F7078" w:rsidRDefault="005F7078" w:rsidP="005F7078">
      <w:pPr>
        <w:pStyle w:val="Bullet1Double"/>
      </w:pPr>
      <w:r w:rsidRPr="0078084A">
        <w:rPr>
          <w:b/>
        </w:rPr>
        <w:t>Refugee Health Module</w:t>
      </w:r>
      <w:r w:rsidRPr="0078084A">
        <w:t xml:space="preserve">: </w:t>
      </w:r>
      <w:r>
        <w:t xml:space="preserve">Ability to manage </w:t>
      </w:r>
      <w:r w:rsidRPr="0078084A">
        <w:t>refugee health assessments</w:t>
      </w:r>
    </w:p>
    <w:p w14:paraId="707082AC" w14:textId="3AAA98B0" w:rsidR="00176B50" w:rsidRPr="0078084A" w:rsidRDefault="00176B50" w:rsidP="00176B50">
      <w:pPr>
        <w:pStyle w:val="Bullet1Double"/>
      </w:pPr>
      <w:r w:rsidRPr="136801E3">
        <w:rPr>
          <w:b/>
        </w:rPr>
        <w:t>Vaccine Allocation Module</w:t>
      </w:r>
      <w:r>
        <w:t xml:space="preserve">: Ability for </w:t>
      </w:r>
      <w:r w:rsidR="006D360F" w:rsidRPr="006D360F">
        <w:t xml:space="preserve">jurisdiction </w:t>
      </w:r>
      <w:r>
        <w:t>-level users to indicate specific vaccines to set ordering thresholds and allow easy adjustments based on vaccine allotments</w:t>
      </w:r>
    </w:p>
    <w:p w14:paraId="1B721E39" w14:textId="3DB0796C" w:rsidR="00CA629D" w:rsidRDefault="00CA629D" w:rsidP="00CA629D">
      <w:pPr>
        <w:pStyle w:val="Bullet1Double"/>
      </w:pPr>
      <w:r w:rsidRPr="136801E3">
        <w:rPr>
          <w:b/>
        </w:rPr>
        <w:lastRenderedPageBreak/>
        <w:t>Influenza Prebook Module</w:t>
      </w:r>
      <w:r>
        <w:t xml:space="preserve">: Ability for providers to determine and allocate seasonal influenza doses by age, eligibility, and brand to assist the </w:t>
      </w:r>
      <w:r w:rsidR="00DE36CD">
        <w:t>jurisdiction</w:t>
      </w:r>
      <w:r>
        <w:t xml:space="preserve"> in determining and managing the VFC program’s total influenza vaccine need for the upcoming season</w:t>
      </w:r>
    </w:p>
    <w:p w14:paraId="41368D96" w14:textId="4E80CC89" w:rsidR="005A3DEC" w:rsidRDefault="005A3DEC" w:rsidP="005A3DEC">
      <w:pPr>
        <w:pStyle w:val="Bullet1Double"/>
      </w:pPr>
      <w:r w:rsidRPr="136801E3">
        <w:rPr>
          <w:b/>
        </w:rPr>
        <w:t>Immunization Quality Improvement for Providers (IQIP) Module</w:t>
      </w:r>
      <w:r>
        <w:t>: Ability to use provider data to help promote and improve immunization rates</w:t>
      </w:r>
    </w:p>
    <w:p w14:paraId="0F1CFB66" w14:textId="77777777" w:rsidR="00CA629D" w:rsidRDefault="00CA629D" w:rsidP="00CA629D">
      <w:pPr>
        <w:pStyle w:val="Bullet1Double"/>
      </w:pPr>
      <w:r>
        <w:rPr>
          <w:b/>
        </w:rPr>
        <w:t>Medical Countermeasures</w:t>
      </w:r>
      <w:r w:rsidRPr="0078084A">
        <w:rPr>
          <w:b/>
        </w:rPr>
        <w:t xml:space="preserve"> Module</w:t>
      </w:r>
      <w:r w:rsidRPr="0078084A">
        <w:t>: Ability to distribute and monitor inventory of the United States</w:t>
      </w:r>
      <w:r>
        <w:t>’</w:t>
      </w:r>
      <w:r w:rsidRPr="0078084A">
        <w:t xml:space="preserve"> national repository of antibiotics, vaccines, chemical antidotes, antitoxins, and other critical medical supplies</w:t>
      </w:r>
    </w:p>
    <w:p w14:paraId="06EAA28C" w14:textId="2EB7E4C4" w:rsidR="00AB551C" w:rsidRPr="00AB551C" w:rsidRDefault="00176B50" w:rsidP="18C31C7E">
      <w:pPr>
        <w:pStyle w:val="Bullet1Double"/>
        <w:rPr>
          <w:color w:val="000000" w:themeColor="text1"/>
        </w:rPr>
      </w:pPr>
      <w:r w:rsidRPr="18C31C7E">
        <w:rPr>
          <w:b/>
        </w:rPr>
        <w:t>Mass Vaccination Module</w:t>
      </w:r>
      <w:r>
        <w:t>:</w:t>
      </w:r>
      <w:r w:rsidR="1CC80B0E">
        <w:t xml:space="preserve"> </w:t>
      </w:r>
      <w:r w:rsidR="16A7BB6D">
        <w:t>A</w:t>
      </w:r>
      <w:r w:rsidR="1926DD38">
        <w:t>bility to support</w:t>
      </w:r>
      <w:r w:rsidR="30E3CD78">
        <w:t xml:space="preserve"> </w:t>
      </w:r>
      <w:r w:rsidR="1926DD38">
        <w:t>mass vaccination operations, including requiring jurisdiction-defined patient demographic information offline or online during a mass vaccination clinic and supporting digital scanning of vaccine information.</w:t>
      </w:r>
    </w:p>
    <w:p w14:paraId="493FBABC" w14:textId="7B3C9401" w:rsidR="00C97A7F" w:rsidRDefault="00C97A7F" w:rsidP="00C97A7F">
      <w:pPr>
        <w:pStyle w:val="Bullet1Double"/>
      </w:pPr>
      <w:r w:rsidRPr="18C69745">
        <w:rPr>
          <w:b/>
        </w:rPr>
        <w:t>Perinatal Hepatitis B Module</w:t>
      </w:r>
      <w:r>
        <w:t>: Ability to track the status of HBsAg-positive pregnant women and to monitor the administration of post-exposure prophylaxis</w:t>
      </w:r>
    </w:p>
    <w:p w14:paraId="3F5E8867" w14:textId="37F5C363" w:rsidR="00C97A7F" w:rsidRDefault="00C97A7F" w:rsidP="00C97A7F">
      <w:pPr>
        <w:pStyle w:val="Bullet1Double"/>
      </w:pPr>
      <w:r w:rsidRPr="0078084A">
        <w:rPr>
          <w:b/>
        </w:rPr>
        <w:t>Blood Lead Testing Module</w:t>
      </w:r>
      <w:r w:rsidRPr="0078084A">
        <w:t xml:space="preserve">: </w:t>
      </w:r>
      <w:r>
        <w:t>Ability to support</w:t>
      </w:r>
      <w:r w:rsidRPr="0078084A">
        <w:t xml:space="preserve"> bidirectional electronic transfers of blood lead test results; provides prompts when a child needs blood lead screening and confirmation and/or follow-up testing</w:t>
      </w:r>
    </w:p>
    <w:p w14:paraId="18BBBAE7" w14:textId="69639F73" w:rsidR="00C97A7F" w:rsidRDefault="00C97A7F" w:rsidP="00C97A7F">
      <w:pPr>
        <w:pStyle w:val="Bullet1Double"/>
      </w:pPr>
      <w:r w:rsidRPr="136801E3">
        <w:rPr>
          <w:b/>
        </w:rPr>
        <w:t>Parkinson’s Disease Module</w:t>
      </w:r>
      <w:r>
        <w:t>: Ability to view the history of diagnoses, treatments, clinicians, and medications for a patient’s Parkinson’s Disease history</w:t>
      </w:r>
    </w:p>
    <w:p w14:paraId="79EA5AC3" w14:textId="6690FD1E" w:rsidR="001331BE" w:rsidRPr="0078084A" w:rsidRDefault="001331BE" w:rsidP="18C31C7E">
      <w:pPr>
        <w:pStyle w:val="Bullet1Double"/>
      </w:pPr>
      <w:r w:rsidRPr="18C31C7E">
        <w:rPr>
          <w:b/>
        </w:rPr>
        <w:t>Consumer Access Module</w:t>
      </w:r>
      <w:r>
        <w:t>:</w:t>
      </w:r>
      <w:r w:rsidR="38159992">
        <w:t xml:space="preserve"> Ability for authenticated consumers to directly access their personal IIS record per jurisdictional policy. User</w:t>
      </w:r>
      <w:r w:rsidR="0B2F6443">
        <w:t>s</w:t>
      </w:r>
      <w:r w:rsidR="38159992">
        <w:t xml:space="preserve"> can see their information and immunization records. </w:t>
      </w:r>
    </w:p>
    <w:p w14:paraId="3A3D0B73" w14:textId="677E6EC8" w:rsidR="00BC7BA2" w:rsidRPr="007F298F" w:rsidRDefault="00BC7BA2" w:rsidP="007F298F">
      <w:pPr>
        <w:pStyle w:val="Heading50"/>
        <w:rPr>
          <w:rFonts w:hint="eastAsia"/>
        </w:rPr>
      </w:pPr>
      <w:r>
        <w:t>Technical Specifications</w:t>
      </w:r>
    </w:p>
    <w:p w14:paraId="283E4076" w14:textId="53538E21" w:rsidR="007A18FF" w:rsidRDefault="12119528" w:rsidP="007D4202">
      <w:pPr>
        <w:pStyle w:val="BodyText"/>
      </w:pPr>
      <w:r>
        <w:t xml:space="preserve">Gainwell’s Immunization Solution supports multiple options for importing and exporting data. It is fully compliant with the </w:t>
      </w:r>
      <w:r w:rsidR="0012394C">
        <w:t xml:space="preserve">most recent </w:t>
      </w:r>
      <w:r>
        <w:t>Health Level Seven (HL7) Implementation Guide for Immunization Messaging</w:t>
      </w:r>
      <w:r w:rsidR="00B81E1E">
        <w:t xml:space="preserve"> </w:t>
      </w:r>
      <w:r>
        <w:t>using Simple Object Access Protocol (SOAP)-based transport by using the standard CDC</w:t>
      </w:r>
      <w:r w:rsidR="0A1F1428">
        <w:t>’s</w:t>
      </w:r>
      <w:r>
        <w:t xml:space="preserve"> Web Services Description Language (WSDL). The solution also supports flat-file import</w:t>
      </w:r>
      <w:r w:rsidR="7F3EE087">
        <w:t xml:space="preserve">s for a variety of file submissions. </w:t>
      </w:r>
    </w:p>
    <w:p w14:paraId="14BBB06A" w14:textId="7FFDFDC4" w:rsidR="004978CA" w:rsidRDefault="004978CA" w:rsidP="004978CA">
      <w:pPr>
        <w:pStyle w:val="BodyText"/>
      </w:pPr>
      <w:r>
        <w:t xml:space="preserve">We deliver our Immunization solution in a cloud-based environment, using Gainwell and COTS products delivered as SaaS, minimizing dependence on traditional on-premises IT infrastructure. We host the solution in a </w:t>
      </w:r>
      <w:r w:rsidR="00DE36CD">
        <w:t>jurisdiction</w:t>
      </w:r>
      <w:r>
        <w:t>-dedicated Virtual Private Cloud (VPC) on the AWS cloud. As an AWS Partner, we take advantage of AWS capabilities to provide high levels of automation, transparency, consistency, reliability, and security. Our cloud-native digital platform provides an advanced DevOps CI/CD for rapid and flexible deployment.</w:t>
      </w:r>
    </w:p>
    <w:p w14:paraId="7A75A279" w14:textId="0C8BEFD9" w:rsidR="004978CA" w:rsidRDefault="004978CA" w:rsidP="004978CA">
      <w:pPr>
        <w:pStyle w:val="BodyText"/>
      </w:pPr>
      <w:r>
        <w:t xml:space="preserve">We periodically update our tooling to take advantage of new product capabilities and stay abreast of changing market standards and security needs. Modern cloud tools support us in delivering a system with high levels of responsiveness, security, uptime, and flexibility to expand or shrink compute levels to match </w:t>
      </w:r>
      <w:r w:rsidR="00DE36CD">
        <w:t>jurisdiction</w:t>
      </w:r>
      <w:r>
        <w:t xml:space="preserve"> needs.</w:t>
      </w:r>
    </w:p>
    <w:p w14:paraId="584F38C2" w14:textId="4568E213" w:rsidR="008F0D5C" w:rsidRDefault="008F0D5C">
      <w:pPr>
        <w:spacing w:after="160" w:line="259" w:lineRule="auto"/>
        <w:rPr>
          <w:color w:val="2B3A44"/>
        </w:rPr>
      </w:pPr>
      <w:r>
        <w:br w:type="page"/>
      </w:r>
    </w:p>
    <w:p w14:paraId="0AA4415E" w14:textId="3431FA1B" w:rsidR="008F0D5C" w:rsidRPr="006C3304" w:rsidRDefault="008F0D5C" w:rsidP="006C3304">
      <w:pPr>
        <w:pStyle w:val="HeadingManual2"/>
        <w:ind w:left="0" w:firstLine="0"/>
      </w:pPr>
      <w:r w:rsidRPr="006C3304">
        <w:lastRenderedPageBreak/>
        <w:t xml:space="preserve">Additional Terms and Conditions for </w:t>
      </w:r>
      <w:r w:rsidR="009C4AB4">
        <w:br/>
      </w:r>
      <w:r w:rsidRPr="006C3304">
        <w:t>Gainwell’s</w:t>
      </w:r>
      <w:r>
        <w:t xml:space="preserve"> </w:t>
      </w:r>
      <w:r w:rsidRPr="006C3304">
        <w:t>Immunization Solution</w:t>
      </w:r>
    </w:p>
    <w:p w14:paraId="5A6C5730" w14:textId="77777777" w:rsidR="008F0D5C" w:rsidRDefault="008F0D5C" w:rsidP="00950C0C">
      <w:pPr>
        <w:pStyle w:val="Default"/>
        <w:rPr>
          <w:rFonts w:eastAsia="Calibri"/>
          <w:b/>
          <w:bCs/>
          <w:color w:val="2B3944"/>
          <w:sz w:val="22"/>
          <w:szCs w:val="22"/>
        </w:rPr>
      </w:pPr>
    </w:p>
    <w:p w14:paraId="0959B471" w14:textId="77777777" w:rsidR="008F0D5C" w:rsidRDefault="008F0D5C" w:rsidP="00950C0C">
      <w:pPr>
        <w:pStyle w:val="Default"/>
        <w:jc w:val="both"/>
        <w:rPr>
          <w:rFonts w:eastAsia="Calibri"/>
          <w:b/>
          <w:bCs/>
          <w:color w:val="2B3944"/>
          <w:sz w:val="22"/>
          <w:szCs w:val="22"/>
        </w:rPr>
      </w:pPr>
      <w:r w:rsidRPr="00630906">
        <w:rPr>
          <w:sz w:val="22"/>
          <w:szCs w:val="22"/>
        </w:rPr>
        <w:t xml:space="preserve">Gainwell will work with the </w:t>
      </w:r>
      <w:r>
        <w:rPr>
          <w:sz w:val="22"/>
          <w:szCs w:val="22"/>
        </w:rPr>
        <w:t>Participating</w:t>
      </w:r>
      <w:r w:rsidRPr="00630906">
        <w:rPr>
          <w:sz w:val="22"/>
          <w:szCs w:val="22"/>
        </w:rPr>
        <w:t xml:space="preserve"> Entity to </w:t>
      </w:r>
      <w:r>
        <w:rPr>
          <w:sz w:val="22"/>
          <w:szCs w:val="22"/>
        </w:rPr>
        <w:t>document</w:t>
      </w:r>
      <w:r w:rsidRPr="00630906">
        <w:rPr>
          <w:sz w:val="22"/>
          <w:szCs w:val="22"/>
        </w:rPr>
        <w:t xml:space="preserve"> </w:t>
      </w:r>
      <w:r>
        <w:rPr>
          <w:sz w:val="22"/>
          <w:szCs w:val="22"/>
        </w:rPr>
        <w:t xml:space="preserve">the </w:t>
      </w:r>
      <w:r w:rsidRPr="00630906">
        <w:rPr>
          <w:sz w:val="22"/>
          <w:szCs w:val="22"/>
        </w:rPr>
        <w:t xml:space="preserve">services and </w:t>
      </w:r>
      <w:r>
        <w:rPr>
          <w:sz w:val="22"/>
          <w:szCs w:val="22"/>
        </w:rPr>
        <w:t>associated</w:t>
      </w:r>
      <w:r w:rsidRPr="00630906">
        <w:rPr>
          <w:sz w:val="22"/>
          <w:szCs w:val="22"/>
        </w:rPr>
        <w:t xml:space="preserve"> fees in a mutually agreed upon Service Level Agreement</w:t>
      </w:r>
      <w:r>
        <w:rPr>
          <w:sz w:val="22"/>
          <w:szCs w:val="22"/>
        </w:rPr>
        <w:t>.  Notwithstanding anything to the contrary contained in the Master Agreement</w:t>
      </w:r>
      <w:r w:rsidRPr="00630906">
        <w:rPr>
          <w:sz w:val="22"/>
          <w:szCs w:val="22"/>
        </w:rPr>
        <w:t xml:space="preserve">, </w:t>
      </w:r>
      <w:r>
        <w:rPr>
          <w:sz w:val="22"/>
          <w:szCs w:val="22"/>
        </w:rPr>
        <w:t>such</w:t>
      </w:r>
      <w:r w:rsidRPr="00630906">
        <w:rPr>
          <w:sz w:val="22"/>
          <w:szCs w:val="22"/>
        </w:rPr>
        <w:t xml:space="preserve"> Service Level Agreement together with </w:t>
      </w:r>
      <w:r>
        <w:rPr>
          <w:sz w:val="22"/>
          <w:szCs w:val="22"/>
        </w:rPr>
        <w:t>the</w:t>
      </w:r>
      <w:r w:rsidRPr="00630906">
        <w:rPr>
          <w:sz w:val="22"/>
          <w:szCs w:val="22"/>
        </w:rPr>
        <w:t xml:space="preserve"> service description </w:t>
      </w:r>
      <w:r>
        <w:rPr>
          <w:sz w:val="22"/>
          <w:szCs w:val="22"/>
        </w:rPr>
        <w:t xml:space="preserve">and associated assumptions </w:t>
      </w:r>
      <w:r w:rsidRPr="00630906">
        <w:rPr>
          <w:sz w:val="22"/>
          <w:szCs w:val="22"/>
        </w:rPr>
        <w:t xml:space="preserve">supersedes and replaces the requirements set forth in the Solicitation and response to the Solicitation and </w:t>
      </w:r>
      <w:r>
        <w:rPr>
          <w:sz w:val="22"/>
          <w:szCs w:val="22"/>
        </w:rPr>
        <w:t>shall</w:t>
      </w:r>
      <w:r w:rsidRPr="00630906">
        <w:rPr>
          <w:sz w:val="22"/>
          <w:szCs w:val="22"/>
        </w:rPr>
        <w:t xml:space="preserve"> be the operative </w:t>
      </w:r>
      <w:r>
        <w:rPr>
          <w:sz w:val="22"/>
          <w:szCs w:val="22"/>
        </w:rPr>
        <w:t xml:space="preserve">contractual </w:t>
      </w:r>
      <w:r w:rsidRPr="00630906">
        <w:rPr>
          <w:sz w:val="22"/>
          <w:szCs w:val="22"/>
        </w:rPr>
        <w:t xml:space="preserve">document for the purposes of </w:t>
      </w:r>
      <w:r w:rsidRPr="00C97731">
        <w:rPr>
          <w:sz w:val="22"/>
          <w:szCs w:val="22"/>
        </w:rPr>
        <w:t>Gainwell’s</w:t>
      </w:r>
      <w:r w:rsidRPr="00630906">
        <w:rPr>
          <w:sz w:val="22"/>
          <w:szCs w:val="22"/>
        </w:rPr>
        <w:t xml:space="preserve"> </w:t>
      </w:r>
      <w:r w:rsidRPr="00C97731">
        <w:rPr>
          <w:sz w:val="22"/>
          <w:szCs w:val="22"/>
        </w:rPr>
        <w:t>Immunization Solution</w:t>
      </w:r>
      <w:r w:rsidRPr="00630906">
        <w:rPr>
          <w:sz w:val="22"/>
          <w:szCs w:val="22"/>
        </w:rPr>
        <w:t>.</w:t>
      </w:r>
    </w:p>
    <w:p w14:paraId="516C0B05" w14:textId="77777777" w:rsidR="008F0D5C" w:rsidRDefault="008F0D5C" w:rsidP="00950C0C">
      <w:pPr>
        <w:pStyle w:val="Default"/>
        <w:rPr>
          <w:rFonts w:eastAsia="Calibri"/>
          <w:b/>
          <w:bCs/>
          <w:color w:val="2B3944"/>
          <w:sz w:val="22"/>
          <w:szCs w:val="22"/>
        </w:rPr>
      </w:pPr>
    </w:p>
    <w:p w14:paraId="38EFB2F5" w14:textId="77777777" w:rsidR="008F0D5C" w:rsidRPr="007A57BE" w:rsidRDefault="008F0D5C" w:rsidP="008F0D5C">
      <w:pPr>
        <w:pStyle w:val="ListParagraph"/>
        <w:numPr>
          <w:ilvl w:val="0"/>
          <w:numId w:val="59"/>
        </w:numPr>
        <w:tabs>
          <w:tab w:val="left" w:pos="567"/>
        </w:tabs>
        <w:ind w:left="0" w:firstLine="0"/>
        <w:jc w:val="both"/>
        <w:rPr>
          <w:rFonts w:cs="Arial"/>
          <w:b/>
          <w:szCs w:val="22"/>
        </w:rPr>
      </w:pPr>
      <w:r w:rsidRPr="007A57BE">
        <w:rPr>
          <w:rFonts w:cs="Arial"/>
          <w:b/>
          <w:szCs w:val="22"/>
        </w:rPr>
        <w:t>License, Access, and Use:</w:t>
      </w:r>
    </w:p>
    <w:p w14:paraId="5EB1294F" w14:textId="77777777" w:rsidR="008F0D5C" w:rsidRPr="007A57BE" w:rsidRDefault="008F0D5C" w:rsidP="008F0D5C">
      <w:pPr>
        <w:pStyle w:val="ListParagraph"/>
        <w:numPr>
          <w:ilvl w:val="1"/>
          <w:numId w:val="59"/>
        </w:numPr>
        <w:tabs>
          <w:tab w:val="left" w:pos="567"/>
        </w:tabs>
        <w:ind w:left="0" w:firstLine="0"/>
        <w:jc w:val="both"/>
        <w:rPr>
          <w:rFonts w:cs="Arial"/>
          <w:szCs w:val="22"/>
        </w:rPr>
      </w:pPr>
      <w:r w:rsidRPr="007A57BE">
        <w:rPr>
          <w:rFonts w:cs="Arial"/>
          <w:szCs w:val="22"/>
        </w:rPr>
        <w:t xml:space="preserve">During the period in which Participating Entity maintains a subscription, Gainwell grants Participating Entity a non-exclusive License to use and access Gainwell’s </w:t>
      </w:r>
      <w:bookmarkStart w:id="2" w:name="_Hlk135294040"/>
      <w:r w:rsidRPr="007A57BE">
        <w:rPr>
          <w:rFonts w:cs="Arial"/>
          <w:szCs w:val="22"/>
        </w:rPr>
        <w:t xml:space="preserve">Immunization Solution </w:t>
      </w:r>
      <w:bookmarkEnd w:id="2"/>
      <w:r w:rsidRPr="007A57BE">
        <w:rPr>
          <w:rFonts w:cs="Arial"/>
          <w:szCs w:val="22"/>
        </w:rPr>
        <w:t>and its associated documentation (“</w:t>
      </w:r>
      <w:r w:rsidRPr="007A57BE">
        <w:rPr>
          <w:rFonts w:cs="Arial"/>
          <w:b/>
          <w:szCs w:val="22"/>
        </w:rPr>
        <w:t>Documentation</w:t>
      </w:r>
      <w:r w:rsidRPr="007A57BE">
        <w:rPr>
          <w:rFonts w:cs="Arial"/>
          <w:szCs w:val="22"/>
        </w:rPr>
        <w:t xml:space="preserve">”). As reasonably necessary, Participating Entity may make and distribute copies of the Documentation in connection with its use of the Immunization Solution and must include all copyright and other proprietary notices as presented in the original Documentation. </w:t>
      </w:r>
    </w:p>
    <w:p w14:paraId="4D8AA067" w14:textId="77777777" w:rsidR="008F0D5C" w:rsidRPr="007A57BE" w:rsidRDefault="008F0D5C" w:rsidP="00950C0C">
      <w:pPr>
        <w:pStyle w:val="ListParagraph"/>
        <w:rPr>
          <w:rFonts w:cs="Arial"/>
          <w:szCs w:val="22"/>
        </w:rPr>
      </w:pPr>
    </w:p>
    <w:p w14:paraId="5A386E0D" w14:textId="77777777" w:rsidR="008F0D5C" w:rsidRPr="007A57BE" w:rsidRDefault="008F0D5C" w:rsidP="008F0D5C">
      <w:pPr>
        <w:pStyle w:val="ListParagraph"/>
        <w:numPr>
          <w:ilvl w:val="1"/>
          <w:numId w:val="59"/>
        </w:numPr>
        <w:tabs>
          <w:tab w:val="left" w:pos="567"/>
        </w:tabs>
        <w:ind w:left="0" w:firstLine="0"/>
        <w:jc w:val="both"/>
        <w:rPr>
          <w:rFonts w:cs="Arial"/>
          <w:szCs w:val="22"/>
        </w:rPr>
      </w:pPr>
      <w:r w:rsidRPr="007A57BE">
        <w:rPr>
          <w:rFonts w:cs="Arial"/>
          <w:szCs w:val="22"/>
        </w:rPr>
        <w:t xml:space="preserve">Participating Entity acknowledges that the </w:t>
      </w:r>
      <w:bookmarkStart w:id="3" w:name="_Hlk142392998"/>
      <w:r w:rsidRPr="007A57BE">
        <w:rPr>
          <w:rFonts w:cs="Arial"/>
          <w:szCs w:val="22"/>
        </w:rPr>
        <w:t xml:space="preserve">Immunization Solution </w:t>
      </w:r>
      <w:bookmarkEnd w:id="3"/>
      <w:r w:rsidRPr="007A57BE">
        <w:rPr>
          <w:rFonts w:cs="Arial"/>
          <w:szCs w:val="22"/>
        </w:rPr>
        <w:t>contains valuable trade secrets of Gainwell and its licensors. Participating Entity and its users shall not: (a) use the Immunization Solution in violation of any applicable law including U.S. export, import and sanctions regulations; (b) sell, sublicense, distribute, assign, pledge, lease, transfer, copy, republish, disclose, or in any way encumber the Immunization Solution, except as otherwise expressly permitted under the Master Agreement and/or Order; (c) use or allow the use of the Immunization Solution in a computer service business, third-party outsourcing service, on a membership or subscription basis, on a service bureau basis, on a time-sharing basis, or on behalf of any third party; (d) modify, create derivative works of, adapt, translate, reverse engineer, decompile, or otherwise attempt to discover the source code in the Immunization Solution; (e) remove or alter any copyright or proprietary notices associated with the Documentation; or (f) unbundle any components of the Immunization Solution.</w:t>
      </w:r>
    </w:p>
    <w:p w14:paraId="41E2D25F" w14:textId="77777777" w:rsidR="008F0D5C" w:rsidRPr="007A57BE" w:rsidRDefault="008F0D5C" w:rsidP="00950C0C">
      <w:pPr>
        <w:pStyle w:val="ListParagraph"/>
        <w:rPr>
          <w:rFonts w:eastAsia="Calibri" w:cs="Arial"/>
          <w:bCs/>
          <w:color w:val="000000" w:themeColor="text1"/>
          <w:kern w:val="32"/>
          <w:szCs w:val="22"/>
          <w:u w:val="single"/>
        </w:rPr>
      </w:pPr>
    </w:p>
    <w:p w14:paraId="35AD64B3" w14:textId="77777777" w:rsidR="008F0D5C" w:rsidRDefault="008F0D5C" w:rsidP="00950C0C">
      <w:pPr>
        <w:pStyle w:val="Default"/>
        <w:jc w:val="both"/>
        <w:rPr>
          <w:sz w:val="22"/>
          <w:szCs w:val="22"/>
        </w:rPr>
      </w:pPr>
      <w:r w:rsidRPr="007A57BE">
        <w:rPr>
          <w:rFonts w:eastAsia="Calibri"/>
          <w:bCs/>
          <w:color w:val="000000" w:themeColor="text1"/>
          <w:kern w:val="32"/>
          <w:sz w:val="22"/>
          <w:szCs w:val="22"/>
        </w:rPr>
        <w:t>1.3</w:t>
      </w:r>
      <w:r w:rsidRPr="007A57BE">
        <w:rPr>
          <w:rFonts w:eastAsia="Calibri"/>
          <w:bCs/>
          <w:color w:val="000000" w:themeColor="text1"/>
          <w:kern w:val="32"/>
          <w:sz w:val="22"/>
          <w:szCs w:val="22"/>
        </w:rPr>
        <w:tab/>
      </w:r>
      <w:r w:rsidRPr="007A57BE">
        <w:rPr>
          <w:rFonts w:eastAsia="Calibri"/>
          <w:bCs/>
          <w:color w:val="000000" w:themeColor="text1"/>
          <w:kern w:val="32"/>
          <w:sz w:val="22"/>
          <w:szCs w:val="22"/>
          <w:u w:val="single"/>
        </w:rPr>
        <w:t>Access/Use</w:t>
      </w:r>
      <w:r w:rsidRPr="007A57BE">
        <w:rPr>
          <w:rFonts w:eastAsia="Calibri"/>
          <w:bCs/>
          <w:color w:val="000000" w:themeColor="text1"/>
          <w:kern w:val="32"/>
          <w:sz w:val="22"/>
          <w:szCs w:val="22"/>
        </w:rPr>
        <w:t xml:space="preserve">. (a) Access to and use of the Immunization Solution is limited to Participating Entity and its users; (b) Participating Entity is fully responsible for maintaining the confidentiality of the user credentials and the security of its account, and all activities that occur regarding a user, including a user’s breach of the Master Agreement, Participating Addendum and/or Order; (c) </w:t>
      </w:r>
      <w:r w:rsidRPr="007A57BE">
        <w:rPr>
          <w:bCs/>
          <w:color w:val="000000" w:themeColor="text1"/>
          <w:kern w:val="32"/>
          <w:sz w:val="22"/>
          <w:szCs w:val="22"/>
        </w:rPr>
        <w:t>User credentials cannot be shared or used by more than one individual</w:t>
      </w:r>
      <w:r w:rsidRPr="007A57BE">
        <w:rPr>
          <w:sz w:val="22"/>
          <w:szCs w:val="22"/>
        </w:rPr>
        <w:t xml:space="preserve">; (d) </w:t>
      </w:r>
      <w:r w:rsidRPr="007A57BE">
        <w:rPr>
          <w:bCs/>
          <w:color w:val="000000" w:themeColor="text1"/>
          <w:kern w:val="32"/>
          <w:sz w:val="22"/>
          <w:szCs w:val="22"/>
        </w:rPr>
        <w:t xml:space="preserve">Participating Entity agrees to comply with all applicable laws and regulations in connection with its access to and use of the Immunization Solution; (e) </w:t>
      </w:r>
      <w:r w:rsidRPr="007A57BE">
        <w:rPr>
          <w:rFonts w:eastAsia="Calibri"/>
          <w:color w:val="2B3944"/>
          <w:sz w:val="22"/>
          <w:szCs w:val="22"/>
        </w:rPr>
        <w:t>Participating Entity agrees to: (</w:t>
      </w:r>
      <w:proofErr w:type="spellStart"/>
      <w:r w:rsidRPr="007A57BE">
        <w:rPr>
          <w:rFonts w:eastAsia="Calibri"/>
          <w:color w:val="2B3944"/>
          <w:sz w:val="22"/>
          <w:szCs w:val="22"/>
        </w:rPr>
        <w:t>i</w:t>
      </w:r>
      <w:proofErr w:type="spellEnd"/>
      <w:r w:rsidRPr="007A57BE">
        <w:rPr>
          <w:rFonts w:eastAsia="Calibri"/>
          <w:color w:val="2B3944"/>
          <w:sz w:val="22"/>
          <w:szCs w:val="22"/>
        </w:rPr>
        <w:t>) use commercially reasonable efforts to promptly stop any unauthorized access to the Immunization Solution known to Participating Entity that is attributable to use of the Immunization Solution by Participating Entity or a user; and (ii) promptly notify Gainwell of any security incident or threat known to Participating Entity that may involve the Immunization Solution and cooperate with Gainwell in the investigation of any such security incident or threat</w:t>
      </w:r>
      <w:r w:rsidRPr="00E92A2E">
        <w:rPr>
          <w:rFonts w:eastAsia="Calibri"/>
          <w:color w:val="2B3944"/>
          <w:sz w:val="22"/>
          <w:szCs w:val="22"/>
        </w:rPr>
        <w:t xml:space="preserve">; </w:t>
      </w:r>
      <w:r w:rsidRPr="00E92A2E">
        <w:rPr>
          <w:bCs/>
          <w:color w:val="000000" w:themeColor="text1"/>
          <w:kern w:val="32"/>
          <w:sz w:val="22"/>
          <w:szCs w:val="22"/>
        </w:rPr>
        <w:t xml:space="preserve">(f) Participating Entity </w:t>
      </w:r>
      <w:r w:rsidRPr="00E92A2E">
        <w:rPr>
          <w:rFonts w:eastAsia="Calibri"/>
          <w:bCs/>
          <w:color w:val="000000" w:themeColor="text1"/>
          <w:kern w:val="32"/>
          <w:sz w:val="22"/>
          <w:szCs w:val="22"/>
        </w:rPr>
        <w:t xml:space="preserve"> may allow a contractor to access and use the Immunization Solution solely on Participating Entity’s behalf for ancillary services provided the contractor, provided that the contractor, (</w:t>
      </w:r>
      <w:proofErr w:type="spellStart"/>
      <w:r w:rsidRPr="00E92A2E">
        <w:rPr>
          <w:rFonts w:eastAsia="Calibri"/>
          <w:bCs/>
          <w:color w:val="000000" w:themeColor="text1"/>
          <w:kern w:val="32"/>
          <w:sz w:val="22"/>
          <w:szCs w:val="22"/>
        </w:rPr>
        <w:t>i</w:t>
      </w:r>
      <w:proofErr w:type="spellEnd"/>
      <w:r w:rsidRPr="00E92A2E">
        <w:rPr>
          <w:rFonts w:eastAsia="Calibri"/>
          <w:bCs/>
          <w:color w:val="000000" w:themeColor="text1"/>
          <w:kern w:val="32"/>
          <w:sz w:val="22"/>
          <w:szCs w:val="22"/>
        </w:rPr>
        <w:t>) is not a competitor of Gainwell or any of its Affiliates; and (ii) complies with the terms of this License Agreement; (</w:t>
      </w:r>
      <w:r w:rsidRPr="007A57BE">
        <w:rPr>
          <w:rFonts w:eastAsia="Calibri"/>
          <w:bCs/>
          <w:color w:val="000000" w:themeColor="text1"/>
          <w:kern w:val="32"/>
          <w:sz w:val="22"/>
          <w:szCs w:val="22"/>
        </w:rPr>
        <w:t xml:space="preserve">g) </w:t>
      </w:r>
      <w:r w:rsidRPr="007A57BE">
        <w:rPr>
          <w:sz w:val="22"/>
          <w:szCs w:val="22"/>
        </w:rPr>
        <w:t xml:space="preserve">Participating Entity </w:t>
      </w:r>
      <w:r w:rsidRPr="007A57BE">
        <w:rPr>
          <w:sz w:val="22"/>
          <w:szCs w:val="22"/>
        </w:rPr>
        <w:lastRenderedPageBreak/>
        <w:t>and its users</w:t>
      </w:r>
      <w:r w:rsidRPr="007A57BE">
        <w:rPr>
          <w:rFonts w:eastAsia="Calibri"/>
          <w:bCs/>
          <w:color w:val="000000" w:themeColor="text1"/>
          <w:kern w:val="32"/>
          <w:sz w:val="22"/>
          <w:szCs w:val="22"/>
        </w:rPr>
        <w:t xml:space="preserve"> shall not (</w:t>
      </w:r>
      <w:proofErr w:type="spellStart"/>
      <w:r w:rsidRPr="007A57BE">
        <w:rPr>
          <w:rFonts w:eastAsia="Calibri"/>
          <w:bCs/>
          <w:color w:val="000000" w:themeColor="text1"/>
          <w:kern w:val="32"/>
          <w:sz w:val="22"/>
          <w:szCs w:val="22"/>
        </w:rPr>
        <w:t>i</w:t>
      </w:r>
      <w:proofErr w:type="spellEnd"/>
      <w:r w:rsidRPr="007A57BE">
        <w:rPr>
          <w:rFonts w:eastAsia="Calibri"/>
          <w:bCs/>
          <w:color w:val="000000" w:themeColor="text1"/>
          <w:kern w:val="32"/>
          <w:sz w:val="22"/>
          <w:szCs w:val="22"/>
        </w:rPr>
        <w:t xml:space="preserve">) engage in any unlawful, invasive, infringing, defamatory, or fraudulent conduct; (ii) interfere with any technology or equipment used to provide the Immunization Solution; (iii) alter, disable, interfere with or circumvent any aspect of the Immunization Solution; and/or (iv) use the Immunization Solution in a manner not authorized by Gainwell. </w:t>
      </w:r>
      <w:r w:rsidRPr="007A57BE">
        <w:rPr>
          <w:sz w:val="22"/>
          <w:szCs w:val="22"/>
        </w:rPr>
        <w:t xml:space="preserve">Without limiting any of Gainwell’s termination rights under the Master Agreement, Participating Addendum and/or Order, if any use of the Immunization Solution by Participating Entity and/or any user reasonably threatens the security or integrity of Gainwell’s information </w:t>
      </w:r>
    </w:p>
    <w:p w14:paraId="57FCE6DD" w14:textId="77777777" w:rsidR="008F0D5C" w:rsidRDefault="008F0D5C" w:rsidP="00950C0C">
      <w:pPr>
        <w:pStyle w:val="Default"/>
        <w:jc w:val="both"/>
        <w:rPr>
          <w:sz w:val="22"/>
          <w:szCs w:val="22"/>
        </w:rPr>
      </w:pPr>
    </w:p>
    <w:p w14:paraId="1C31A333" w14:textId="77777777" w:rsidR="008F0D5C" w:rsidRPr="007A57BE" w:rsidRDefault="008F0D5C" w:rsidP="00950C0C">
      <w:pPr>
        <w:pStyle w:val="Default"/>
        <w:jc w:val="both"/>
        <w:rPr>
          <w:sz w:val="22"/>
          <w:szCs w:val="22"/>
        </w:rPr>
      </w:pPr>
      <w:r w:rsidRPr="007A57BE">
        <w:rPr>
          <w:sz w:val="22"/>
          <w:szCs w:val="22"/>
        </w:rPr>
        <w:t>systems and/or information systems network, Gainwell may suspend access to the Immunization Solution until such time as the threat is eliminated.</w:t>
      </w:r>
    </w:p>
    <w:p w14:paraId="374E991F" w14:textId="77777777" w:rsidR="008F0D5C" w:rsidRPr="007A57BE" w:rsidRDefault="008F0D5C" w:rsidP="00950C0C">
      <w:pPr>
        <w:pStyle w:val="1stpara"/>
        <w:tabs>
          <w:tab w:val="left" w:pos="284"/>
        </w:tabs>
        <w:rPr>
          <w:rFonts w:ascii="Arial" w:hAnsi="Arial" w:cs="Arial"/>
        </w:rPr>
      </w:pPr>
    </w:p>
    <w:p w14:paraId="5D54F993" w14:textId="77777777" w:rsidR="008F0D5C" w:rsidRPr="007A57BE" w:rsidRDefault="008F0D5C" w:rsidP="00950C0C">
      <w:pPr>
        <w:pStyle w:val="1stpara"/>
        <w:tabs>
          <w:tab w:val="left" w:pos="284"/>
        </w:tabs>
        <w:rPr>
          <w:rFonts w:ascii="Arial" w:hAnsi="Arial" w:cs="Arial"/>
        </w:rPr>
      </w:pPr>
      <w:r w:rsidRPr="007A57BE">
        <w:rPr>
          <w:rFonts w:ascii="Arial" w:hAnsi="Arial" w:cs="Arial"/>
        </w:rPr>
        <w:t>1.4</w:t>
      </w:r>
      <w:r w:rsidRPr="007A57BE">
        <w:rPr>
          <w:rFonts w:ascii="Arial" w:hAnsi="Arial" w:cs="Arial"/>
        </w:rPr>
        <w:tab/>
      </w:r>
      <w:r w:rsidRPr="007A57BE">
        <w:rPr>
          <w:rFonts w:ascii="Arial" w:hAnsi="Arial" w:cs="Arial"/>
        </w:rPr>
        <w:tab/>
      </w:r>
      <w:r w:rsidRPr="007A57BE">
        <w:rPr>
          <w:rFonts w:ascii="Arial" w:hAnsi="Arial" w:cs="Arial"/>
          <w:spacing w:val="-4"/>
        </w:rPr>
        <w:t xml:space="preserve">OTHER THAN AS PROVIDED IN THE MASTER AGREEMENT, GAINWELL MAKES NO EXPRESS OR IMPLIED REPRESENTATIONS OR WARRANTIES WITH RESPECT TO GAINWELL’S IP OR THE IMMUNIZATION SOLUTION OR THEIR CONDITION, MERCHANTABILITY, FITNESS FOR ANY PARTICULAR PURPOSE, OR ITS USE BY PARTICIPATING ENTITY. </w:t>
      </w:r>
    </w:p>
    <w:p w14:paraId="1FF768E7" w14:textId="77777777" w:rsidR="008F0D5C" w:rsidRPr="007A57BE" w:rsidRDefault="008F0D5C" w:rsidP="00950C0C">
      <w:pPr>
        <w:pStyle w:val="Default"/>
        <w:jc w:val="both"/>
        <w:rPr>
          <w:sz w:val="22"/>
          <w:szCs w:val="22"/>
        </w:rPr>
      </w:pPr>
    </w:p>
    <w:p w14:paraId="718019FE" w14:textId="77777777" w:rsidR="008F0D5C" w:rsidRPr="007A57BE" w:rsidRDefault="008F0D5C" w:rsidP="00950C0C">
      <w:pPr>
        <w:tabs>
          <w:tab w:val="left" w:pos="567"/>
        </w:tabs>
        <w:jc w:val="both"/>
        <w:rPr>
          <w:rFonts w:cs="Arial"/>
          <w:szCs w:val="22"/>
        </w:rPr>
      </w:pPr>
    </w:p>
    <w:p w14:paraId="5A720854" w14:textId="77777777" w:rsidR="008F0D5C" w:rsidRPr="007A57BE" w:rsidRDefault="008F0D5C" w:rsidP="00950C0C">
      <w:pPr>
        <w:tabs>
          <w:tab w:val="left" w:pos="567"/>
        </w:tabs>
        <w:jc w:val="both"/>
        <w:rPr>
          <w:rFonts w:cs="Arial"/>
          <w:szCs w:val="22"/>
        </w:rPr>
      </w:pPr>
      <w:r w:rsidRPr="007A57BE">
        <w:rPr>
          <w:rFonts w:cs="Arial"/>
          <w:szCs w:val="22"/>
        </w:rPr>
        <w:t>2.</w:t>
      </w:r>
      <w:r w:rsidRPr="007A57BE">
        <w:rPr>
          <w:rFonts w:cs="Arial"/>
          <w:szCs w:val="22"/>
        </w:rPr>
        <w:tab/>
      </w:r>
      <w:r w:rsidRPr="007A57BE">
        <w:rPr>
          <w:rFonts w:cs="Arial"/>
          <w:b/>
          <w:bCs/>
          <w:szCs w:val="22"/>
        </w:rPr>
        <w:t>Title and Feedback</w:t>
      </w:r>
      <w:r w:rsidRPr="007A57BE">
        <w:rPr>
          <w:rFonts w:cs="Arial"/>
          <w:szCs w:val="22"/>
        </w:rPr>
        <w:t>:</w:t>
      </w:r>
    </w:p>
    <w:p w14:paraId="63B65D73" w14:textId="77777777" w:rsidR="008F0D5C" w:rsidRPr="007A57BE" w:rsidRDefault="008F0D5C" w:rsidP="00950C0C">
      <w:pPr>
        <w:tabs>
          <w:tab w:val="left" w:pos="567"/>
        </w:tabs>
        <w:jc w:val="both"/>
        <w:rPr>
          <w:rFonts w:cs="Arial"/>
          <w:szCs w:val="22"/>
        </w:rPr>
      </w:pPr>
    </w:p>
    <w:p w14:paraId="662BE3EF" w14:textId="77777777" w:rsidR="008F0D5C" w:rsidRPr="007A57BE" w:rsidRDefault="008F0D5C" w:rsidP="00950C0C">
      <w:pPr>
        <w:tabs>
          <w:tab w:val="left" w:pos="567"/>
        </w:tabs>
        <w:jc w:val="both"/>
        <w:rPr>
          <w:rFonts w:cs="Arial"/>
          <w:szCs w:val="22"/>
        </w:rPr>
      </w:pPr>
      <w:r w:rsidRPr="007A57BE">
        <w:rPr>
          <w:rFonts w:cs="Arial"/>
          <w:szCs w:val="22"/>
        </w:rPr>
        <w:t>2.1.</w:t>
      </w:r>
      <w:r w:rsidRPr="007A57BE">
        <w:rPr>
          <w:rFonts w:cs="Arial"/>
          <w:szCs w:val="22"/>
        </w:rPr>
        <w:tab/>
        <w:t xml:space="preserve">All rights, title, and interest in and to Gainwell’s IP, the Immunization Solution and Documentation (including their copies, improvements, enhancements, updates, revisions, modifications, and derivative works) shall at all times remain with Gainwell and as applicable, its licensors, and Participating Entity’s interest therein is only that of having temporary possession in order to use and access the Immunization Solution. </w:t>
      </w:r>
    </w:p>
    <w:p w14:paraId="3CD43BE3" w14:textId="77777777" w:rsidR="008F0D5C" w:rsidRPr="007A57BE" w:rsidRDefault="008F0D5C" w:rsidP="00950C0C">
      <w:pPr>
        <w:tabs>
          <w:tab w:val="left" w:pos="567"/>
        </w:tabs>
        <w:jc w:val="both"/>
        <w:rPr>
          <w:rFonts w:cs="Arial"/>
          <w:szCs w:val="22"/>
        </w:rPr>
      </w:pPr>
    </w:p>
    <w:p w14:paraId="350A5B2B" w14:textId="77777777" w:rsidR="008F0D5C" w:rsidRPr="007A57BE" w:rsidRDefault="008F0D5C" w:rsidP="00950C0C">
      <w:pPr>
        <w:tabs>
          <w:tab w:val="left" w:pos="567"/>
        </w:tabs>
        <w:jc w:val="both"/>
        <w:rPr>
          <w:rFonts w:cs="Arial"/>
          <w:szCs w:val="22"/>
        </w:rPr>
      </w:pPr>
      <w:r w:rsidRPr="007A57BE">
        <w:rPr>
          <w:rFonts w:cs="Arial"/>
          <w:szCs w:val="22"/>
        </w:rPr>
        <w:t>2.2.</w:t>
      </w:r>
      <w:r w:rsidRPr="007A57BE">
        <w:rPr>
          <w:rFonts w:cs="Arial"/>
          <w:szCs w:val="22"/>
        </w:rPr>
        <w:tab/>
        <w:t>If Participating Entity or any of its users provide Feedback, Participating Entity hereby assigns and transfers to Gainwell, without further consideration, all right, title and interest in and to such Feedback automatically upon the creation or disclosure of the same. For clarity, nothing in this License Agreement or otherwise will: (a) restrict the right of Gainwell and its affiliates to use or disclose Feedback; (b) obligate Gainwell to credit Participating Entity or a user as the source of the Feedback; or (c) require Gainwell to provide any compensation to Participating Entity or any user with respect to the Feedback. For the purposes of this Section, “Feedback” means any communication by Participating Entity to Gainwell regarding the performance of the Software Program including issues, errors, suggested changes, or modifications concerning the Software Program.</w:t>
      </w:r>
    </w:p>
    <w:p w14:paraId="69584315" w14:textId="77777777" w:rsidR="008F0D5C" w:rsidRPr="007A57BE" w:rsidRDefault="008F0D5C" w:rsidP="00950C0C">
      <w:pPr>
        <w:pStyle w:val="ListParagraph"/>
        <w:tabs>
          <w:tab w:val="left" w:pos="567"/>
        </w:tabs>
        <w:ind w:left="360"/>
        <w:jc w:val="both"/>
        <w:rPr>
          <w:rFonts w:cs="Arial"/>
          <w:szCs w:val="22"/>
        </w:rPr>
      </w:pPr>
    </w:p>
    <w:p w14:paraId="7A125AE3" w14:textId="77777777" w:rsidR="008F0D5C" w:rsidRPr="007A57BE" w:rsidRDefault="008F0D5C" w:rsidP="00950C0C">
      <w:pPr>
        <w:tabs>
          <w:tab w:val="left" w:pos="567"/>
        </w:tabs>
        <w:jc w:val="both"/>
        <w:rPr>
          <w:rFonts w:eastAsia="Calibri" w:cs="Arial"/>
          <w:b/>
          <w:bCs/>
          <w:color w:val="2B3944"/>
          <w:szCs w:val="22"/>
        </w:rPr>
      </w:pPr>
      <w:r w:rsidRPr="007A57BE">
        <w:rPr>
          <w:rFonts w:cs="Arial"/>
          <w:b/>
          <w:bCs/>
          <w:szCs w:val="22"/>
        </w:rPr>
        <w:t xml:space="preserve">3. </w:t>
      </w:r>
      <w:r w:rsidRPr="007A57BE">
        <w:rPr>
          <w:rFonts w:cs="Arial"/>
          <w:b/>
          <w:bCs/>
          <w:szCs w:val="22"/>
        </w:rPr>
        <w:tab/>
      </w:r>
      <w:r w:rsidRPr="007A57BE">
        <w:rPr>
          <w:rFonts w:eastAsia="Calibri" w:cs="Arial"/>
          <w:b/>
          <w:bCs/>
          <w:color w:val="2B3944"/>
          <w:szCs w:val="22"/>
        </w:rPr>
        <w:t xml:space="preserve">Confidential Information: </w:t>
      </w:r>
    </w:p>
    <w:p w14:paraId="2D35A3A3" w14:textId="77777777" w:rsidR="008F0D5C" w:rsidRPr="007A57BE" w:rsidRDefault="008F0D5C" w:rsidP="00950C0C">
      <w:pPr>
        <w:tabs>
          <w:tab w:val="left" w:pos="567"/>
        </w:tabs>
        <w:jc w:val="both"/>
        <w:rPr>
          <w:rFonts w:eastAsia="Calibri" w:cs="Arial"/>
          <w:color w:val="2B3944"/>
          <w:szCs w:val="22"/>
        </w:rPr>
      </w:pPr>
    </w:p>
    <w:p w14:paraId="7DD370B7" w14:textId="77777777" w:rsidR="008F0D5C" w:rsidRPr="007A57BE" w:rsidRDefault="008F0D5C" w:rsidP="00950C0C">
      <w:pPr>
        <w:tabs>
          <w:tab w:val="left" w:pos="567"/>
        </w:tabs>
        <w:jc w:val="both"/>
        <w:rPr>
          <w:rFonts w:eastAsia="Calibri" w:cs="Arial"/>
          <w:b/>
          <w:bCs/>
          <w:color w:val="2B3944"/>
          <w:szCs w:val="22"/>
        </w:rPr>
      </w:pPr>
      <w:r w:rsidRPr="007A57BE">
        <w:rPr>
          <w:rFonts w:eastAsia="Calibri" w:cs="Arial"/>
          <w:color w:val="2B3944"/>
          <w:szCs w:val="22"/>
        </w:rPr>
        <w:t>3.1</w:t>
      </w:r>
      <w:r w:rsidRPr="007A57BE">
        <w:rPr>
          <w:rFonts w:eastAsia="Calibri" w:cs="Arial"/>
          <w:color w:val="2B3944"/>
          <w:szCs w:val="22"/>
        </w:rPr>
        <w:tab/>
        <w:t>The following shall be added to the definition of “Confidential Information” in the Master Agreement. Confidential Information shall also include all non-public Gainwell information provided, displayed, or made available by Gainwell under the Agreement, Participating Agreement and/or Order which would be reasonably understood to be confidential under the circumstances of disclosure, or that is marked, designated, or communicated by Gainwell to Participating Entity to be confidential.  Confidential Information of Gainwell includes without limitation all materials, processes and process flows, programs, software systems and documentation, information management systems, code, logic, analytical methodologies and algorithms, reports, analyses, data, associated proprietary forms of data organization and reports, all Gainwell IP (as defined below), or any other information, or other work product whether or not disclosed to Participating Entity by or on behalf of Gainwell. Gainwell intellectual property (“</w:t>
      </w:r>
      <w:r w:rsidRPr="007A57BE">
        <w:rPr>
          <w:rFonts w:eastAsia="Calibri" w:cs="Arial"/>
          <w:b/>
          <w:bCs/>
          <w:color w:val="2B3944"/>
          <w:szCs w:val="22"/>
        </w:rPr>
        <w:t>Gainwell IP</w:t>
      </w:r>
      <w:r w:rsidRPr="007A57BE">
        <w:rPr>
          <w:rFonts w:eastAsia="Calibri" w:cs="Arial"/>
          <w:color w:val="2B3944"/>
          <w:szCs w:val="22"/>
        </w:rPr>
        <w:t xml:space="preserve">”) means, collectively, </w:t>
      </w:r>
      <w:r w:rsidRPr="007A57BE">
        <w:rPr>
          <w:rFonts w:eastAsia="Calibri" w:cs="Arial"/>
          <w:color w:val="2B3944"/>
          <w:szCs w:val="22"/>
        </w:rPr>
        <w:lastRenderedPageBreak/>
        <w:t>Gainwell’s analyses, tools, designs, database rights, processes and process flows, programs, software, materials, works of authorship, inventions (whether or not patentable), trade secrets, patents, trademarks, trade names, systems and documentation, analytical methodologies and algorithms, information management systems, associated proprietary forms of data organization, whether or not confidential, all enhancements, modifications, improvements or derivatives thereof, and all intellectual property and proprietary rights whether arising by operation of law, contract, license, or otherwise in and to the foregoing.  In the event of a state or federal open records or freedom of information act request for disclosure of any Confidential Information related to or arising out of the Master Agreement, Participating Addendum or an Order, Participating Entity shall provide written notice to Gainwell to allow Gainwell the opportunity to respond to the open records  or other freedom of information act requester and protect any Confidential Information.</w:t>
      </w:r>
      <w:r w:rsidRPr="007A57BE">
        <w:rPr>
          <w:rFonts w:eastAsia="Calibri" w:cs="Arial"/>
          <w:b/>
          <w:bCs/>
          <w:color w:val="2B3944"/>
          <w:szCs w:val="22"/>
        </w:rPr>
        <w:t xml:space="preserve">  </w:t>
      </w:r>
    </w:p>
    <w:p w14:paraId="339807C7" w14:textId="77777777" w:rsidR="008F0D5C" w:rsidRDefault="008F0D5C"/>
    <w:p w14:paraId="63B5C625" w14:textId="77777777" w:rsidR="005B3E16" w:rsidRPr="00D04B61" w:rsidRDefault="005B3E16" w:rsidP="004978CA">
      <w:pPr>
        <w:pStyle w:val="BodyText"/>
        <w:keepNext/>
        <w:spacing w:before="240" w:after="60"/>
      </w:pPr>
    </w:p>
    <w:sectPr w:rsidR="005B3E16" w:rsidRPr="00D04B61" w:rsidSect="009C4AB4">
      <w:headerReference w:type="default" r:id="rId18"/>
      <w:footerReference w:type="default" r:id="rId19"/>
      <w:pgSz w:w="12240" w:h="15840"/>
      <w:pgMar w:top="19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BA674" w14:textId="77777777" w:rsidR="00E905E3" w:rsidRDefault="00E905E3" w:rsidP="00836FCF">
      <w:r>
        <w:separator/>
      </w:r>
    </w:p>
  </w:endnote>
  <w:endnote w:type="continuationSeparator" w:id="0">
    <w:p w14:paraId="6E76B136" w14:textId="77777777" w:rsidR="00E905E3" w:rsidRDefault="00E905E3" w:rsidP="00836FCF">
      <w:r>
        <w:continuationSeparator/>
      </w:r>
    </w:p>
  </w:endnote>
  <w:endnote w:type="continuationNotice" w:id="1">
    <w:p w14:paraId="7A85C76B" w14:textId="77777777" w:rsidR="00E905E3" w:rsidRDefault="00E90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FF36" w14:textId="52719D60" w:rsidR="00105FFF" w:rsidRDefault="005A2329">
    <w:pPr>
      <w:pStyle w:val="Footer"/>
    </w:pPr>
    <w:r w:rsidRPr="00BE51C3">
      <w:t>Gainwell Technologies</w:t>
    </w:r>
    <w:r w:rsidRPr="003354AB">
      <w:tab/>
      <w:t xml:space="preserve">Page </w:t>
    </w:r>
    <w:r w:rsidRPr="003354AB">
      <w:fldChar w:fldCharType="begin"/>
    </w:r>
    <w:r w:rsidRPr="00105FFF">
      <w:rPr>
        <w:rFonts w:cs="Arial"/>
        <w:sz w:val="18"/>
        <w:szCs w:val="18"/>
      </w:rPr>
      <w:instrText xml:space="preserve"> PAGE   \* MERGEFORMAT </w:instrText>
    </w:r>
    <w:r w:rsidRPr="003354AB">
      <w:fldChar w:fldCharType="separate"/>
    </w:r>
    <w:r>
      <w:t>1</w:t>
    </w:r>
    <w:r w:rsidRPr="003354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AFC9" w14:textId="77777777" w:rsidR="00E905E3" w:rsidRDefault="00E905E3" w:rsidP="00836FCF">
      <w:r>
        <w:separator/>
      </w:r>
    </w:p>
  </w:footnote>
  <w:footnote w:type="continuationSeparator" w:id="0">
    <w:p w14:paraId="31699748" w14:textId="77777777" w:rsidR="00E905E3" w:rsidRDefault="00E905E3" w:rsidP="00836FCF">
      <w:r>
        <w:continuationSeparator/>
      </w:r>
    </w:p>
  </w:footnote>
  <w:footnote w:type="continuationNotice" w:id="1">
    <w:p w14:paraId="5D07BDB2" w14:textId="77777777" w:rsidR="00E905E3" w:rsidRDefault="00E905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0E15" w14:textId="77777777" w:rsidR="00967A96" w:rsidRDefault="00967A96" w:rsidP="00967A96">
    <w:pPr>
      <w:rPr>
        <w:color w:val="2B3A44"/>
        <w:sz w:val="18"/>
        <w:szCs w:val="18"/>
      </w:rPr>
    </w:pPr>
    <w:r>
      <w:rPr>
        <w:color w:val="2B3A44"/>
        <w:sz w:val="18"/>
        <w:szCs w:val="18"/>
      </w:rPr>
      <w:t>The State of Utah Division of Purchasing</w:t>
    </w:r>
  </w:p>
  <w:p w14:paraId="4B19E5D0" w14:textId="77777777" w:rsidR="00967A96" w:rsidRDefault="00967A96" w:rsidP="00967A96">
    <w:pPr>
      <w:rPr>
        <w:color w:val="2B3A44"/>
        <w:sz w:val="18"/>
        <w:szCs w:val="18"/>
      </w:rPr>
    </w:pPr>
    <w:r>
      <w:rPr>
        <w:color w:val="2B3A44"/>
        <w:sz w:val="18"/>
        <w:szCs w:val="18"/>
      </w:rPr>
      <w:t xml:space="preserve">NASPO ValuePoint Master Agreement for Cloud Solutions </w:t>
    </w:r>
  </w:p>
  <w:p w14:paraId="3B924084" w14:textId="77777777" w:rsidR="00967A96" w:rsidRDefault="00967A96" w:rsidP="00967A96">
    <w:pPr>
      <w:rPr>
        <w:color w:val="2B3A44"/>
        <w:sz w:val="18"/>
        <w:szCs w:val="18"/>
      </w:rPr>
    </w:pPr>
    <w:r>
      <w:rPr>
        <w:color w:val="2B3A44"/>
        <w:sz w:val="18"/>
        <w:szCs w:val="18"/>
      </w:rPr>
      <w:t>Gainwell Amended Technical Response</w:t>
    </w:r>
  </w:p>
  <w:p w14:paraId="4A6A7BBC" w14:textId="77777777" w:rsidR="00292F18" w:rsidRDefault="00292F18">
    <w:pPr>
      <w:pStyle w:val="Header"/>
      <w:rPr>
        <w:szCs w:val="18"/>
      </w:rPr>
    </w:pPr>
    <w:r w:rsidRPr="00292F18">
      <w:rPr>
        <w:szCs w:val="18"/>
      </w:rPr>
      <w:t>Contract #: AR3094</w:t>
    </w:r>
  </w:p>
  <w:p w14:paraId="683E12E3" w14:textId="22E87202" w:rsidR="00967A96" w:rsidRDefault="002D31C1">
    <w:pPr>
      <w:pStyle w:val="Header"/>
    </w:pPr>
    <w:r>
      <w:rPr>
        <w:szCs w:val="18"/>
      </w:rPr>
      <w:t xml:space="preserve">December </w:t>
    </w:r>
    <w:r w:rsidR="003B2B15">
      <w:rPr>
        <w:szCs w:val="18"/>
      </w:rPr>
      <w:t>2023</w:t>
    </w:r>
  </w:p>
</w:hdr>
</file>

<file path=word/intelligence2.xml><?xml version="1.0" encoding="utf-8"?>
<int2:intelligence xmlns:int2="http://schemas.microsoft.com/office/intelligence/2020/intelligence" xmlns:oel="http://schemas.microsoft.com/office/2019/extlst">
  <int2:observations>
    <int2:textHash int2:hashCode="QIxHKTfUT1UDfu" int2:id="Nk3OIRL1">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9AD2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B2CA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F4D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4A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9EF5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823A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EC5A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C2BB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0E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8A9D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941E0"/>
    <w:multiLevelType w:val="multilevel"/>
    <w:tmpl w:val="182A44F4"/>
    <w:lvl w:ilvl="0">
      <w:start w:val="1"/>
      <w:numFmt w:val="decimal"/>
      <w:pStyle w:val="NumbersAuto1Double"/>
      <w:lvlText w:val="%1."/>
      <w:lvlJc w:val="left"/>
      <w:pPr>
        <w:ind w:left="360" w:hanging="360"/>
      </w:pPr>
      <w:rPr>
        <w:rFonts w:ascii="Arial" w:hAnsi="Arial" w:hint="default"/>
        <w:sz w:val="22"/>
      </w:rPr>
    </w:lvl>
    <w:lvl w:ilvl="1">
      <w:start w:val="1"/>
      <w:numFmt w:val="lowerLetter"/>
      <w:pStyle w:val="NumbersAuto2Double"/>
      <w:lvlText w:val="%2."/>
      <w:lvlJc w:val="left"/>
      <w:pPr>
        <w:tabs>
          <w:tab w:val="num" w:pos="936"/>
        </w:tabs>
        <w:ind w:left="720" w:hanging="360"/>
      </w:pPr>
      <w:rPr>
        <w:rFonts w:ascii="Arial" w:hAnsi="Arial" w:hint="default"/>
        <w:sz w:val="22"/>
      </w:rPr>
    </w:lvl>
    <w:lvl w:ilvl="2">
      <w:start w:val="1"/>
      <w:numFmt w:val="lowerRoman"/>
      <w:pStyle w:val="NumbersAuto3Double"/>
      <w:lvlText w:val="%3."/>
      <w:lvlJc w:val="right"/>
      <w:pPr>
        <w:ind w:left="1080" w:hanging="216"/>
      </w:pPr>
      <w:rPr>
        <w:rFonts w:ascii="Arial" w:hAnsi="Arial" w:hint="default"/>
        <w:sz w:val="22"/>
      </w:rPr>
    </w:lvl>
    <w:lvl w:ilvl="3">
      <w:start w:val="1"/>
      <w:numFmt w:val="decimal"/>
      <w:lvlText w:val="%4."/>
      <w:lvlJc w:val="left"/>
      <w:pPr>
        <w:ind w:left="1512" w:hanging="432"/>
      </w:pPr>
      <w:rPr>
        <w:rFonts w:ascii="Arial" w:hAnsi="Arial" w:hint="default"/>
        <w:sz w:val="22"/>
      </w:rPr>
    </w:lvl>
    <w:lvl w:ilvl="4">
      <w:start w:val="1"/>
      <w:numFmt w:val="lowerLetter"/>
      <w:lvlText w:val="%5."/>
      <w:lvlJc w:val="left"/>
      <w:pPr>
        <w:ind w:left="1872"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53625FB"/>
    <w:multiLevelType w:val="hybridMultilevel"/>
    <w:tmpl w:val="F9968804"/>
    <w:lvl w:ilvl="0" w:tplc="952AF036">
      <w:start w:val="1"/>
      <w:numFmt w:val="bullet"/>
      <w:pStyle w:val="Index5"/>
      <w:lvlText w:val=""/>
      <w:lvlJc w:val="left"/>
      <w:pPr>
        <w:tabs>
          <w:tab w:val="num" w:pos="360"/>
        </w:tabs>
        <w:ind w:left="360" w:hanging="360"/>
      </w:pPr>
      <w:rPr>
        <w:rFonts w:ascii="Symbol" w:hAnsi="Symbol" w:hint="default"/>
        <w:b w:val="0"/>
        <w:i w:val="0"/>
        <w:color w:val="FFFFFF"/>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D3738A"/>
    <w:multiLevelType w:val="multilevel"/>
    <w:tmpl w:val="364EDD2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7627828"/>
    <w:multiLevelType w:val="hybridMultilevel"/>
    <w:tmpl w:val="F77ACB20"/>
    <w:lvl w:ilvl="0" w:tplc="10CE3194">
      <w:start w:val="1"/>
      <w:numFmt w:val="bullet"/>
      <w:pStyle w:val="Bullet3Double"/>
      <w:lvlText w:val=""/>
      <w:lvlJc w:val="left"/>
      <w:pPr>
        <w:tabs>
          <w:tab w:val="num" w:pos="1080"/>
        </w:tabs>
        <w:ind w:left="1080" w:hanging="360"/>
      </w:pPr>
      <w:rPr>
        <w:rFonts w:ascii="Symbol" w:hAnsi="Symbol" w:hint="default"/>
        <w:b w:val="0"/>
        <w:i w:val="0"/>
        <w:color w:val="auto"/>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C364F4"/>
    <w:multiLevelType w:val="hybridMultilevel"/>
    <w:tmpl w:val="A2C03380"/>
    <w:lvl w:ilvl="0" w:tplc="1D024506">
      <w:start w:val="1"/>
      <w:numFmt w:val="bullet"/>
      <w:pStyle w:val="Bullet3Single"/>
      <w:lvlText w:val=""/>
      <w:lvlJc w:val="left"/>
      <w:pPr>
        <w:tabs>
          <w:tab w:val="num" w:pos="1080"/>
        </w:tabs>
        <w:ind w:left="1080" w:hanging="360"/>
      </w:pPr>
      <w:rPr>
        <w:rFonts w:ascii="Symbol" w:hAnsi="Symbol" w:hint="default"/>
        <w:b w:val="0"/>
        <w:i w:val="0"/>
        <w:color w:val="2B3A44"/>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D5096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0EC67D5"/>
    <w:multiLevelType w:val="hybridMultilevel"/>
    <w:tmpl w:val="D7929720"/>
    <w:lvl w:ilvl="0" w:tplc="0AC0C342">
      <w:start w:val="1"/>
      <w:numFmt w:val="bullet"/>
      <w:pStyle w:val="NumbersAuto5Single"/>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3BF474C"/>
    <w:multiLevelType w:val="multilevel"/>
    <w:tmpl w:val="5C9ADAE8"/>
    <w:styleLink w:val="NumberAutoSingle"/>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864"/>
        </w:tabs>
        <w:ind w:left="864" w:hanging="504"/>
      </w:pPr>
      <w:rPr>
        <w:rFonts w:ascii="Arial" w:hAnsi="Arial" w:hint="default"/>
        <w:sz w:val="22"/>
      </w:rPr>
    </w:lvl>
    <w:lvl w:ilvl="2">
      <w:start w:val="1"/>
      <w:numFmt w:val="lowerRoman"/>
      <w:lvlText w:val="%3."/>
      <w:lvlJc w:val="right"/>
      <w:pPr>
        <w:tabs>
          <w:tab w:val="num" w:pos="1368"/>
        </w:tabs>
        <w:ind w:left="1368" w:hanging="360"/>
      </w:pPr>
      <w:rPr>
        <w:rFonts w:ascii="Arial" w:hAnsi="Arial" w:hint="default"/>
        <w:sz w:val="22"/>
      </w:rPr>
    </w:lvl>
    <w:lvl w:ilvl="3">
      <w:start w:val="1"/>
      <w:numFmt w:val="bullet"/>
      <w:lvlText w:val=""/>
      <w:lvlJc w:val="left"/>
      <w:pPr>
        <w:tabs>
          <w:tab w:val="num" w:pos="1584"/>
        </w:tabs>
        <w:ind w:left="1584" w:hanging="216"/>
      </w:pPr>
      <w:rPr>
        <w:rFonts w:ascii="Symbol" w:hAnsi="Symbol" w:hint="default"/>
        <w:sz w:val="22"/>
      </w:rPr>
    </w:lvl>
    <w:lvl w:ilvl="4">
      <w:start w:val="1"/>
      <w:numFmt w:val="bullet"/>
      <w:lvlText w:val=""/>
      <w:lvlJc w:val="left"/>
      <w:pPr>
        <w:tabs>
          <w:tab w:val="num" w:pos="1944"/>
        </w:tabs>
        <w:ind w:left="1944" w:hanging="360"/>
      </w:pPr>
      <w:rPr>
        <w:rFonts w:ascii="Symbol" w:hAnsi="Symbol" w:hint="default"/>
        <w:color w:val="auto"/>
        <w:sz w:val="22"/>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18" w15:restartNumberingAfterBreak="0">
    <w:nsid w:val="198537A7"/>
    <w:multiLevelType w:val="hybridMultilevel"/>
    <w:tmpl w:val="F4BA4358"/>
    <w:lvl w:ilvl="0" w:tplc="C05AC43E">
      <w:numFmt w:val="bullet"/>
      <w:lvlText w:val="•"/>
      <w:lvlJc w:val="left"/>
      <w:pPr>
        <w:ind w:left="723" w:hanging="435"/>
      </w:pPr>
      <w:rPr>
        <w:rFonts w:ascii="Arial" w:eastAsia="PMingLiU" w:hAnsi="Arial" w:cs="Aria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9" w15:restartNumberingAfterBreak="0">
    <w:nsid w:val="1AED34C1"/>
    <w:multiLevelType w:val="hybridMultilevel"/>
    <w:tmpl w:val="92FA2D90"/>
    <w:lvl w:ilvl="0" w:tplc="6786EF72">
      <w:start w:val="1"/>
      <w:numFmt w:val="none"/>
      <w:pStyle w:val="Bullet3SubtextDouble"/>
      <w:lvlText w:val=""/>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1B6031E"/>
    <w:multiLevelType w:val="multilevel"/>
    <w:tmpl w:val="F85221A0"/>
    <w:styleLink w:val="Bullet1"/>
    <w:lvl w:ilvl="0">
      <w:start w:val="1"/>
      <w:numFmt w:val="bullet"/>
      <w:lvlText w:val=""/>
      <w:lvlJc w:val="left"/>
      <w:pPr>
        <w:tabs>
          <w:tab w:val="num" w:pos="216"/>
        </w:tabs>
        <w:ind w:left="216" w:hanging="216"/>
      </w:pPr>
      <w:rPr>
        <w:rFonts w:ascii="Symbol" w:hAnsi="Symbol"/>
        <w:sz w:val="20"/>
      </w:rPr>
    </w:lvl>
    <w:lvl w:ilvl="1">
      <w:start w:val="1"/>
      <w:numFmt w:val="bullet"/>
      <w:lvlText w:val=""/>
      <w:lvlJc w:val="left"/>
      <w:pPr>
        <w:tabs>
          <w:tab w:val="num" w:pos="432"/>
        </w:tabs>
        <w:ind w:left="216" w:firstLine="0"/>
      </w:pPr>
      <w:rPr>
        <w:rFonts w:ascii="Symbol" w:hAnsi="Symbol" w:hint="default"/>
        <w:color w:val="3859AC"/>
        <w:sz w:val="20"/>
      </w:rPr>
    </w:lvl>
    <w:lvl w:ilvl="2">
      <w:start w:val="1"/>
      <w:numFmt w:val="bullet"/>
      <w:lvlText w:val=""/>
      <w:lvlJc w:val="left"/>
      <w:pPr>
        <w:tabs>
          <w:tab w:val="num" w:pos="648"/>
        </w:tabs>
        <w:ind w:left="432" w:hanging="216"/>
      </w:pPr>
      <w:rPr>
        <w:rFonts w:ascii="Symbol" w:hAnsi="Symbol" w:hint="default"/>
        <w:sz w:val="20"/>
      </w:rPr>
    </w:lvl>
    <w:lvl w:ilvl="3">
      <w:start w:val="1"/>
      <w:numFmt w:val="bullet"/>
      <w:lvlText w:val=""/>
      <w:lvlJc w:val="left"/>
      <w:pPr>
        <w:tabs>
          <w:tab w:val="num" w:pos="864"/>
        </w:tabs>
        <w:ind w:left="648" w:hanging="432"/>
      </w:pPr>
      <w:rPr>
        <w:rFonts w:ascii="Symbol" w:hAnsi="Symbol" w:hint="default"/>
        <w:color w:val="3859AC"/>
        <w:sz w:val="20"/>
      </w:rPr>
    </w:lvl>
    <w:lvl w:ilvl="4">
      <w:start w:val="1"/>
      <w:numFmt w:val="bullet"/>
      <w:lvlText w:val=""/>
      <w:lvlJc w:val="left"/>
      <w:pPr>
        <w:tabs>
          <w:tab w:val="num" w:pos="1080"/>
        </w:tabs>
        <w:ind w:left="864" w:hanging="648"/>
      </w:pPr>
      <w:rPr>
        <w:rFonts w:ascii="Symbol" w:hAnsi="Symbol"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3CE4319"/>
    <w:multiLevelType w:val="multilevel"/>
    <w:tmpl w:val="FC700078"/>
    <w:lvl w:ilvl="0">
      <w:start w:val="1"/>
      <w:numFmt w:val="decimal"/>
      <w:pStyle w:val="Heading1"/>
      <w:lvlText w:val="%1"/>
      <w:lvlJc w:val="left"/>
      <w:pPr>
        <w:ind w:left="3060" w:hanging="360"/>
      </w:pPr>
      <w:rPr>
        <w:rFonts w:hint="default"/>
      </w:rPr>
    </w:lvl>
    <w:lvl w:ilvl="1">
      <w:start w:val="1"/>
      <w:numFmt w:val="decimal"/>
      <w:pStyle w:val="Heading2"/>
      <w:lvlText w:val="%1.%2"/>
      <w:lvlJc w:val="left"/>
      <w:pPr>
        <w:ind w:left="792" w:hanging="792"/>
      </w:pPr>
      <w:rPr>
        <w:rFonts w:hint="default"/>
      </w:rPr>
    </w:lvl>
    <w:lvl w:ilvl="2">
      <w:start w:val="1"/>
      <w:numFmt w:val="decimal"/>
      <w:pStyle w:val="Heading3"/>
      <w:lvlText w:val="%1.%2.%3"/>
      <w:lvlJc w:val="left"/>
      <w:pPr>
        <w:ind w:left="1224" w:hanging="1224"/>
      </w:pPr>
      <w:rPr>
        <w:rFonts w:hint="default"/>
      </w:rPr>
    </w:lvl>
    <w:lvl w:ilvl="3">
      <w:start w:val="1"/>
      <w:numFmt w:val="decimal"/>
      <w:pStyle w:val="Heading4"/>
      <w:lvlText w:val="%1.%2.%3.%4"/>
      <w:lvlJc w:val="left"/>
      <w:pPr>
        <w:ind w:left="1728" w:hanging="1728"/>
      </w:pPr>
      <w:rPr>
        <w:rFonts w:hint="default"/>
      </w:rPr>
    </w:lvl>
    <w:lvl w:ilvl="4">
      <w:start w:val="1"/>
      <w:numFmt w:val="decimal"/>
      <w:pStyle w:val="Heading5"/>
      <w:lvlText w:val="%1.%2.%3.%4.%5"/>
      <w:lvlJc w:val="left"/>
      <w:pPr>
        <w:ind w:left="2232" w:hanging="2232"/>
      </w:pPr>
      <w:rPr>
        <w:rFonts w:hint="default"/>
      </w:rPr>
    </w:lvl>
    <w:lvl w:ilvl="5">
      <w:start w:val="1"/>
      <w:numFmt w:val="decimal"/>
      <w:pStyle w:val="Heading6"/>
      <w:lvlText w:val="%1.%2.%3.%4.%5.%6"/>
      <w:lvlJc w:val="left"/>
      <w:pPr>
        <w:ind w:left="2736" w:hanging="2736"/>
      </w:pPr>
      <w:rPr>
        <w:rFonts w:hint="default"/>
      </w:rPr>
    </w:lvl>
    <w:lvl w:ilvl="6">
      <w:start w:val="1"/>
      <w:numFmt w:val="decimal"/>
      <w:pStyle w:val="Heading7"/>
      <w:lvlText w:val="%1.%2.%3.%4.%5.%6.%7"/>
      <w:lvlJc w:val="left"/>
      <w:pPr>
        <w:ind w:left="3240" w:hanging="3240"/>
      </w:pPr>
      <w:rPr>
        <w:rFonts w:hint="default"/>
      </w:rPr>
    </w:lvl>
    <w:lvl w:ilvl="7">
      <w:start w:val="1"/>
      <w:numFmt w:val="decimal"/>
      <w:pStyle w:val="Heading8"/>
      <w:lvlText w:val="%1.%2.%3.%4.%5.%6.%7.%8"/>
      <w:lvlJc w:val="left"/>
      <w:pPr>
        <w:ind w:left="3744" w:hanging="3744"/>
      </w:pPr>
      <w:rPr>
        <w:rFonts w:hint="default"/>
      </w:rPr>
    </w:lvl>
    <w:lvl w:ilvl="8">
      <w:start w:val="1"/>
      <w:numFmt w:val="decimal"/>
      <w:pStyle w:val="Heading9"/>
      <w:lvlText w:val="%1.%2.%3.%4.%5.%6.%7.%8.%9"/>
      <w:lvlJc w:val="left"/>
      <w:pPr>
        <w:ind w:left="4320" w:hanging="4320"/>
      </w:pPr>
      <w:rPr>
        <w:rFonts w:hint="default"/>
      </w:rPr>
    </w:lvl>
  </w:abstractNum>
  <w:abstractNum w:abstractNumId="22" w15:restartNumberingAfterBreak="0">
    <w:nsid w:val="247960B6"/>
    <w:multiLevelType w:val="multilevel"/>
    <w:tmpl w:val="1F9E6E3A"/>
    <w:styleLink w:val="NumbersAutoDouble"/>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1224"/>
        </w:tabs>
        <w:ind w:left="864" w:hanging="504"/>
      </w:pPr>
      <w:rPr>
        <w:rFonts w:hint="default"/>
      </w:rPr>
    </w:lvl>
    <w:lvl w:ilvl="2">
      <w:start w:val="1"/>
      <w:numFmt w:val="lowerRoman"/>
      <w:lvlText w:val="%3."/>
      <w:lvlJc w:val="right"/>
      <w:pPr>
        <w:tabs>
          <w:tab w:val="num" w:pos="1224"/>
        </w:tabs>
        <w:ind w:left="864" w:firstLine="144"/>
      </w:pPr>
      <w:rPr>
        <w:rFonts w:hint="default"/>
      </w:rPr>
    </w:lvl>
    <w:lvl w:ilvl="3">
      <w:start w:val="1"/>
      <w:numFmt w:val="bullet"/>
      <w:lvlText w:val=""/>
      <w:lvlJc w:val="left"/>
      <w:pPr>
        <w:tabs>
          <w:tab w:val="num" w:pos="1584"/>
        </w:tabs>
        <w:ind w:left="1584" w:hanging="216"/>
      </w:pPr>
      <w:rPr>
        <w:rFonts w:ascii="Symbol" w:hAnsi="Symbol" w:hint="default"/>
      </w:rPr>
    </w:lvl>
    <w:lvl w:ilvl="4">
      <w:start w:val="1"/>
      <w:numFmt w:val="bullet"/>
      <w:lvlText w:val=""/>
      <w:lvlJc w:val="left"/>
      <w:pPr>
        <w:tabs>
          <w:tab w:val="num" w:pos="1944"/>
        </w:tabs>
        <w:ind w:left="1944"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6C45A36"/>
    <w:multiLevelType w:val="hybridMultilevel"/>
    <w:tmpl w:val="A9F22F02"/>
    <w:lvl w:ilvl="0" w:tplc="C9487782">
      <w:start w:val="1"/>
      <w:numFmt w:val="bullet"/>
      <w:pStyle w:val="TableText10Bullet2Double"/>
      <w:lvlText w:val="–"/>
      <w:lvlJc w:val="left"/>
      <w:pPr>
        <w:tabs>
          <w:tab w:val="num" w:pos="216"/>
        </w:tabs>
        <w:ind w:left="216" w:firstLine="0"/>
      </w:pPr>
      <w:rPr>
        <w:rFonts w:ascii="Arial" w:hAnsi="Aria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F6184E"/>
    <w:multiLevelType w:val="hybridMultilevel"/>
    <w:tmpl w:val="98A6C152"/>
    <w:lvl w:ilvl="0" w:tplc="D8E42D2A">
      <w:numFmt w:val="none"/>
      <w:pStyle w:val="Bullet2SubtextDouble"/>
      <w:lvlText w:val=""/>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9F1755"/>
    <w:multiLevelType w:val="hybridMultilevel"/>
    <w:tmpl w:val="7CA43084"/>
    <w:lvl w:ilvl="0" w:tplc="44D04A22">
      <w:start w:val="1"/>
      <w:numFmt w:val="decimal"/>
      <w:pStyle w:val="NumbersAutoBold"/>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F8668AF"/>
    <w:multiLevelType w:val="hybridMultilevel"/>
    <w:tmpl w:val="B69C2352"/>
    <w:lvl w:ilvl="0" w:tplc="5BDEB5A6">
      <w:start w:val="1"/>
      <w:numFmt w:val="bullet"/>
      <w:lvlText w:val=""/>
      <w:lvlJc w:val="left"/>
      <w:pPr>
        <w:tabs>
          <w:tab w:val="num" w:pos="0"/>
        </w:tabs>
        <w:ind w:left="0" w:firstLine="0"/>
      </w:pPr>
      <w:rPr>
        <w:rFonts w:ascii="Symbol" w:hAnsi="Symbol" w:hint="default"/>
        <w:color w:val="2B3A44"/>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258C6"/>
    <w:multiLevelType w:val="hybridMultilevel"/>
    <w:tmpl w:val="E9B6845A"/>
    <w:lvl w:ilvl="0" w:tplc="047A3D54">
      <w:start w:val="1"/>
      <w:numFmt w:val="bullet"/>
      <w:pStyle w:val="Bullet3Double0"/>
      <w:lvlText w:val=""/>
      <w:lvlJc w:val="left"/>
      <w:pPr>
        <w:tabs>
          <w:tab w:val="num" w:pos="1080"/>
        </w:tabs>
        <w:ind w:left="1080" w:hanging="360"/>
      </w:pPr>
      <w:rPr>
        <w:rFonts w:ascii="Symbol" w:hAnsi="Symbol" w:hint="default"/>
        <w:b w:val="0"/>
        <w:i w:val="0"/>
        <w:color w:val="2B3A44"/>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854438"/>
    <w:multiLevelType w:val="hybridMultilevel"/>
    <w:tmpl w:val="4CEEBCDA"/>
    <w:lvl w:ilvl="0" w:tplc="7F1CD2C4">
      <w:numFmt w:val="none"/>
      <w:pStyle w:val="Bullet2SubtextSingle"/>
      <w:lvlText w:val=""/>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1C43D3"/>
    <w:multiLevelType w:val="hybridMultilevel"/>
    <w:tmpl w:val="AED25FF8"/>
    <w:lvl w:ilvl="0" w:tplc="319811B0">
      <w:start w:val="1"/>
      <w:numFmt w:val="bullet"/>
      <w:pStyle w:val="Bullet1Double"/>
      <w:lvlText w:val=""/>
      <w:lvlJc w:val="left"/>
      <w:pPr>
        <w:tabs>
          <w:tab w:val="num" w:pos="0"/>
        </w:tabs>
        <w:ind w:left="0" w:firstLine="0"/>
      </w:pPr>
      <w:rPr>
        <w:rFonts w:ascii="Symbol" w:hAnsi="Symbol" w:hint="default"/>
        <w:color w:val="2B3A44"/>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E31F5A"/>
    <w:multiLevelType w:val="hybridMultilevel"/>
    <w:tmpl w:val="8FCA9E8A"/>
    <w:lvl w:ilvl="0" w:tplc="C5DE90CE">
      <w:start w:val="1"/>
      <w:numFmt w:val="bullet"/>
      <w:pStyle w:val="NumbersAuto4Double"/>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4635F84"/>
    <w:multiLevelType w:val="hybridMultilevel"/>
    <w:tmpl w:val="45A8AE10"/>
    <w:lvl w:ilvl="0" w:tplc="1806F360">
      <w:start w:val="1"/>
      <w:numFmt w:val="none"/>
      <w:pStyle w:val="Bullet3SubtextSingle"/>
      <w:lvlText w:val=""/>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72171C4"/>
    <w:multiLevelType w:val="multilevel"/>
    <w:tmpl w:val="50AAE700"/>
    <w:lvl w:ilvl="0">
      <w:start w:val="1"/>
      <w:numFmt w:val="decimal"/>
      <w:pStyle w:val="NumbersAutoBoldDouble"/>
      <w:lvlText w:val="%1."/>
      <w:lvlJc w:val="left"/>
      <w:pPr>
        <w:tabs>
          <w:tab w:val="num" w:pos="425"/>
        </w:tabs>
        <w:ind w:left="425" w:hanging="425"/>
      </w:pPr>
      <w:rPr>
        <w:rFonts w:hint="default"/>
        <w:b/>
        <w:i w:val="0"/>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33" w15:restartNumberingAfterBreak="0">
    <w:nsid w:val="49D375EB"/>
    <w:multiLevelType w:val="hybridMultilevel"/>
    <w:tmpl w:val="6AB4F974"/>
    <w:lvl w:ilvl="0" w:tplc="765AE598">
      <w:start w:val="1"/>
      <w:numFmt w:val="bullet"/>
      <w:pStyle w:val="CvrLtrBullet1Double"/>
      <w:lvlText w:val=""/>
      <w:lvlJc w:val="left"/>
      <w:pPr>
        <w:tabs>
          <w:tab w:val="num" w:pos="0"/>
        </w:tabs>
        <w:ind w:left="0" w:firstLine="0"/>
      </w:pPr>
      <w:rPr>
        <w:rFonts w:ascii="Symbol" w:hAnsi="Symbol" w:hint="default"/>
        <w:color w:val="2B3A44"/>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4502F3"/>
    <w:multiLevelType w:val="hybridMultilevel"/>
    <w:tmpl w:val="977C00F0"/>
    <w:lvl w:ilvl="0" w:tplc="55089122">
      <w:start w:val="1"/>
      <w:numFmt w:val="bullet"/>
      <w:pStyle w:val="Bullet5Double"/>
      <w:lvlText w:val=""/>
      <w:lvlJc w:val="left"/>
      <w:pPr>
        <w:tabs>
          <w:tab w:val="num" w:pos="1800"/>
        </w:tabs>
        <w:ind w:left="1800" w:hanging="360"/>
      </w:pPr>
      <w:rPr>
        <w:rFonts w:ascii="Symbol" w:hAnsi="Symbol" w:hint="default"/>
        <w:b w:val="0"/>
        <w:i w:val="0"/>
        <w:color w:val="2B3A44"/>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A93317F"/>
    <w:multiLevelType w:val="hybridMultilevel"/>
    <w:tmpl w:val="1494DA42"/>
    <w:lvl w:ilvl="0" w:tplc="F6CA42FC">
      <w:start w:val="1"/>
      <w:numFmt w:val="bullet"/>
      <w:pStyle w:val="QuotationAttribute"/>
      <w:lvlText w:val=""/>
      <w:lvlJc w:val="left"/>
      <w:pPr>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B024701"/>
    <w:multiLevelType w:val="hybridMultilevel"/>
    <w:tmpl w:val="9EAE0F16"/>
    <w:lvl w:ilvl="0" w:tplc="2F9CF242">
      <w:start w:val="1"/>
      <w:numFmt w:val="bullet"/>
      <w:pStyle w:val="RightSidebarBullet"/>
      <w:lvlText w:val=""/>
      <w:lvlJc w:val="left"/>
      <w:pPr>
        <w:ind w:left="720" w:hanging="360"/>
      </w:pPr>
      <w:rPr>
        <w:rFonts w:ascii="Symbol" w:hAnsi="Symbol" w:hint="default"/>
        <w:b w:val="0"/>
        <w:i w:val="0"/>
        <w:color w:val="2B3A44"/>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8D79FF"/>
    <w:multiLevelType w:val="hybridMultilevel"/>
    <w:tmpl w:val="150CE4CA"/>
    <w:lvl w:ilvl="0" w:tplc="D35AD658">
      <w:start w:val="1"/>
      <w:numFmt w:val="bullet"/>
      <w:lvlText w:val="·"/>
      <w:lvlJc w:val="left"/>
      <w:pPr>
        <w:ind w:left="720" w:hanging="360"/>
      </w:pPr>
      <w:rPr>
        <w:rFonts w:ascii="Symbol" w:hAnsi="Symbol" w:hint="default"/>
      </w:rPr>
    </w:lvl>
    <w:lvl w:ilvl="1" w:tplc="794E4528">
      <w:start w:val="1"/>
      <w:numFmt w:val="bullet"/>
      <w:lvlText w:val="o"/>
      <w:lvlJc w:val="left"/>
      <w:pPr>
        <w:ind w:left="1440" w:hanging="360"/>
      </w:pPr>
      <w:rPr>
        <w:rFonts w:ascii="Courier New" w:hAnsi="Courier New" w:hint="default"/>
      </w:rPr>
    </w:lvl>
    <w:lvl w:ilvl="2" w:tplc="7F44E1D8">
      <w:start w:val="1"/>
      <w:numFmt w:val="bullet"/>
      <w:lvlText w:val=""/>
      <w:lvlJc w:val="left"/>
      <w:pPr>
        <w:ind w:left="2160" w:hanging="360"/>
      </w:pPr>
      <w:rPr>
        <w:rFonts w:ascii="Wingdings" w:hAnsi="Wingdings" w:hint="default"/>
      </w:rPr>
    </w:lvl>
    <w:lvl w:ilvl="3" w:tplc="CB88C038">
      <w:start w:val="1"/>
      <w:numFmt w:val="bullet"/>
      <w:lvlText w:val=""/>
      <w:lvlJc w:val="left"/>
      <w:pPr>
        <w:ind w:left="2880" w:hanging="360"/>
      </w:pPr>
      <w:rPr>
        <w:rFonts w:ascii="Symbol" w:hAnsi="Symbol" w:hint="default"/>
      </w:rPr>
    </w:lvl>
    <w:lvl w:ilvl="4" w:tplc="AE986EF2">
      <w:start w:val="1"/>
      <w:numFmt w:val="bullet"/>
      <w:lvlText w:val="o"/>
      <w:lvlJc w:val="left"/>
      <w:pPr>
        <w:ind w:left="3600" w:hanging="360"/>
      </w:pPr>
      <w:rPr>
        <w:rFonts w:ascii="Courier New" w:hAnsi="Courier New" w:hint="default"/>
      </w:rPr>
    </w:lvl>
    <w:lvl w:ilvl="5" w:tplc="A5CAAE38">
      <w:start w:val="1"/>
      <w:numFmt w:val="bullet"/>
      <w:lvlText w:val=""/>
      <w:lvlJc w:val="left"/>
      <w:pPr>
        <w:ind w:left="4320" w:hanging="360"/>
      </w:pPr>
      <w:rPr>
        <w:rFonts w:ascii="Wingdings" w:hAnsi="Wingdings" w:hint="default"/>
      </w:rPr>
    </w:lvl>
    <w:lvl w:ilvl="6" w:tplc="1BE20138">
      <w:start w:val="1"/>
      <w:numFmt w:val="bullet"/>
      <w:lvlText w:val=""/>
      <w:lvlJc w:val="left"/>
      <w:pPr>
        <w:ind w:left="5040" w:hanging="360"/>
      </w:pPr>
      <w:rPr>
        <w:rFonts w:ascii="Symbol" w:hAnsi="Symbol" w:hint="default"/>
      </w:rPr>
    </w:lvl>
    <w:lvl w:ilvl="7" w:tplc="1270ADBC">
      <w:start w:val="1"/>
      <w:numFmt w:val="bullet"/>
      <w:lvlText w:val="o"/>
      <w:lvlJc w:val="left"/>
      <w:pPr>
        <w:ind w:left="5760" w:hanging="360"/>
      </w:pPr>
      <w:rPr>
        <w:rFonts w:ascii="Courier New" w:hAnsi="Courier New" w:hint="default"/>
      </w:rPr>
    </w:lvl>
    <w:lvl w:ilvl="8" w:tplc="7C0ECC10">
      <w:start w:val="1"/>
      <w:numFmt w:val="bullet"/>
      <w:lvlText w:val=""/>
      <w:lvlJc w:val="left"/>
      <w:pPr>
        <w:ind w:left="6480" w:hanging="360"/>
      </w:pPr>
      <w:rPr>
        <w:rFonts w:ascii="Wingdings" w:hAnsi="Wingdings" w:hint="default"/>
      </w:rPr>
    </w:lvl>
  </w:abstractNum>
  <w:abstractNum w:abstractNumId="38" w15:restartNumberingAfterBreak="0">
    <w:nsid w:val="4E8D4B31"/>
    <w:multiLevelType w:val="multilevel"/>
    <w:tmpl w:val="CD608386"/>
    <w:lvl w:ilvl="0">
      <w:start w:val="1"/>
      <w:numFmt w:val="decimal"/>
      <w:pStyle w:val="NumbersAutoSingle"/>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39" w15:restartNumberingAfterBreak="0">
    <w:nsid w:val="4EEF5CD1"/>
    <w:multiLevelType w:val="hybridMultilevel"/>
    <w:tmpl w:val="AD18F9FE"/>
    <w:lvl w:ilvl="0" w:tplc="0F6E649A">
      <w:start w:val="1"/>
      <w:numFmt w:val="bullet"/>
      <w:pStyle w:val="Bullet2Double"/>
      <w:lvlText w:val="–"/>
      <w:lvlJc w:val="left"/>
      <w:pPr>
        <w:tabs>
          <w:tab w:val="num" w:pos="360"/>
        </w:tabs>
        <w:ind w:left="360" w:firstLine="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F320D1"/>
    <w:multiLevelType w:val="hybridMultilevel"/>
    <w:tmpl w:val="D7A470AC"/>
    <w:lvl w:ilvl="0" w:tplc="D9AC270E">
      <w:start w:val="1"/>
      <w:numFmt w:val="bullet"/>
      <w:pStyle w:val="Bullet2Single"/>
      <w:lvlText w:val=""/>
      <w:lvlJc w:val="left"/>
      <w:pPr>
        <w:ind w:left="360" w:hanging="360"/>
      </w:pPr>
      <w:rPr>
        <w:rFonts w:ascii="Symbol" w:hAnsi="Symbol" w:hint="default"/>
        <w:color w:val="2B3A44"/>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2606411"/>
    <w:multiLevelType w:val="hybridMultilevel"/>
    <w:tmpl w:val="799AA6C8"/>
    <w:lvl w:ilvl="0" w:tplc="D856D74C">
      <w:start w:val="1"/>
      <w:numFmt w:val="bullet"/>
      <w:pStyle w:val="Bullet4Single"/>
      <w:lvlText w:val="–"/>
      <w:lvlJc w:val="left"/>
      <w:pPr>
        <w:ind w:left="1224" w:hanging="360"/>
      </w:pPr>
      <w:rPr>
        <w:rFonts w:hint="default"/>
        <w:b w:val="0"/>
        <w:bCs w:val="0"/>
        <w:i w:val="0"/>
        <w:iCs w:val="0"/>
        <w:caps w:val="0"/>
        <w:smallCaps w:val="0"/>
        <w:strike w:val="0"/>
        <w:dstrike w:val="0"/>
        <w:outline w:val="0"/>
        <w:shadow w:val="0"/>
        <w:emboss w:val="0"/>
        <w:imprint w:val="0"/>
        <w:noProof w:val="0"/>
        <w:vanish w:val="0"/>
        <w:color w:val="2B3A44"/>
        <w:spacing w:val="0"/>
        <w:w w:val="153"/>
        <w:kern w:val="0"/>
        <w:position w:val="0"/>
        <w:sz w:val="18"/>
        <w:szCs w:val="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8975F13"/>
    <w:multiLevelType w:val="hybridMultilevel"/>
    <w:tmpl w:val="8EA2410C"/>
    <w:lvl w:ilvl="0" w:tplc="D27C8F52">
      <w:start w:val="1"/>
      <w:numFmt w:val="bullet"/>
      <w:pStyle w:val="TableText10Bullet1Single"/>
      <w:lvlText w:val=""/>
      <w:lvlJc w:val="left"/>
      <w:pPr>
        <w:ind w:left="720" w:hanging="360"/>
      </w:pPr>
      <w:rPr>
        <w:rFonts w:ascii="Symbol" w:hAnsi="Symbol" w:hint="default"/>
        <w:b w:val="0"/>
        <w:i w:val="0"/>
        <w:color w:val="2B3A44"/>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0F2FE5"/>
    <w:multiLevelType w:val="multilevel"/>
    <w:tmpl w:val="45AA055E"/>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DD55CC"/>
    <w:multiLevelType w:val="multilevel"/>
    <w:tmpl w:val="5288B3B2"/>
    <w:lvl w:ilvl="0">
      <w:start w:val="1"/>
      <w:numFmt w:val="decimal"/>
      <w:pStyle w:val="TableCaptionAuto"/>
      <w:lvlText w:val="Table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5DE4364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48D40D9"/>
    <w:multiLevelType w:val="hybridMultilevel"/>
    <w:tmpl w:val="7EC842B8"/>
    <w:lvl w:ilvl="0" w:tplc="F2A0A6D6">
      <w:start w:val="1"/>
      <w:numFmt w:val="bullet"/>
      <w:pStyle w:val="CvrLtrBullet1Single"/>
      <w:lvlText w:val=""/>
      <w:lvlJc w:val="left"/>
      <w:pPr>
        <w:tabs>
          <w:tab w:val="num" w:pos="0"/>
        </w:tabs>
        <w:ind w:left="0" w:firstLine="0"/>
      </w:pPr>
      <w:rPr>
        <w:rFonts w:ascii="Symbol" w:hAnsi="Symbol" w:hint="default"/>
        <w:color w:val="2B3A44"/>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560C7B"/>
    <w:multiLevelType w:val="hybridMultilevel"/>
    <w:tmpl w:val="EFD0ACDE"/>
    <w:lvl w:ilvl="0" w:tplc="3F7A9630">
      <w:start w:val="1"/>
      <w:numFmt w:val="bullet"/>
      <w:pStyle w:val="Bullet3Single0"/>
      <w:lvlText w:val=""/>
      <w:lvlJc w:val="left"/>
      <w:pPr>
        <w:ind w:left="360" w:hanging="360"/>
      </w:pPr>
      <w:rPr>
        <w:rFonts w:ascii="Symbol" w:hAnsi="Symbol" w:hint="default"/>
        <w:color w:val="2B3A4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828240D"/>
    <w:multiLevelType w:val="hybridMultilevel"/>
    <w:tmpl w:val="A038143E"/>
    <w:lvl w:ilvl="0" w:tplc="EB5E2EB8">
      <w:start w:val="1"/>
      <w:numFmt w:val="bullet"/>
      <w:pStyle w:val="Bullet2Double0"/>
      <w:lvlText w:val="–"/>
      <w:lvlJc w:val="left"/>
      <w:pPr>
        <w:tabs>
          <w:tab w:val="num" w:pos="360"/>
        </w:tabs>
        <w:ind w:left="360" w:firstLine="0"/>
      </w:pPr>
      <w:rPr>
        <w:rFonts w:hint="default"/>
        <w:b w:val="0"/>
        <w:bCs w:val="0"/>
        <w:i w:val="0"/>
        <w:iCs w:val="0"/>
        <w:caps w:val="0"/>
        <w:smallCaps w:val="0"/>
        <w:strike w:val="0"/>
        <w:dstrike w:val="0"/>
        <w:outline w:val="0"/>
        <w:shadow w:val="0"/>
        <w:emboss w:val="0"/>
        <w:imprint w:val="0"/>
        <w:noProof w:val="0"/>
        <w:vanish w:val="0"/>
        <w:color w:val="2B3A4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8F2595D"/>
    <w:multiLevelType w:val="hybridMultilevel"/>
    <w:tmpl w:val="AD7E384E"/>
    <w:lvl w:ilvl="0" w:tplc="59D24DEE">
      <w:start w:val="1"/>
      <w:numFmt w:val="bullet"/>
      <w:pStyle w:val="Bullet4Double"/>
      <w:lvlText w:val="–"/>
      <w:lvlJc w:val="left"/>
      <w:pPr>
        <w:ind w:left="1224" w:hanging="360"/>
      </w:pPr>
      <w:rPr>
        <w:rFonts w:hint="default"/>
        <w:b w:val="0"/>
        <w:bCs w:val="0"/>
        <w:i w:val="0"/>
        <w:iCs w:val="0"/>
        <w:caps w:val="0"/>
        <w:smallCaps w:val="0"/>
        <w:strike w:val="0"/>
        <w:dstrike w:val="0"/>
        <w:outline w:val="0"/>
        <w:shadow w:val="0"/>
        <w:emboss w:val="0"/>
        <w:imprint w:val="0"/>
        <w:noProof w:val="0"/>
        <w:vanish w:val="0"/>
        <w:color w:val="2B3A44"/>
        <w:spacing w:val="0"/>
        <w:w w:val="153"/>
        <w:kern w:val="0"/>
        <w:position w:val="0"/>
        <w:sz w:val="18"/>
        <w:szCs w:val="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A550533"/>
    <w:multiLevelType w:val="hybridMultilevel"/>
    <w:tmpl w:val="581EDE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1" w15:restartNumberingAfterBreak="0">
    <w:nsid w:val="6A701A56"/>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C9C73EB"/>
    <w:multiLevelType w:val="multilevel"/>
    <w:tmpl w:val="9F3E8A68"/>
    <w:lvl w:ilvl="0">
      <w:start w:val="1"/>
      <w:numFmt w:val="decimal"/>
      <w:pStyle w:val="FigureCaptionAuto"/>
      <w:lvlText w:val="Figure %1."/>
      <w:lvlJc w:val="left"/>
      <w:pPr>
        <w:tabs>
          <w:tab w:val="num" w:pos="1980"/>
        </w:tabs>
        <w:ind w:left="13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717C7D74"/>
    <w:multiLevelType w:val="hybridMultilevel"/>
    <w:tmpl w:val="14FA329A"/>
    <w:lvl w:ilvl="0" w:tplc="85D01422">
      <w:start w:val="1"/>
      <w:numFmt w:val="bullet"/>
      <w:pStyle w:val="Bullet1Single"/>
      <w:lvlText w:val=""/>
      <w:lvlJc w:val="left"/>
      <w:pPr>
        <w:ind w:left="720" w:hanging="360"/>
      </w:pPr>
      <w:rPr>
        <w:rFonts w:ascii="Symbol" w:hAnsi="Symbol" w:hint="default"/>
        <w:b w:val="0"/>
        <w:i w:val="0"/>
        <w:color w:val="2B3A4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5E2BE0"/>
    <w:multiLevelType w:val="hybridMultilevel"/>
    <w:tmpl w:val="A83C91AE"/>
    <w:lvl w:ilvl="0" w:tplc="43D846DE">
      <w:start w:val="1"/>
      <w:numFmt w:val="bullet"/>
      <w:pStyle w:val="TableText10Bullet2Single"/>
      <w:lvlText w:val="–"/>
      <w:lvlJc w:val="left"/>
      <w:pPr>
        <w:tabs>
          <w:tab w:val="num" w:pos="1440"/>
        </w:tabs>
        <w:ind w:left="1440" w:hanging="360"/>
      </w:pPr>
      <w:rPr>
        <w:rFonts w:ascii="Arial" w:hAnsi="Arial" w:hint="default"/>
        <w:b w:val="0"/>
        <w:i w:val="0"/>
        <w:color w:val="2B3A44"/>
        <w:sz w:val="18"/>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4D844BA"/>
    <w:multiLevelType w:val="multilevel"/>
    <w:tmpl w:val="4CC481F0"/>
    <w:lvl w:ilvl="0">
      <w:start w:val="1"/>
      <w:numFmt w:val="decimal"/>
      <w:pStyle w:val="NumbersAutoDouble0"/>
      <w:lvlText w:val="%1."/>
      <w:lvlJc w:val="left"/>
      <w:pPr>
        <w:tabs>
          <w:tab w:val="num" w:pos="425"/>
        </w:tabs>
        <w:ind w:left="425" w:hanging="425"/>
      </w:pPr>
      <w:rPr>
        <w:rFonts w:hint="default"/>
        <w:b w:val="0"/>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56" w15:restartNumberingAfterBreak="0">
    <w:nsid w:val="75D420E1"/>
    <w:multiLevelType w:val="hybridMultilevel"/>
    <w:tmpl w:val="6A0CE5D4"/>
    <w:lvl w:ilvl="0" w:tplc="B6FED078">
      <w:start w:val="1"/>
      <w:numFmt w:val="bullet"/>
      <w:pStyle w:val="Bullet5Single"/>
      <w:lvlText w:val=""/>
      <w:lvlJc w:val="left"/>
      <w:pPr>
        <w:tabs>
          <w:tab w:val="num" w:pos="1800"/>
        </w:tabs>
        <w:ind w:left="1800" w:hanging="360"/>
      </w:pPr>
      <w:rPr>
        <w:rFonts w:ascii="Symbol" w:hAnsi="Symbol" w:hint="default"/>
        <w:b w:val="0"/>
        <w:i w:val="0"/>
        <w:color w:val="2B3A44"/>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D0447D6"/>
    <w:multiLevelType w:val="hybridMultilevel"/>
    <w:tmpl w:val="BEA8E498"/>
    <w:lvl w:ilvl="0" w:tplc="3AA06F7C">
      <w:start w:val="1"/>
      <w:numFmt w:val="bullet"/>
      <w:pStyle w:val="Bullet1Double0"/>
      <w:lvlText w:val=""/>
      <w:lvlJc w:val="left"/>
      <w:pPr>
        <w:tabs>
          <w:tab w:val="num" w:pos="0"/>
        </w:tabs>
        <w:ind w:left="0" w:firstLine="0"/>
      </w:pPr>
      <w:rPr>
        <w:rFonts w:ascii="Symbol" w:hAnsi="Symbol" w:hint="default"/>
        <w:b w:val="0"/>
        <w:i w:val="0"/>
        <w:color w:val="2B3A44"/>
        <w:sz w:val="20"/>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75455861">
    <w:abstractNumId w:val="37"/>
  </w:num>
  <w:num w:numId="2" w16cid:durableId="913901622">
    <w:abstractNumId w:val="42"/>
  </w:num>
  <w:num w:numId="3" w16cid:durableId="903611382">
    <w:abstractNumId w:val="38"/>
  </w:num>
  <w:num w:numId="4" w16cid:durableId="2102755139">
    <w:abstractNumId w:val="25"/>
  </w:num>
  <w:num w:numId="5" w16cid:durableId="1851331370">
    <w:abstractNumId w:val="55"/>
  </w:num>
  <w:num w:numId="6" w16cid:durableId="777023717">
    <w:abstractNumId w:val="32"/>
  </w:num>
  <w:num w:numId="7" w16cid:durableId="1639997623">
    <w:abstractNumId w:val="39"/>
  </w:num>
  <w:num w:numId="8" w16cid:durableId="1209877301">
    <w:abstractNumId w:val="13"/>
  </w:num>
  <w:num w:numId="9" w16cid:durableId="765228619">
    <w:abstractNumId w:val="45"/>
  </w:num>
  <w:num w:numId="10" w16cid:durableId="853685637">
    <w:abstractNumId w:val="51"/>
  </w:num>
  <w:num w:numId="11" w16cid:durableId="1763722521">
    <w:abstractNumId w:val="15"/>
  </w:num>
  <w:num w:numId="12" w16cid:durableId="1209368171">
    <w:abstractNumId w:val="11"/>
  </w:num>
  <w:num w:numId="13" w16cid:durableId="1172992096">
    <w:abstractNumId w:val="9"/>
  </w:num>
  <w:num w:numId="14" w16cid:durableId="797334244">
    <w:abstractNumId w:val="7"/>
  </w:num>
  <w:num w:numId="15" w16cid:durableId="237256670">
    <w:abstractNumId w:val="6"/>
  </w:num>
  <w:num w:numId="16" w16cid:durableId="949318827">
    <w:abstractNumId w:val="5"/>
  </w:num>
  <w:num w:numId="17" w16cid:durableId="132336407">
    <w:abstractNumId w:val="4"/>
  </w:num>
  <w:num w:numId="18" w16cid:durableId="1651713665">
    <w:abstractNumId w:val="8"/>
  </w:num>
  <w:num w:numId="19" w16cid:durableId="1591431907">
    <w:abstractNumId w:val="3"/>
  </w:num>
  <w:num w:numId="20" w16cid:durableId="1584098930">
    <w:abstractNumId w:val="2"/>
  </w:num>
  <w:num w:numId="21" w16cid:durableId="1358389122">
    <w:abstractNumId w:val="1"/>
  </w:num>
  <w:num w:numId="22" w16cid:durableId="1827625813">
    <w:abstractNumId w:val="0"/>
  </w:num>
  <w:num w:numId="23" w16cid:durableId="1336372811">
    <w:abstractNumId w:val="17"/>
  </w:num>
  <w:num w:numId="24" w16cid:durableId="1668509596">
    <w:abstractNumId w:val="22"/>
  </w:num>
  <w:num w:numId="25" w16cid:durableId="121190868">
    <w:abstractNumId w:val="10"/>
  </w:num>
  <w:num w:numId="26" w16cid:durableId="1147472843">
    <w:abstractNumId w:val="30"/>
  </w:num>
  <w:num w:numId="27" w16cid:durableId="1733044102">
    <w:abstractNumId w:val="16"/>
  </w:num>
  <w:num w:numId="28" w16cid:durableId="398331789">
    <w:abstractNumId w:val="20"/>
  </w:num>
  <w:num w:numId="29" w16cid:durableId="1380088735">
    <w:abstractNumId w:val="52"/>
  </w:num>
  <w:num w:numId="30" w16cid:durableId="747310056">
    <w:abstractNumId w:val="35"/>
  </w:num>
  <w:num w:numId="31" w16cid:durableId="1328704237">
    <w:abstractNumId w:val="44"/>
  </w:num>
  <w:num w:numId="32" w16cid:durableId="1986009353">
    <w:abstractNumId w:val="24"/>
  </w:num>
  <w:num w:numId="33" w16cid:durableId="1343122825">
    <w:abstractNumId w:val="28"/>
  </w:num>
  <w:num w:numId="34" w16cid:durableId="42947533">
    <w:abstractNumId w:val="19"/>
  </w:num>
  <w:num w:numId="35" w16cid:durableId="2060981520">
    <w:abstractNumId w:val="31"/>
  </w:num>
  <w:num w:numId="36" w16cid:durableId="617763378">
    <w:abstractNumId w:val="23"/>
  </w:num>
  <w:num w:numId="37" w16cid:durableId="111750726">
    <w:abstractNumId w:val="21"/>
  </w:num>
  <w:num w:numId="38" w16cid:durableId="1550917621">
    <w:abstractNumId w:val="29"/>
  </w:num>
  <w:num w:numId="39" w16cid:durableId="1345746805">
    <w:abstractNumId w:val="48"/>
  </w:num>
  <w:num w:numId="40" w16cid:durableId="914246569">
    <w:abstractNumId w:val="27"/>
  </w:num>
  <w:num w:numId="41" w16cid:durableId="751318042">
    <w:abstractNumId w:val="34"/>
  </w:num>
  <w:num w:numId="42" w16cid:durableId="490098440">
    <w:abstractNumId w:val="54"/>
  </w:num>
  <w:num w:numId="43" w16cid:durableId="627588797">
    <w:abstractNumId w:val="49"/>
  </w:num>
  <w:num w:numId="44" w16cid:durableId="993947003">
    <w:abstractNumId w:val="41"/>
  </w:num>
  <w:num w:numId="45" w16cid:durableId="1816754340">
    <w:abstractNumId w:val="36"/>
  </w:num>
  <w:num w:numId="46" w16cid:durableId="306323878">
    <w:abstractNumId w:val="53"/>
  </w:num>
  <w:num w:numId="47" w16cid:durableId="351079005">
    <w:abstractNumId w:val="40"/>
  </w:num>
  <w:num w:numId="48" w16cid:durableId="1988776240">
    <w:abstractNumId w:val="47"/>
  </w:num>
  <w:num w:numId="49" w16cid:durableId="1200168754">
    <w:abstractNumId w:val="57"/>
  </w:num>
  <w:num w:numId="50" w16cid:durableId="1100026270">
    <w:abstractNumId w:val="46"/>
  </w:num>
  <w:num w:numId="51" w16cid:durableId="1890022444">
    <w:abstractNumId w:val="33"/>
  </w:num>
  <w:num w:numId="52" w16cid:durableId="1976062483">
    <w:abstractNumId w:val="18"/>
  </w:num>
  <w:num w:numId="53" w16cid:durableId="1684479220">
    <w:abstractNumId w:val="50"/>
  </w:num>
  <w:num w:numId="54" w16cid:durableId="856239764">
    <w:abstractNumId w:val="29"/>
  </w:num>
  <w:num w:numId="55" w16cid:durableId="1517961241">
    <w:abstractNumId w:val="14"/>
  </w:num>
  <w:num w:numId="56" w16cid:durableId="1038554234">
    <w:abstractNumId w:val="56"/>
  </w:num>
  <w:num w:numId="57" w16cid:durableId="838351139">
    <w:abstractNumId w:val="26"/>
  </w:num>
  <w:num w:numId="58" w16cid:durableId="800001498">
    <w:abstractNumId w:val="43"/>
  </w:num>
  <w:num w:numId="59" w16cid:durableId="925068701">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yNDC3sDA2MzW1MDdT0lEKTi0uzszPAykwrAUAMVeEySwAAAA="/>
  </w:docVars>
  <w:rsids>
    <w:rsidRoot w:val="005B3E16"/>
    <w:rsid w:val="00003A5A"/>
    <w:rsid w:val="00004A41"/>
    <w:rsid w:val="000101C9"/>
    <w:rsid w:val="00013682"/>
    <w:rsid w:val="000232CD"/>
    <w:rsid w:val="00023E9F"/>
    <w:rsid w:val="00025B32"/>
    <w:rsid w:val="0002730C"/>
    <w:rsid w:val="0002756C"/>
    <w:rsid w:val="00027EDA"/>
    <w:rsid w:val="00027FE9"/>
    <w:rsid w:val="00032224"/>
    <w:rsid w:val="00036810"/>
    <w:rsid w:val="000404B7"/>
    <w:rsid w:val="00043571"/>
    <w:rsid w:val="00052C75"/>
    <w:rsid w:val="000538EB"/>
    <w:rsid w:val="00053EAC"/>
    <w:rsid w:val="00055164"/>
    <w:rsid w:val="00057B92"/>
    <w:rsid w:val="000601D7"/>
    <w:rsid w:val="000636C8"/>
    <w:rsid w:val="000649E4"/>
    <w:rsid w:val="00065932"/>
    <w:rsid w:val="00071466"/>
    <w:rsid w:val="000714AE"/>
    <w:rsid w:val="0007543B"/>
    <w:rsid w:val="0007710B"/>
    <w:rsid w:val="00084FBD"/>
    <w:rsid w:val="0008533B"/>
    <w:rsid w:val="00085F1C"/>
    <w:rsid w:val="000A0A8F"/>
    <w:rsid w:val="000A0ACE"/>
    <w:rsid w:val="000A4D3A"/>
    <w:rsid w:val="000A570F"/>
    <w:rsid w:val="000A7CBF"/>
    <w:rsid w:val="000B2479"/>
    <w:rsid w:val="000B3160"/>
    <w:rsid w:val="000B377D"/>
    <w:rsid w:val="000C0E41"/>
    <w:rsid w:val="000C0EEA"/>
    <w:rsid w:val="000C1B69"/>
    <w:rsid w:val="000D096D"/>
    <w:rsid w:val="000D6D29"/>
    <w:rsid w:val="000E59B7"/>
    <w:rsid w:val="000E73E0"/>
    <w:rsid w:val="000F3784"/>
    <w:rsid w:val="000F4D45"/>
    <w:rsid w:val="000F7059"/>
    <w:rsid w:val="000F7D6A"/>
    <w:rsid w:val="00103F31"/>
    <w:rsid w:val="00105FFF"/>
    <w:rsid w:val="001100DE"/>
    <w:rsid w:val="00117480"/>
    <w:rsid w:val="0012086E"/>
    <w:rsid w:val="0012394C"/>
    <w:rsid w:val="00124E4D"/>
    <w:rsid w:val="001331BE"/>
    <w:rsid w:val="001372DF"/>
    <w:rsid w:val="001378E4"/>
    <w:rsid w:val="00143893"/>
    <w:rsid w:val="001470FA"/>
    <w:rsid w:val="00162282"/>
    <w:rsid w:val="0016335C"/>
    <w:rsid w:val="00164EDA"/>
    <w:rsid w:val="00165BF6"/>
    <w:rsid w:val="001661E8"/>
    <w:rsid w:val="00166D4A"/>
    <w:rsid w:val="001677BC"/>
    <w:rsid w:val="00176B50"/>
    <w:rsid w:val="0018363B"/>
    <w:rsid w:val="0019314B"/>
    <w:rsid w:val="001951B6"/>
    <w:rsid w:val="00196742"/>
    <w:rsid w:val="001A26E5"/>
    <w:rsid w:val="001A5E76"/>
    <w:rsid w:val="001B1A68"/>
    <w:rsid w:val="001B27B6"/>
    <w:rsid w:val="001B419E"/>
    <w:rsid w:val="001B6596"/>
    <w:rsid w:val="001C0EA1"/>
    <w:rsid w:val="001C231B"/>
    <w:rsid w:val="001C561D"/>
    <w:rsid w:val="001C672D"/>
    <w:rsid w:val="001C6A88"/>
    <w:rsid w:val="001D2E78"/>
    <w:rsid w:val="001D38FD"/>
    <w:rsid w:val="001D3C19"/>
    <w:rsid w:val="001D7D5B"/>
    <w:rsid w:val="001E3129"/>
    <w:rsid w:val="001E45B8"/>
    <w:rsid w:val="001F0F27"/>
    <w:rsid w:val="001F120C"/>
    <w:rsid w:val="001F12B9"/>
    <w:rsid w:val="001F3867"/>
    <w:rsid w:val="00204FFE"/>
    <w:rsid w:val="00215584"/>
    <w:rsid w:val="00215F27"/>
    <w:rsid w:val="00220E0B"/>
    <w:rsid w:val="00220F96"/>
    <w:rsid w:val="00224688"/>
    <w:rsid w:val="00233A9F"/>
    <w:rsid w:val="002351C5"/>
    <w:rsid w:val="00242AA3"/>
    <w:rsid w:val="002454E7"/>
    <w:rsid w:val="00247BD2"/>
    <w:rsid w:val="00247FCB"/>
    <w:rsid w:val="00251F6C"/>
    <w:rsid w:val="00261891"/>
    <w:rsid w:val="00267B2A"/>
    <w:rsid w:val="00270B42"/>
    <w:rsid w:val="0027284F"/>
    <w:rsid w:val="00272C71"/>
    <w:rsid w:val="002738DD"/>
    <w:rsid w:val="00276BF6"/>
    <w:rsid w:val="00276C2E"/>
    <w:rsid w:val="00292F18"/>
    <w:rsid w:val="002A161C"/>
    <w:rsid w:val="002A3A0D"/>
    <w:rsid w:val="002C097C"/>
    <w:rsid w:val="002C4513"/>
    <w:rsid w:val="002D31C1"/>
    <w:rsid w:val="002D4DEC"/>
    <w:rsid w:val="002E1537"/>
    <w:rsid w:val="002E195A"/>
    <w:rsid w:val="002E76E4"/>
    <w:rsid w:val="002F6DAF"/>
    <w:rsid w:val="002F6F95"/>
    <w:rsid w:val="00304BFA"/>
    <w:rsid w:val="003053DC"/>
    <w:rsid w:val="00313CAA"/>
    <w:rsid w:val="00315F04"/>
    <w:rsid w:val="00317073"/>
    <w:rsid w:val="00317805"/>
    <w:rsid w:val="00317950"/>
    <w:rsid w:val="00320974"/>
    <w:rsid w:val="0032168D"/>
    <w:rsid w:val="00325E14"/>
    <w:rsid w:val="00326E24"/>
    <w:rsid w:val="00344574"/>
    <w:rsid w:val="003530FB"/>
    <w:rsid w:val="00354828"/>
    <w:rsid w:val="00355B02"/>
    <w:rsid w:val="00362180"/>
    <w:rsid w:val="003648F9"/>
    <w:rsid w:val="003648FE"/>
    <w:rsid w:val="00365AC8"/>
    <w:rsid w:val="00371C60"/>
    <w:rsid w:val="00372211"/>
    <w:rsid w:val="00373D3A"/>
    <w:rsid w:val="003772F3"/>
    <w:rsid w:val="00381D09"/>
    <w:rsid w:val="00381F01"/>
    <w:rsid w:val="00383FF9"/>
    <w:rsid w:val="00385D56"/>
    <w:rsid w:val="003B28B4"/>
    <w:rsid w:val="003B2B15"/>
    <w:rsid w:val="003C2C14"/>
    <w:rsid w:val="003C4E04"/>
    <w:rsid w:val="003D31F6"/>
    <w:rsid w:val="003D480E"/>
    <w:rsid w:val="003E47BE"/>
    <w:rsid w:val="003E5327"/>
    <w:rsid w:val="003F407C"/>
    <w:rsid w:val="003F464A"/>
    <w:rsid w:val="00405B9D"/>
    <w:rsid w:val="00413231"/>
    <w:rsid w:val="00416557"/>
    <w:rsid w:val="00420CB5"/>
    <w:rsid w:val="0042386E"/>
    <w:rsid w:val="00425596"/>
    <w:rsid w:val="004338CB"/>
    <w:rsid w:val="00433EE5"/>
    <w:rsid w:val="0044221F"/>
    <w:rsid w:val="00442497"/>
    <w:rsid w:val="00446824"/>
    <w:rsid w:val="004471B1"/>
    <w:rsid w:val="004502A2"/>
    <w:rsid w:val="00456096"/>
    <w:rsid w:val="00460275"/>
    <w:rsid w:val="0046031A"/>
    <w:rsid w:val="00465410"/>
    <w:rsid w:val="0047066C"/>
    <w:rsid w:val="004778EB"/>
    <w:rsid w:val="00485300"/>
    <w:rsid w:val="00491948"/>
    <w:rsid w:val="004978CA"/>
    <w:rsid w:val="004A2F7E"/>
    <w:rsid w:val="004A6843"/>
    <w:rsid w:val="004C2755"/>
    <w:rsid w:val="004D02B9"/>
    <w:rsid w:val="004D269A"/>
    <w:rsid w:val="004D26A0"/>
    <w:rsid w:val="004D61C4"/>
    <w:rsid w:val="004D77EC"/>
    <w:rsid w:val="004F0810"/>
    <w:rsid w:val="004F163A"/>
    <w:rsid w:val="004F4A43"/>
    <w:rsid w:val="00503046"/>
    <w:rsid w:val="00503508"/>
    <w:rsid w:val="00503CDA"/>
    <w:rsid w:val="00507118"/>
    <w:rsid w:val="00512AD6"/>
    <w:rsid w:val="0051503B"/>
    <w:rsid w:val="00524F99"/>
    <w:rsid w:val="00525826"/>
    <w:rsid w:val="00527C2B"/>
    <w:rsid w:val="00530617"/>
    <w:rsid w:val="0053277F"/>
    <w:rsid w:val="005360AB"/>
    <w:rsid w:val="00543B7D"/>
    <w:rsid w:val="00550E84"/>
    <w:rsid w:val="00551E52"/>
    <w:rsid w:val="005549DA"/>
    <w:rsid w:val="00560DAC"/>
    <w:rsid w:val="00564DC0"/>
    <w:rsid w:val="005653AD"/>
    <w:rsid w:val="0057422F"/>
    <w:rsid w:val="0057508E"/>
    <w:rsid w:val="00581BFD"/>
    <w:rsid w:val="005864FB"/>
    <w:rsid w:val="00586520"/>
    <w:rsid w:val="005915EB"/>
    <w:rsid w:val="00592D84"/>
    <w:rsid w:val="00596AE3"/>
    <w:rsid w:val="005A0066"/>
    <w:rsid w:val="005A2329"/>
    <w:rsid w:val="005A3DEC"/>
    <w:rsid w:val="005A7472"/>
    <w:rsid w:val="005B1E07"/>
    <w:rsid w:val="005B3B80"/>
    <w:rsid w:val="005B3E16"/>
    <w:rsid w:val="005B570C"/>
    <w:rsid w:val="005B686E"/>
    <w:rsid w:val="005C539C"/>
    <w:rsid w:val="005C689D"/>
    <w:rsid w:val="005D4DCD"/>
    <w:rsid w:val="005D6825"/>
    <w:rsid w:val="005D6F52"/>
    <w:rsid w:val="005E0D9C"/>
    <w:rsid w:val="005E2235"/>
    <w:rsid w:val="005F219A"/>
    <w:rsid w:val="005F2D28"/>
    <w:rsid w:val="005F7078"/>
    <w:rsid w:val="00601C92"/>
    <w:rsid w:val="0060241E"/>
    <w:rsid w:val="00602669"/>
    <w:rsid w:val="006047C5"/>
    <w:rsid w:val="0061097B"/>
    <w:rsid w:val="0061135B"/>
    <w:rsid w:val="00612996"/>
    <w:rsid w:val="00615973"/>
    <w:rsid w:val="00616E50"/>
    <w:rsid w:val="00620674"/>
    <w:rsid w:val="00624784"/>
    <w:rsid w:val="00624837"/>
    <w:rsid w:val="00627A99"/>
    <w:rsid w:val="0064196F"/>
    <w:rsid w:val="00644CA0"/>
    <w:rsid w:val="00646B5C"/>
    <w:rsid w:val="006479B8"/>
    <w:rsid w:val="00662643"/>
    <w:rsid w:val="006663E6"/>
    <w:rsid w:val="00666A66"/>
    <w:rsid w:val="00670225"/>
    <w:rsid w:val="00681336"/>
    <w:rsid w:val="006850F7"/>
    <w:rsid w:val="0068769C"/>
    <w:rsid w:val="00693072"/>
    <w:rsid w:val="006A4442"/>
    <w:rsid w:val="006B3956"/>
    <w:rsid w:val="006B52DD"/>
    <w:rsid w:val="006B6693"/>
    <w:rsid w:val="006C2CE0"/>
    <w:rsid w:val="006C3DAA"/>
    <w:rsid w:val="006C48E5"/>
    <w:rsid w:val="006C6E2A"/>
    <w:rsid w:val="006C70AD"/>
    <w:rsid w:val="006D0D7B"/>
    <w:rsid w:val="006D360F"/>
    <w:rsid w:val="006D362C"/>
    <w:rsid w:val="006D37E1"/>
    <w:rsid w:val="006D7546"/>
    <w:rsid w:val="006E119C"/>
    <w:rsid w:val="006E58D9"/>
    <w:rsid w:val="006F5224"/>
    <w:rsid w:val="00703765"/>
    <w:rsid w:val="00703E4C"/>
    <w:rsid w:val="00710F3E"/>
    <w:rsid w:val="00715ABE"/>
    <w:rsid w:val="00727023"/>
    <w:rsid w:val="00732DBA"/>
    <w:rsid w:val="00737691"/>
    <w:rsid w:val="00742C06"/>
    <w:rsid w:val="00743DF4"/>
    <w:rsid w:val="00744F9F"/>
    <w:rsid w:val="00746F5C"/>
    <w:rsid w:val="00747B9A"/>
    <w:rsid w:val="00760577"/>
    <w:rsid w:val="00764327"/>
    <w:rsid w:val="00767AD8"/>
    <w:rsid w:val="00767F69"/>
    <w:rsid w:val="00770C98"/>
    <w:rsid w:val="00776353"/>
    <w:rsid w:val="00784694"/>
    <w:rsid w:val="00785BBE"/>
    <w:rsid w:val="00796BDC"/>
    <w:rsid w:val="007A18FF"/>
    <w:rsid w:val="007A263E"/>
    <w:rsid w:val="007A4260"/>
    <w:rsid w:val="007A6D49"/>
    <w:rsid w:val="007B032C"/>
    <w:rsid w:val="007B062E"/>
    <w:rsid w:val="007B378F"/>
    <w:rsid w:val="007B3C12"/>
    <w:rsid w:val="007B642E"/>
    <w:rsid w:val="007C20A3"/>
    <w:rsid w:val="007C2527"/>
    <w:rsid w:val="007C38DC"/>
    <w:rsid w:val="007C3A36"/>
    <w:rsid w:val="007C3ED4"/>
    <w:rsid w:val="007C5D1D"/>
    <w:rsid w:val="007C644D"/>
    <w:rsid w:val="007C7C66"/>
    <w:rsid w:val="007D417B"/>
    <w:rsid w:val="007D4202"/>
    <w:rsid w:val="007E57AE"/>
    <w:rsid w:val="007E7C91"/>
    <w:rsid w:val="007F0B91"/>
    <w:rsid w:val="007F10EE"/>
    <w:rsid w:val="007F1275"/>
    <w:rsid w:val="007F298F"/>
    <w:rsid w:val="007F362A"/>
    <w:rsid w:val="007F768B"/>
    <w:rsid w:val="008010ED"/>
    <w:rsid w:val="00801B8B"/>
    <w:rsid w:val="00805103"/>
    <w:rsid w:val="00816121"/>
    <w:rsid w:val="00817A58"/>
    <w:rsid w:val="00824505"/>
    <w:rsid w:val="0082574E"/>
    <w:rsid w:val="00826BD1"/>
    <w:rsid w:val="00832000"/>
    <w:rsid w:val="00836EA8"/>
    <w:rsid w:val="00836FCF"/>
    <w:rsid w:val="00841248"/>
    <w:rsid w:val="008446E6"/>
    <w:rsid w:val="00845C98"/>
    <w:rsid w:val="0084722A"/>
    <w:rsid w:val="00851FCB"/>
    <w:rsid w:val="008533AA"/>
    <w:rsid w:val="008555DC"/>
    <w:rsid w:val="008573FC"/>
    <w:rsid w:val="008575E9"/>
    <w:rsid w:val="00860214"/>
    <w:rsid w:val="00862C59"/>
    <w:rsid w:val="00864944"/>
    <w:rsid w:val="008666D6"/>
    <w:rsid w:val="00867FCE"/>
    <w:rsid w:val="00875195"/>
    <w:rsid w:val="00875CEC"/>
    <w:rsid w:val="00876086"/>
    <w:rsid w:val="0087731B"/>
    <w:rsid w:val="00877504"/>
    <w:rsid w:val="00881AFC"/>
    <w:rsid w:val="0088451B"/>
    <w:rsid w:val="008910D9"/>
    <w:rsid w:val="008A24E8"/>
    <w:rsid w:val="008A445C"/>
    <w:rsid w:val="008B515C"/>
    <w:rsid w:val="008B7C7F"/>
    <w:rsid w:val="008C039E"/>
    <w:rsid w:val="008C239B"/>
    <w:rsid w:val="008C7C61"/>
    <w:rsid w:val="008D7CD5"/>
    <w:rsid w:val="008F0D5C"/>
    <w:rsid w:val="00903332"/>
    <w:rsid w:val="00915573"/>
    <w:rsid w:val="009162EF"/>
    <w:rsid w:val="0091753F"/>
    <w:rsid w:val="009220AE"/>
    <w:rsid w:val="009250EA"/>
    <w:rsid w:val="00931285"/>
    <w:rsid w:val="009314D0"/>
    <w:rsid w:val="00940456"/>
    <w:rsid w:val="00940871"/>
    <w:rsid w:val="0094411B"/>
    <w:rsid w:val="009450CF"/>
    <w:rsid w:val="009506A2"/>
    <w:rsid w:val="00950BF7"/>
    <w:rsid w:val="00952993"/>
    <w:rsid w:val="00952C90"/>
    <w:rsid w:val="0095487F"/>
    <w:rsid w:val="00955FA9"/>
    <w:rsid w:val="0096025E"/>
    <w:rsid w:val="00961158"/>
    <w:rsid w:val="009676E3"/>
    <w:rsid w:val="00967A96"/>
    <w:rsid w:val="00972A3C"/>
    <w:rsid w:val="0097367D"/>
    <w:rsid w:val="00976945"/>
    <w:rsid w:val="0097717B"/>
    <w:rsid w:val="0098049B"/>
    <w:rsid w:val="00981BBC"/>
    <w:rsid w:val="00984AE2"/>
    <w:rsid w:val="00990AF7"/>
    <w:rsid w:val="00991EC2"/>
    <w:rsid w:val="00995440"/>
    <w:rsid w:val="00996429"/>
    <w:rsid w:val="00997173"/>
    <w:rsid w:val="00997863"/>
    <w:rsid w:val="009A25A7"/>
    <w:rsid w:val="009A3D4A"/>
    <w:rsid w:val="009B06F4"/>
    <w:rsid w:val="009B0C93"/>
    <w:rsid w:val="009B374A"/>
    <w:rsid w:val="009B461F"/>
    <w:rsid w:val="009B6B14"/>
    <w:rsid w:val="009C0DB8"/>
    <w:rsid w:val="009C42BF"/>
    <w:rsid w:val="009C4AB4"/>
    <w:rsid w:val="009D065F"/>
    <w:rsid w:val="009D68CA"/>
    <w:rsid w:val="009E585E"/>
    <w:rsid w:val="009E72E9"/>
    <w:rsid w:val="009F5DAA"/>
    <w:rsid w:val="009F6246"/>
    <w:rsid w:val="00A02E78"/>
    <w:rsid w:val="00A1240C"/>
    <w:rsid w:val="00A21059"/>
    <w:rsid w:val="00A271D4"/>
    <w:rsid w:val="00A31489"/>
    <w:rsid w:val="00A43F13"/>
    <w:rsid w:val="00A44A2B"/>
    <w:rsid w:val="00A47422"/>
    <w:rsid w:val="00A5138F"/>
    <w:rsid w:val="00A53991"/>
    <w:rsid w:val="00A6654B"/>
    <w:rsid w:val="00A7239F"/>
    <w:rsid w:val="00A76529"/>
    <w:rsid w:val="00A7735D"/>
    <w:rsid w:val="00A77EAC"/>
    <w:rsid w:val="00A8113A"/>
    <w:rsid w:val="00A856A9"/>
    <w:rsid w:val="00A87BE0"/>
    <w:rsid w:val="00A903F2"/>
    <w:rsid w:val="00A977C2"/>
    <w:rsid w:val="00AA55A9"/>
    <w:rsid w:val="00AB1579"/>
    <w:rsid w:val="00AB2D17"/>
    <w:rsid w:val="00AB4D0D"/>
    <w:rsid w:val="00AB551C"/>
    <w:rsid w:val="00AC3D59"/>
    <w:rsid w:val="00AC4A4C"/>
    <w:rsid w:val="00AC50F3"/>
    <w:rsid w:val="00AD31B0"/>
    <w:rsid w:val="00AD3DD8"/>
    <w:rsid w:val="00AD48CE"/>
    <w:rsid w:val="00AD7CAE"/>
    <w:rsid w:val="00AE0DC6"/>
    <w:rsid w:val="00AE7D4F"/>
    <w:rsid w:val="00B01B94"/>
    <w:rsid w:val="00B100D6"/>
    <w:rsid w:val="00B11BC0"/>
    <w:rsid w:val="00B15DB9"/>
    <w:rsid w:val="00B169FA"/>
    <w:rsid w:val="00B3426E"/>
    <w:rsid w:val="00B4147E"/>
    <w:rsid w:val="00B429A9"/>
    <w:rsid w:val="00B4626E"/>
    <w:rsid w:val="00B5106E"/>
    <w:rsid w:val="00B52240"/>
    <w:rsid w:val="00B52F9D"/>
    <w:rsid w:val="00B54AC5"/>
    <w:rsid w:val="00B5577E"/>
    <w:rsid w:val="00B57004"/>
    <w:rsid w:val="00B608C3"/>
    <w:rsid w:val="00B617CC"/>
    <w:rsid w:val="00B72E21"/>
    <w:rsid w:val="00B73496"/>
    <w:rsid w:val="00B7477D"/>
    <w:rsid w:val="00B81E1E"/>
    <w:rsid w:val="00B87D7B"/>
    <w:rsid w:val="00B94FA7"/>
    <w:rsid w:val="00BA2F2B"/>
    <w:rsid w:val="00BA59B0"/>
    <w:rsid w:val="00BB3EB9"/>
    <w:rsid w:val="00BB4A31"/>
    <w:rsid w:val="00BC7BA2"/>
    <w:rsid w:val="00BD3E0F"/>
    <w:rsid w:val="00BE358D"/>
    <w:rsid w:val="00BE3C53"/>
    <w:rsid w:val="00BE55E6"/>
    <w:rsid w:val="00BE6288"/>
    <w:rsid w:val="00BE6843"/>
    <w:rsid w:val="00C01F7E"/>
    <w:rsid w:val="00C12CBD"/>
    <w:rsid w:val="00C1717F"/>
    <w:rsid w:val="00C20883"/>
    <w:rsid w:val="00C22807"/>
    <w:rsid w:val="00C23DA6"/>
    <w:rsid w:val="00C263F0"/>
    <w:rsid w:val="00C3041E"/>
    <w:rsid w:val="00C32656"/>
    <w:rsid w:val="00C412D7"/>
    <w:rsid w:val="00C42822"/>
    <w:rsid w:val="00C4651F"/>
    <w:rsid w:val="00C50014"/>
    <w:rsid w:val="00C506FB"/>
    <w:rsid w:val="00C566BC"/>
    <w:rsid w:val="00C634E8"/>
    <w:rsid w:val="00C63F9F"/>
    <w:rsid w:val="00C6739B"/>
    <w:rsid w:val="00C71176"/>
    <w:rsid w:val="00C74981"/>
    <w:rsid w:val="00C763E3"/>
    <w:rsid w:val="00C80414"/>
    <w:rsid w:val="00C829F1"/>
    <w:rsid w:val="00C870CC"/>
    <w:rsid w:val="00C9029A"/>
    <w:rsid w:val="00C90677"/>
    <w:rsid w:val="00C92D09"/>
    <w:rsid w:val="00C9385A"/>
    <w:rsid w:val="00C93DF3"/>
    <w:rsid w:val="00C94942"/>
    <w:rsid w:val="00C968B0"/>
    <w:rsid w:val="00C97A7F"/>
    <w:rsid w:val="00CA629D"/>
    <w:rsid w:val="00CB19E7"/>
    <w:rsid w:val="00CB5273"/>
    <w:rsid w:val="00CB7076"/>
    <w:rsid w:val="00CC0342"/>
    <w:rsid w:val="00CC041A"/>
    <w:rsid w:val="00CC4628"/>
    <w:rsid w:val="00CD07F0"/>
    <w:rsid w:val="00CD3304"/>
    <w:rsid w:val="00CD60CF"/>
    <w:rsid w:val="00CD6313"/>
    <w:rsid w:val="00CE0A9D"/>
    <w:rsid w:val="00CE20EE"/>
    <w:rsid w:val="00CE58D7"/>
    <w:rsid w:val="00CF44E3"/>
    <w:rsid w:val="00D047C7"/>
    <w:rsid w:val="00D04B61"/>
    <w:rsid w:val="00D1046F"/>
    <w:rsid w:val="00D216F1"/>
    <w:rsid w:val="00D25CA1"/>
    <w:rsid w:val="00D2633E"/>
    <w:rsid w:val="00D2767E"/>
    <w:rsid w:val="00D30CA3"/>
    <w:rsid w:val="00D346B9"/>
    <w:rsid w:val="00D42872"/>
    <w:rsid w:val="00D440F5"/>
    <w:rsid w:val="00D44C5E"/>
    <w:rsid w:val="00D47258"/>
    <w:rsid w:val="00D510AD"/>
    <w:rsid w:val="00D5135D"/>
    <w:rsid w:val="00D542BC"/>
    <w:rsid w:val="00D55AE6"/>
    <w:rsid w:val="00D57D73"/>
    <w:rsid w:val="00D637F5"/>
    <w:rsid w:val="00D744DF"/>
    <w:rsid w:val="00D86802"/>
    <w:rsid w:val="00D87653"/>
    <w:rsid w:val="00D90194"/>
    <w:rsid w:val="00D920DF"/>
    <w:rsid w:val="00D93E57"/>
    <w:rsid w:val="00DA1DB9"/>
    <w:rsid w:val="00DB1144"/>
    <w:rsid w:val="00DB1B81"/>
    <w:rsid w:val="00DB1CB8"/>
    <w:rsid w:val="00DB37B1"/>
    <w:rsid w:val="00DB608D"/>
    <w:rsid w:val="00DB717C"/>
    <w:rsid w:val="00DB7A2E"/>
    <w:rsid w:val="00DC130D"/>
    <w:rsid w:val="00DD043E"/>
    <w:rsid w:val="00DE2C15"/>
    <w:rsid w:val="00DE36CD"/>
    <w:rsid w:val="00DF406E"/>
    <w:rsid w:val="00DF704C"/>
    <w:rsid w:val="00E11875"/>
    <w:rsid w:val="00E12E96"/>
    <w:rsid w:val="00E225A1"/>
    <w:rsid w:val="00E243E8"/>
    <w:rsid w:val="00E25CCD"/>
    <w:rsid w:val="00E26DEC"/>
    <w:rsid w:val="00E3393B"/>
    <w:rsid w:val="00E40BC8"/>
    <w:rsid w:val="00E42289"/>
    <w:rsid w:val="00E42F2F"/>
    <w:rsid w:val="00E44CA1"/>
    <w:rsid w:val="00E45367"/>
    <w:rsid w:val="00E546A6"/>
    <w:rsid w:val="00E6080B"/>
    <w:rsid w:val="00E64CAD"/>
    <w:rsid w:val="00E6547C"/>
    <w:rsid w:val="00E668B0"/>
    <w:rsid w:val="00E6737C"/>
    <w:rsid w:val="00E75C49"/>
    <w:rsid w:val="00E76984"/>
    <w:rsid w:val="00E76BC7"/>
    <w:rsid w:val="00E809FF"/>
    <w:rsid w:val="00E81DB2"/>
    <w:rsid w:val="00E824AA"/>
    <w:rsid w:val="00E849EA"/>
    <w:rsid w:val="00E84B36"/>
    <w:rsid w:val="00E866C2"/>
    <w:rsid w:val="00E8743A"/>
    <w:rsid w:val="00E90505"/>
    <w:rsid w:val="00E905E3"/>
    <w:rsid w:val="00E90E86"/>
    <w:rsid w:val="00E91C6A"/>
    <w:rsid w:val="00E967EF"/>
    <w:rsid w:val="00E978E4"/>
    <w:rsid w:val="00EA0AB6"/>
    <w:rsid w:val="00EA30D7"/>
    <w:rsid w:val="00EA5EDA"/>
    <w:rsid w:val="00EA6AD2"/>
    <w:rsid w:val="00EB4BA7"/>
    <w:rsid w:val="00EB6AA9"/>
    <w:rsid w:val="00EC15C9"/>
    <w:rsid w:val="00EC19DA"/>
    <w:rsid w:val="00EC308D"/>
    <w:rsid w:val="00EC3DB1"/>
    <w:rsid w:val="00ED4813"/>
    <w:rsid w:val="00ED579C"/>
    <w:rsid w:val="00ED5C51"/>
    <w:rsid w:val="00ED6D69"/>
    <w:rsid w:val="00EE0FFE"/>
    <w:rsid w:val="00EE3E29"/>
    <w:rsid w:val="00EE748F"/>
    <w:rsid w:val="00EF0040"/>
    <w:rsid w:val="00EF0A65"/>
    <w:rsid w:val="00EF14A8"/>
    <w:rsid w:val="00EF20DF"/>
    <w:rsid w:val="00EF20F1"/>
    <w:rsid w:val="00F0360C"/>
    <w:rsid w:val="00F06ABA"/>
    <w:rsid w:val="00F12265"/>
    <w:rsid w:val="00F14BAA"/>
    <w:rsid w:val="00F30490"/>
    <w:rsid w:val="00F34B78"/>
    <w:rsid w:val="00F56773"/>
    <w:rsid w:val="00F56EAA"/>
    <w:rsid w:val="00F61409"/>
    <w:rsid w:val="00F6212C"/>
    <w:rsid w:val="00F727B3"/>
    <w:rsid w:val="00F80A70"/>
    <w:rsid w:val="00F907E1"/>
    <w:rsid w:val="00F96539"/>
    <w:rsid w:val="00FA2FF5"/>
    <w:rsid w:val="00FA3FE1"/>
    <w:rsid w:val="00FA667E"/>
    <w:rsid w:val="00FC7999"/>
    <w:rsid w:val="00FD08A8"/>
    <w:rsid w:val="00FD67E9"/>
    <w:rsid w:val="00FE57D8"/>
    <w:rsid w:val="00FE68D1"/>
    <w:rsid w:val="00FF7FDE"/>
    <w:rsid w:val="03373F2F"/>
    <w:rsid w:val="038E7ED7"/>
    <w:rsid w:val="03BD5CAB"/>
    <w:rsid w:val="05FFF8BA"/>
    <w:rsid w:val="06AB79B5"/>
    <w:rsid w:val="0792F88C"/>
    <w:rsid w:val="09E260C2"/>
    <w:rsid w:val="0A1F1428"/>
    <w:rsid w:val="0A309542"/>
    <w:rsid w:val="0ACF2B79"/>
    <w:rsid w:val="0B2F6443"/>
    <w:rsid w:val="0B73C1EC"/>
    <w:rsid w:val="0BB13196"/>
    <w:rsid w:val="0C23BCE0"/>
    <w:rsid w:val="0EF07B5B"/>
    <w:rsid w:val="0F3BACA7"/>
    <w:rsid w:val="0FDB82AC"/>
    <w:rsid w:val="0FE459A5"/>
    <w:rsid w:val="12119528"/>
    <w:rsid w:val="124F7990"/>
    <w:rsid w:val="12913171"/>
    <w:rsid w:val="136801E3"/>
    <w:rsid w:val="1394BA6C"/>
    <w:rsid w:val="14C8BC01"/>
    <w:rsid w:val="15EBBEA6"/>
    <w:rsid w:val="16A7BB6D"/>
    <w:rsid w:val="18C31C7E"/>
    <w:rsid w:val="18FE20FD"/>
    <w:rsid w:val="1926DD38"/>
    <w:rsid w:val="19D4B881"/>
    <w:rsid w:val="19E1192D"/>
    <w:rsid w:val="1B91D33C"/>
    <w:rsid w:val="1CC80B0E"/>
    <w:rsid w:val="1D2DA39D"/>
    <w:rsid w:val="1E5E91B7"/>
    <w:rsid w:val="1EBCCD0A"/>
    <w:rsid w:val="1F76DEE0"/>
    <w:rsid w:val="1F9D71BC"/>
    <w:rsid w:val="21C90329"/>
    <w:rsid w:val="234CDDFF"/>
    <w:rsid w:val="238ABFF0"/>
    <w:rsid w:val="267C5767"/>
    <w:rsid w:val="26A493A8"/>
    <w:rsid w:val="27EC2D09"/>
    <w:rsid w:val="28999520"/>
    <w:rsid w:val="2D1BB222"/>
    <w:rsid w:val="2EEC7C3D"/>
    <w:rsid w:val="2F2EB0E9"/>
    <w:rsid w:val="30E3CD78"/>
    <w:rsid w:val="31F8C2D9"/>
    <w:rsid w:val="330D956F"/>
    <w:rsid w:val="3368BF69"/>
    <w:rsid w:val="34D00ABA"/>
    <w:rsid w:val="378CCD66"/>
    <w:rsid w:val="38159992"/>
    <w:rsid w:val="38FC37BD"/>
    <w:rsid w:val="39289DC7"/>
    <w:rsid w:val="3990FFB6"/>
    <w:rsid w:val="39E80D2A"/>
    <w:rsid w:val="3AF4F87A"/>
    <w:rsid w:val="3B88F973"/>
    <w:rsid w:val="3C35239B"/>
    <w:rsid w:val="3D1A4312"/>
    <w:rsid w:val="3DCFA8E0"/>
    <w:rsid w:val="3DD760F4"/>
    <w:rsid w:val="408A39DF"/>
    <w:rsid w:val="409CE8B5"/>
    <w:rsid w:val="410C1EB2"/>
    <w:rsid w:val="42E25E70"/>
    <w:rsid w:val="42E41F7B"/>
    <w:rsid w:val="43386FC2"/>
    <w:rsid w:val="43A6E97C"/>
    <w:rsid w:val="442188AD"/>
    <w:rsid w:val="44662896"/>
    <w:rsid w:val="44F435BD"/>
    <w:rsid w:val="454CBEB3"/>
    <w:rsid w:val="46266F4F"/>
    <w:rsid w:val="46F5B352"/>
    <w:rsid w:val="47E25702"/>
    <w:rsid w:val="4927B6CD"/>
    <w:rsid w:val="4928F65A"/>
    <w:rsid w:val="4937077B"/>
    <w:rsid w:val="4C6435B0"/>
    <w:rsid w:val="4CC2AE1C"/>
    <w:rsid w:val="4D03F693"/>
    <w:rsid w:val="4DCCA44D"/>
    <w:rsid w:val="4DF27F31"/>
    <w:rsid w:val="51F202A2"/>
    <w:rsid w:val="5217D213"/>
    <w:rsid w:val="54F24E43"/>
    <w:rsid w:val="55CF0109"/>
    <w:rsid w:val="56C2EB42"/>
    <w:rsid w:val="57E05100"/>
    <w:rsid w:val="5947591B"/>
    <w:rsid w:val="5A358396"/>
    <w:rsid w:val="5B566B9E"/>
    <w:rsid w:val="5B59C127"/>
    <w:rsid w:val="5EDCE4F9"/>
    <w:rsid w:val="608FFFBA"/>
    <w:rsid w:val="6138CFE0"/>
    <w:rsid w:val="6419F804"/>
    <w:rsid w:val="66283956"/>
    <w:rsid w:val="665694E8"/>
    <w:rsid w:val="671F0E97"/>
    <w:rsid w:val="695467FB"/>
    <w:rsid w:val="6A51839B"/>
    <w:rsid w:val="6B2025F0"/>
    <w:rsid w:val="6B5626D7"/>
    <w:rsid w:val="6C8FA8A8"/>
    <w:rsid w:val="6D1CE606"/>
    <w:rsid w:val="6F36CC3D"/>
    <w:rsid w:val="7059BE72"/>
    <w:rsid w:val="711E887E"/>
    <w:rsid w:val="716AD1DF"/>
    <w:rsid w:val="71B1F063"/>
    <w:rsid w:val="728EC25E"/>
    <w:rsid w:val="747D58D6"/>
    <w:rsid w:val="75AF9268"/>
    <w:rsid w:val="76EA4F20"/>
    <w:rsid w:val="783FD09C"/>
    <w:rsid w:val="78588349"/>
    <w:rsid w:val="78637375"/>
    <w:rsid w:val="7A566B4F"/>
    <w:rsid w:val="7BFDBF04"/>
    <w:rsid w:val="7CEE0EEF"/>
    <w:rsid w:val="7E833935"/>
    <w:rsid w:val="7EEE5408"/>
    <w:rsid w:val="7F3EE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EDF8A"/>
  <w15:chartTrackingRefBased/>
  <w15:docId w15:val="{EB014B82-95C7-4F48-AC34-1CABF595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D5C"/>
    <w:pPr>
      <w:spacing w:after="0" w:line="240" w:lineRule="auto"/>
    </w:pPr>
    <w:rPr>
      <w:rFonts w:ascii="Arial" w:eastAsia="PMingLiU" w:hAnsi="Arial" w:cs="Times New Roman"/>
      <w:color w:val="000000"/>
      <w:szCs w:val="20"/>
      <w:lang w:bidi="ar-DZ"/>
    </w:rPr>
  </w:style>
  <w:style w:type="paragraph" w:styleId="Heading1">
    <w:name w:val="heading 1"/>
    <w:next w:val="BodyText"/>
    <w:link w:val="Heading1Char"/>
    <w:qFormat/>
    <w:rsid w:val="008F0D5C"/>
    <w:pPr>
      <w:keepNext/>
      <w:pageBreakBefore/>
      <w:numPr>
        <w:numId w:val="37"/>
      </w:numPr>
      <w:pBdr>
        <w:bottom w:val="single" w:sz="8" w:space="1" w:color="00EEAE"/>
      </w:pBdr>
      <w:spacing w:after="120" w:line="240" w:lineRule="auto"/>
      <w:ind w:left="1080" w:hanging="1080"/>
      <w:outlineLvl w:val="0"/>
    </w:pPr>
    <w:rPr>
      <w:rFonts w:ascii="Arial" w:eastAsia="PMingLiU" w:hAnsi="Arial" w:cs="Arial"/>
      <w:b/>
      <w:bCs/>
      <w:color w:val="2B3A44"/>
      <w:kern w:val="32"/>
      <w:sz w:val="48"/>
      <w:szCs w:val="32"/>
      <w:lang w:bidi="ar-DZ"/>
    </w:rPr>
  </w:style>
  <w:style w:type="paragraph" w:styleId="Heading2">
    <w:name w:val="heading 2"/>
    <w:next w:val="BodyText"/>
    <w:link w:val="Heading2Char"/>
    <w:qFormat/>
    <w:rsid w:val="008F0D5C"/>
    <w:pPr>
      <w:keepNext/>
      <w:numPr>
        <w:ilvl w:val="1"/>
        <w:numId w:val="37"/>
      </w:numPr>
      <w:pBdr>
        <w:bottom w:val="single" w:sz="8" w:space="1" w:color="00EEAE"/>
      </w:pBdr>
      <w:spacing w:before="240" w:after="120" w:line="240" w:lineRule="auto"/>
      <w:ind w:left="1080" w:hanging="1080"/>
      <w:outlineLvl w:val="1"/>
    </w:pPr>
    <w:rPr>
      <w:rFonts w:ascii="Arial" w:eastAsia="PMingLiU" w:hAnsi="Arial" w:cs="Arial"/>
      <w:b/>
      <w:bCs/>
      <w:iCs/>
      <w:color w:val="2B3A44"/>
      <w:sz w:val="44"/>
      <w:szCs w:val="28"/>
      <w:lang w:bidi="ar-DZ"/>
    </w:rPr>
  </w:style>
  <w:style w:type="paragraph" w:styleId="Heading3">
    <w:name w:val="heading 3"/>
    <w:next w:val="BodyText"/>
    <w:link w:val="Heading3Char"/>
    <w:qFormat/>
    <w:rsid w:val="008F0D5C"/>
    <w:pPr>
      <w:keepNext/>
      <w:numPr>
        <w:ilvl w:val="2"/>
        <w:numId w:val="37"/>
      </w:numPr>
      <w:spacing w:before="240" w:after="120" w:line="240" w:lineRule="auto"/>
      <w:ind w:left="1440" w:hanging="1440"/>
      <w:outlineLvl w:val="2"/>
    </w:pPr>
    <w:rPr>
      <w:rFonts w:ascii="Arial" w:eastAsia="PMingLiU" w:hAnsi="Arial" w:cs="Arial"/>
      <w:b/>
      <w:bCs/>
      <w:color w:val="2B3A44"/>
      <w:sz w:val="40"/>
      <w:szCs w:val="26"/>
      <w:lang w:bidi="ar-DZ"/>
    </w:rPr>
  </w:style>
  <w:style w:type="paragraph" w:styleId="Heading4">
    <w:name w:val="heading 4"/>
    <w:next w:val="BodyText"/>
    <w:link w:val="Heading4Char"/>
    <w:qFormat/>
    <w:rsid w:val="008F0D5C"/>
    <w:pPr>
      <w:keepNext/>
      <w:keepLines/>
      <w:numPr>
        <w:ilvl w:val="3"/>
        <w:numId w:val="37"/>
      </w:numPr>
      <w:tabs>
        <w:tab w:val="left" w:pos="1440"/>
      </w:tabs>
      <w:spacing w:before="240" w:after="120" w:line="240" w:lineRule="auto"/>
      <w:ind w:left="1440" w:hanging="1440"/>
      <w:outlineLvl w:val="3"/>
    </w:pPr>
    <w:rPr>
      <w:rFonts w:ascii="Arial" w:eastAsia="PMingLiU" w:hAnsi="Arial" w:cs="Times New Roman"/>
      <w:b/>
      <w:bCs/>
      <w:color w:val="2B3A44"/>
      <w:sz w:val="36"/>
      <w:szCs w:val="28"/>
      <w:lang w:bidi="ar-DZ"/>
    </w:rPr>
  </w:style>
  <w:style w:type="paragraph" w:styleId="Heading5">
    <w:name w:val="heading 5"/>
    <w:next w:val="BodyText"/>
    <w:link w:val="Heading5Char"/>
    <w:qFormat/>
    <w:rsid w:val="008F0D5C"/>
    <w:pPr>
      <w:keepNext/>
      <w:keepLines/>
      <w:numPr>
        <w:ilvl w:val="4"/>
        <w:numId w:val="37"/>
      </w:numPr>
      <w:spacing w:before="240" w:after="120" w:line="240" w:lineRule="auto"/>
      <w:ind w:left="1728" w:hanging="1728"/>
      <w:outlineLvl w:val="4"/>
    </w:pPr>
    <w:rPr>
      <w:rFonts w:ascii="Arial" w:eastAsia="PMingLiU" w:hAnsi="Arial" w:cs="Times New Roman"/>
      <w:b/>
      <w:bCs/>
      <w:iCs/>
      <w:color w:val="2B3A44"/>
      <w:sz w:val="32"/>
      <w:szCs w:val="26"/>
      <w:lang w:bidi="ar-DZ"/>
    </w:rPr>
  </w:style>
  <w:style w:type="paragraph" w:styleId="Heading6">
    <w:name w:val="heading 6"/>
    <w:next w:val="BodyText"/>
    <w:link w:val="Heading6Char"/>
    <w:qFormat/>
    <w:rsid w:val="008F0D5C"/>
    <w:pPr>
      <w:keepNext/>
      <w:keepLines/>
      <w:numPr>
        <w:ilvl w:val="5"/>
        <w:numId w:val="37"/>
      </w:numPr>
      <w:spacing w:before="240" w:after="120" w:line="240" w:lineRule="auto"/>
      <w:ind w:left="1728" w:hanging="1728"/>
      <w:outlineLvl w:val="5"/>
    </w:pPr>
    <w:rPr>
      <w:rFonts w:ascii="Arial" w:eastAsia="PMingLiU" w:hAnsi="Arial" w:cs="Times New Roman"/>
      <w:b/>
      <w:bCs/>
      <w:color w:val="2B3A44"/>
      <w:sz w:val="28"/>
      <w:lang w:bidi="ar-DZ"/>
    </w:rPr>
  </w:style>
  <w:style w:type="paragraph" w:styleId="Heading7">
    <w:name w:val="heading 7"/>
    <w:basedOn w:val="Normal"/>
    <w:next w:val="Normal"/>
    <w:link w:val="Heading7Char"/>
    <w:semiHidden/>
    <w:qFormat/>
    <w:rsid w:val="008F0D5C"/>
    <w:pPr>
      <w:numPr>
        <w:ilvl w:val="6"/>
        <w:numId w:val="37"/>
      </w:num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F0D5C"/>
    <w:pPr>
      <w:numPr>
        <w:ilvl w:val="7"/>
        <w:numId w:val="37"/>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F0D5C"/>
    <w:pPr>
      <w:numPr>
        <w:ilvl w:val="8"/>
        <w:numId w:val="37"/>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F0D5C"/>
    <w:pPr>
      <w:ind w:left="720"/>
      <w:contextualSpacing/>
    </w:pPr>
  </w:style>
  <w:style w:type="table" w:styleId="TableGrid">
    <w:name w:val="Table Grid"/>
    <w:aliases w:val="Yellow,Equifax table,Header Table,VF_Table,Smart Text Table,Deloitte Table Grid,Table Definitions Grid,Table Definitions Grid1,Table Grid WDS,FirstDataRFP,Table IVV,Table Grid 3 column,Iowa MMIS Deliverable Table"/>
    <w:basedOn w:val="TableNormal"/>
    <w:uiPriority w:val="39"/>
    <w:rsid w:val="008F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C3041E"/>
    <w:rPr>
      <w:rFonts w:ascii="Arial" w:eastAsia="PMingLiU" w:hAnsi="Arial" w:cs="Times New Roman"/>
      <w:color w:val="000000"/>
      <w:szCs w:val="20"/>
      <w:lang w:bidi="ar-DZ"/>
    </w:rPr>
  </w:style>
  <w:style w:type="paragraph" w:styleId="Revision">
    <w:name w:val="Revision"/>
    <w:hidden/>
    <w:uiPriority w:val="99"/>
    <w:semiHidden/>
    <w:rsid w:val="00D90194"/>
    <w:pPr>
      <w:spacing w:after="0" w:line="240" w:lineRule="auto"/>
    </w:pPr>
  </w:style>
  <w:style w:type="character" w:styleId="CommentReference">
    <w:name w:val="annotation reference"/>
    <w:semiHidden/>
    <w:rsid w:val="008F0D5C"/>
    <w:rPr>
      <w:sz w:val="16"/>
      <w:szCs w:val="16"/>
      <w:lang w:val="en-US" w:bidi="ar-DZ"/>
    </w:rPr>
  </w:style>
  <w:style w:type="paragraph" w:styleId="CommentText">
    <w:name w:val="annotation text"/>
    <w:basedOn w:val="Normal"/>
    <w:link w:val="CommentTextChar"/>
    <w:rsid w:val="008F0D5C"/>
    <w:rPr>
      <w:sz w:val="20"/>
    </w:rPr>
  </w:style>
  <w:style w:type="character" w:customStyle="1" w:styleId="CommentTextChar">
    <w:name w:val="Comment Text Char"/>
    <w:basedOn w:val="DefaultParagraphFont"/>
    <w:link w:val="CommentText"/>
    <w:rsid w:val="008F0D5C"/>
    <w:rPr>
      <w:rFonts w:ascii="Arial" w:eastAsia="PMingLiU" w:hAnsi="Arial" w:cs="Times New Roman"/>
      <w:color w:val="000000"/>
      <w:sz w:val="20"/>
      <w:szCs w:val="20"/>
      <w:lang w:bidi="ar-DZ"/>
    </w:rPr>
  </w:style>
  <w:style w:type="paragraph" w:styleId="CommentSubject">
    <w:name w:val="annotation subject"/>
    <w:basedOn w:val="CommentText"/>
    <w:next w:val="CommentText"/>
    <w:link w:val="CommentSubjectChar"/>
    <w:semiHidden/>
    <w:rsid w:val="008F0D5C"/>
    <w:rPr>
      <w:b/>
      <w:bCs/>
    </w:rPr>
  </w:style>
  <w:style w:type="character" w:customStyle="1" w:styleId="CommentSubjectChar">
    <w:name w:val="Comment Subject Char"/>
    <w:basedOn w:val="CommentTextChar"/>
    <w:link w:val="CommentSubject"/>
    <w:semiHidden/>
    <w:rsid w:val="008F0D5C"/>
    <w:rPr>
      <w:rFonts w:ascii="Arial" w:eastAsia="PMingLiU" w:hAnsi="Arial" w:cs="Times New Roman"/>
      <w:b/>
      <w:bCs/>
      <w:color w:val="000000"/>
      <w:sz w:val="20"/>
      <w:szCs w:val="20"/>
      <w:lang w:bidi="ar-DZ"/>
    </w:rPr>
  </w:style>
  <w:style w:type="paragraph" w:styleId="Header">
    <w:name w:val="header"/>
    <w:basedOn w:val="Normal"/>
    <w:link w:val="HeaderChar"/>
    <w:uiPriority w:val="99"/>
    <w:rsid w:val="008F0D5C"/>
    <w:rPr>
      <w:color w:val="2B3A44"/>
      <w:sz w:val="18"/>
    </w:rPr>
  </w:style>
  <w:style w:type="character" w:customStyle="1" w:styleId="HeaderChar">
    <w:name w:val="Header Char"/>
    <w:basedOn w:val="DefaultParagraphFont"/>
    <w:link w:val="Header"/>
    <w:uiPriority w:val="99"/>
    <w:rsid w:val="008F0D5C"/>
    <w:rPr>
      <w:rFonts w:ascii="Arial" w:eastAsia="PMingLiU" w:hAnsi="Arial" w:cs="Times New Roman"/>
      <w:color w:val="2B3A44"/>
      <w:sz w:val="18"/>
      <w:szCs w:val="20"/>
      <w:lang w:bidi="ar-DZ"/>
    </w:rPr>
  </w:style>
  <w:style w:type="paragraph" w:styleId="Footer">
    <w:name w:val="footer"/>
    <w:link w:val="FooterChar"/>
    <w:uiPriority w:val="99"/>
    <w:rsid w:val="008F0D5C"/>
    <w:pPr>
      <w:tabs>
        <w:tab w:val="right" w:pos="9360"/>
      </w:tabs>
      <w:spacing w:after="0" w:line="480" w:lineRule="auto"/>
    </w:pPr>
    <w:rPr>
      <w:rFonts w:ascii="Arial" w:eastAsia="PMingLiU" w:hAnsi="Arial" w:cs="Times New Roman"/>
      <w:noProof/>
      <w:color w:val="2B3A44"/>
      <w:sz w:val="16"/>
      <w:szCs w:val="20"/>
    </w:rPr>
  </w:style>
  <w:style w:type="character" w:customStyle="1" w:styleId="FooterChar">
    <w:name w:val="Footer Char"/>
    <w:basedOn w:val="DefaultParagraphFont"/>
    <w:link w:val="Footer"/>
    <w:uiPriority w:val="99"/>
    <w:rsid w:val="008F0D5C"/>
    <w:rPr>
      <w:rFonts w:ascii="Arial" w:eastAsia="PMingLiU" w:hAnsi="Arial" w:cs="Times New Roman"/>
      <w:noProof/>
      <w:color w:val="2B3A44"/>
      <w:sz w:val="16"/>
      <w:szCs w:val="20"/>
    </w:rPr>
  </w:style>
  <w:style w:type="character" w:styleId="UnresolvedMention">
    <w:name w:val="Unresolved Mention"/>
    <w:basedOn w:val="DefaultParagraphFont"/>
    <w:uiPriority w:val="99"/>
    <w:unhideWhenUsed/>
    <w:rsid w:val="007F10EE"/>
    <w:rPr>
      <w:color w:val="605E5C"/>
      <w:shd w:val="clear" w:color="auto" w:fill="E1DFDD"/>
    </w:rPr>
  </w:style>
  <w:style w:type="character" w:styleId="Mention">
    <w:name w:val="Mention"/>
    <w:basedOn w:val="DefaultParagraphFont"/>
    <w:uiPriority w:val="99"/>
    <w:unhideWhenUsed/>
    <w:rsid w:val="007F10EE"/>
    <w:rPr>
      <w:color w:val="2B579A"/>
      <w:shd w:val="clear" w:color="auto" w:fill="E1DFDD"/>
    </w:rPr>
  </w:style>
  <w:style w:type="paragraph" w:customStyle="1" w:styleId="TableText10Bullet1Single">
    <w:name w:val="*Table Text 10 Bullet #1 Single"/>
    <w:uiPriority w:val="1"/>
    <w:rsid w:val="008F0D5C"/>
    <w:pPr>
      <w:numPr>
        <w:numId w:val="2"/>
      </w:numPr>
      <w:tabs>
        <w:tab w:val="left" w:pos="216"/>
      </w:tabs>
      <w:spacing w:after="20" w:line="240" w:lineRule="auto"/>
      <w:ind w:left="216" w:hanging="216"/>
    </w:pPr>
    <w:rPr>
      <w:rFonts w:ascii="Arial" w:eastAsia="PMingLiU" w:hAnsi="Arial" w:cs="Times New Roman"/>
      <w:color w:val="2B3A44"/>
      <w:sz w:val="20"/>
      <w:szCs w:val="20"/>
      <w:lang w:bidi="ar-DZ"/>
    </w:rPr>
  </w:style>
  <w:style w:type="paragraph" w:customStyle="1" w:styleId="TableHeading9">
    <w:name w:val="*Table Heading 9"/>
    <w:basedOn w:val="TableText9BoldDouble"/>
    <w:uiPriority w:val="1"/>
    <w:qFormat/>
    <w:rsid w:val="008F0D5C"/>
  </w:style>
  <w:style w:type="paragraph" w:customStyle="1" w:styleId="TableText9Bullet1Single">
    <w:name w:val="*Table Text 9 Bullet #1 Single"/>
    <w:basedOn w:val="TableText10Bullet1Single"/>
    <w:uiPriority w:val="1"/>
    <w:qFormat/>
    <w:rsid w:val="008F0D5C"/>
    <w:rPr>
      <w:sz w:val="18"/>
    </w:rPr>
  </w:style>
  <w:style w:type="paragraph" w:customStyle="1" w:styleId="TableText9Single">
    <w:name w:val="*Table Text 9 Single"/>
    <w:basedOn w:val="TableText10Single"/>
    <w:uiPriority w:val="1"/>
    <w:qFormat/>
    <w:rsid w:val="008F0D5C"/>
    <w:rPr>
      <w:sz w:val="18"/>
    </w:rPr>
  </w:style>
  <w:style w:type="table" w:customStyle="1" w:styleId="TableGridWDS1">
    <w:name w:val="Table Grid WDS1"/>
    <w:basedOn w:val="TableNormal"/>
    <w:next w:val="TableGrid"/>
    <w:uiPriority w:val="39"/>
    <w:rsid w:val="00C26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F0D5C"/>
    <w:rPr>
      <w:rFonts w:ascii="Arial" w:eastAsia="PMingLiU" w:hAnsi="Arial" w:cs="Arial"/>
      <w:b/>
      <w:bCs/>
      <w:color w:val="2B3A44"/>
      <w:kern w:val="32"/>
      <w:sz w:val="48"/>
      <w:szCs w:val="32"/>
      <w:lang w:bidi="ar-DZ"/>
    </w:rPr>
  </w:style>
  <w:style w:type="character" w:customStyle="1" w:styleId="Heading2Char">
    <w:name w:val="Heading 2 Char"/>
    <w:basedOn w:val="DefaultParagraphFont"/>
    <w:link w:val="Heading2"/>
    <w:rsid w:val="008F0D5C"/>
    <w:rPr>
      <w:rFonts w:ascii="Arial" w:eastAsia="PMingLiU" w:hAnsi="Arial" w:cs="Arial"/>
      <w:b/>
      <w:bCs/>
      <w:iCs/>
      <w:color w:val="2B3A44"/>
      <w:sz w:val="44"/>
      <w:szCs w:val="28"/>
      <w:lang w:bidi="ar-DZ"/>
    </w:rPr>
  </w:style>
  <w:style w:type="character" w:customStyle="1" w:styleId="Heading3Char">
    <w:name w:val="Heading 3 Char"/>
    <w:basedOn w:val="DefaultParagraphFont"/>
    <w:link w:val="Heading3"/>
    <w:rsid w:val="008F0D5C"/>
    <w:rPr>
      <w:rFonts w:ascii="Arial" w:eastAsia="PMingLiU" w:hAnsi="Arial" w:cs="Arial"/>
      <w:b/>
      <w:bCs/>
      <w:color w:val="2B3A44"/>
      <w:sz w:val="40"/>
      <w:szCs w:val="26"/>
      <w:lang w:bidi="ar-DZ"/>
    </w:rPr>
  </w:style>
  <w:style w:type="character" w:customStyle="1" w:styleId="Heading4Char">
    <w:name w:val="Heading 4 Char"/>
    <w:basedOn w:val="DefaultParagraphFont"/>
    <w:link w:val="Heading4"/>
    <w:rsid w:val="008F0D5C"/>
    <w:rPr>
      <w:rFonts w:ascii="Arial" w:eastAsia="PMingLiU" w:hAnsi="Arial" w:cs="Times New Roman"/>
      <w:b/>
      <w:bCs/>
      <w:color w:val="2B3A44"/>
      <w:sz w:val="36"/>
      <w:szCs w:val="28"/>
      <w:lang w:bidi="ar-DZ"/>
    </w:rPr>
  </w:style>
  <w:style w:type="character" w:customStyle="1" w:styleId="Heading5Char">
    <w:name w:val="Heading 5 Char"/>
    <w:basedOn w:val="DefaultParagraphFont"/>
    <w:link w:val="Heading5"/>
    <w:rsid w:val="008F0D5C"/>
    <w:rPr>
      <w:rFonts w:ascii="Arial" w:eastAsia="PMingLiU" w:hAnsi="Arial" w:cs="Times New Roman"/>
      <w:b/>
      <w:bCs/>
      <w:iCs/>
      <w:color w:val="2B3A44"/>
      <w:sz w:val="32"/>
      <w:szCs w:val="26"/>
      <w:lang w:bidi="ar-DZ"/>
    </w:rPr>
  </w:style>
  <w:style w:type="character" w:customStyle="1" w:styleId="Heading6Char">
    <w:name w:val="Heading 6 Char"/>
    <w:basedOn w:val="DefaultParagraphFont"/>
    <w:link w:val="Heading6"/>
    <w:rsid w:val="008F0D5C"/>
    <w:rPr>
      <w:rFonts w:ascii="Arial" w:eastAsia="PMingLiU" w:hAnsi="Arial" w:cs="Times New Roman"/>
      <w:b/>
      <w:bCs/>
      <w:color w:val="2B3A44"/>
      <w:sz w:val="28"/>
      <w:lang w:bidi="ar-DZ"/>
    </w:rPr>
  </w:style>
  <w:style w:type="character" w:customStyle="1" w:styleId="Heading7Char">
    <w:name w:val="Heading 7 Char"/>
    <w:basedOn w:val="DefaultParagraphFont"/>
    <w:link w:val="Heading7"/>
    <w:semiHidden/>
    <w:rsid w:val="008F0D5C"/>
    <w:rPr>
      <w:rFonts w:ascii="Times New Roman" w:eastAsia="PMingLiU" w:hAnsi="Times New Roman" w:cs="Times New Roman"/>
      <w:color w:val="000000"/>
      <w:sz w:val="24"/>
      <w:szCs w:val="24"/>
      <w:lang w:bidi="ar-DZ"/>
    </w:rPr>
  </w:style>
  <w:style w:type="character" w:customStyle="1" w:styleId="Heading8Char">
    <w:name w:val="Heading 8 Char"/>
    <w:basedOn w:val="DefaultParagraphFont"/>
    <w:link w:val="Heading8"/>
    <w:semiHidden/>
    <w:rsid w:val="008F0D5C"/>
    <w:rPr>
      <w:rFonts w:ascii="Times New Roman" w:eastAsia="PMingLiU" w:hAnsi="Times New Roman" w:cs="Times New Roman"/>
      <w:i/>
      <w:iCs/>
      <w:color w:val="000000"/>
      <w:sz w:val="24"/>
      <w:szCs w:val="24"/>
      <w:lang w:bidi="ar-DZ"/>
    </w:rPr>
  </w:style>
  <w:style w:type="character" w:customStyle="1" w:styleId="Heading9Char">
    <w:name w:val="Heading 9 Char"/>
    <w:basedOn w:val="DefaultParagraphFont"/>
    <w:link w:val="Heading9"/>
    <w:semiHidden/>
    <w:rsid w:val="008F0D5C"/>
    <w:rPr>
      <w:rFonts w:ascii="Arial" w:eastAsia="PMingLiU" w:hAnsi="Arial" w:cs="Arial"/>
      <w:color w:val="000000"/>
      <w:lang w:bidi="ar-DZ"/>
    </w:rPr>
  </w:style>
  <w:style w:type="paragraph" w:customStyle="1" w:styleId="BodyText">
    <w:name w:val="*Body Text"/>
    <w:link w:val="BodyTextChar"/>
    <w:qFormat/>
    <w:rsid w:val="008F0D5C"/>
    <w:pPr>
      <w:spacing w:after="120" w:line="240" w:lineRule="auto"/>
    </w:pPr>
    <w:rPr>
      <w:rFonts w:ascii="Arial" w:eastAsia="PMingLiU" w:hAnsi="Arial" w:cs="Times New Roman"/>
      <w:color w:val="2B3A44"/>
      <w:szCs w:val="20"/>
      <w:lang w:bidi="ar-DZ"/>
    </w:rPr>
  </w:style>
  <w:style w:type="paragraph" w:customStyle="1" w:styleId="RightSidebarHeading">
    <w:name w:val="*Right Sidebar Heading"/>
    <w:basedOn w:val="RightSidebarText"/>
    <w:next w:val="RightSidebarText"/>
    <w:uiPriority w:val="1"/>
    <w:qFormat/>
    <w:rsid w:val="008F0D5C"/>
    <w:pPr>
      <w:framePr w:wrap="around"/>
    </w:pPr>
    <w:rPr>
      <w:b/>
    </w:rPr>
  </w:style>
  <w:style w:type="paragraph" w:customStyle="1" w:styleId="RightSidebarBullet">
    <w:name w:val="*Right Sidebar Bullet"/>
    <w:basedOn w:val="RightSidebarText"/>
    <w:uiPriority w:val="1"/>
    <w:qFormat/>
    <w:rsid w:val="008F0D5C"/>
    <w:pPr>
      <w:framePr w:wrap="around"/>
      <w:numPr>
        <w:numId w:val="45"/>
      </w:numPr>
      <w:ind w:left="216" w:hanging="216"/>
    </w:pPr>
  </w:style>
  <w:style w:type="paragraph" w:customStyle="1" w:styleId="BlindParagraph">
    <w:name w:val="*Blind Paragraph"/>
    <w:basedOn w:val="BodyText"/>
    <w:uiPriority w:val="1"/>
    <w:qFormat/>
    <w:rsid w:val="008F0D5C"/>
    <w:pPr>
      <w:spacing w:after="0"/>
    </w:pPr>
    <w:rPr>
      <w:sz w:val="4"/>
      <w:szCs w:val="4"/>
    </w:rPr>
  </w:style>
  <w:style w:type="paragraph" w:customStyle="1" w:styleId="BodySingle">
    <w:name w:val="*Body Single"/>
    <w:basedOn w:val="BodyText"/>
    <w:uiPriority w:val="1"/>
    <w:rsid w:val="008F0D5C"/>
    <w:pPr>
      <w:spacing w:after="0"/>
    </w:pPr>
  </w:style>
  <w:style w:type="paragraph" w:customStyle="1" w:styleId="BodyTextBold">
    <w:name w:val="*Body Text Bold"/>
    <w:basedOn w:val="BodyText"/>
    <w:next w:val="BodyText"/>
    <w:uiPriority w:val="1"/>
    <w:rsid w:val="008F0D5C"/>
    <w:rPr>
      <w:b/>
    </w:rPr>
  </w:style>
  <w:style w:type="paragraph" w:customStyle="1" w:styleId="Bullet1Double">
    <w:name w:val="*Bullet #1 Double"/>
    <w:aliases w:val="Bullet 2,b2,B1,double,bullet single,b2b2,2nd level bullet,EDS sub bullet,bullet text,8,bullet double,bu,bullet2,B2,BL,bullet double-space,double bullet,bl,Bullet,b,body copy,BU Bullet Paragraph,BU,BP,B,BU bullet,bod,body,b-,bullet 2,bs"/>
    <w:link w:val="Bullet1DoubleChar"/>
    <w:rsid w:val="008F0D5C"/>
    <w:pPr>
      <w:numPr>
        <w:numId w:val="38"/>
      </w:numPr>
      <w:tabs>
        <w:tab w:val="clear" w:pos="0"/>
        <w:tab w:val="left" w:pos="288"/>
      </w:tabs>
      <w:spacing w:after="120" w:line="240" w:lineRule="auto"/>
      <w:ind w:left="288" w:hanging="288"/>
    </w:pPr>
    <w:rPr>
      <w:rFonts w:ascii="Arial" w:eastAsia="PMingLiU" w:hAnsi="Arial" w:cs="Times New Roman"/>
      <w:bCs/>
      <w:color w:val="2B3A44"/>
      <w:szCs w:val="20"/>
      <w:lang w:bidi="ar-DZ"/>
    </w:rPr>
  </w:style>
  <w:style w:type="paragraph" w:customStyle="1" w:styleId="Bullet1Single0">
    <w:name w:val="*Bullet #1 Single"/>
    <w:basedOn w:val="Bullet1Double"/>
    <w:uiPriority w:val="1"/>
    <w:qFormat/>
    <w:rsid w:val="008F0D5C"/>
    <w:pPr>
      <w:spacing w:after="0"/>
    </w:pPr>
  </w:style>
  <w:style w:type="paragraph" w:styleId="NoSpacing">
    <w:name w:val="No Spacing"/>
    <w:uiPriority w:val="1"/>
    <w:qFormat/>
    <w:rsid w:val="008F0D5C"/>
    <w:pPr>
      <w:spacing w:after="0" w:line="240" w:lineRule="auto"/>
    </w:pPr>
    <w:rPr>
      <w:rFonts w:ascii="Arial" w:eastAsia="PMingLiU" w:hAnsi="Arial" w:cs="Times New Roman"/>
      <w:color w:val="000000"/>
      <w:szCs w:val="20"/>
      <w:lang w:bidi="ar-DZ"/>
    </w:rPr>
  </w:style>
  <w:style w:type="paragraph" w:customStyle="1" w:styleId="Bullet1SubtextDouble">
    <w:name w:val="*Bullet #1 Subtext Double"/>
    <w:basedOn w:val="BodyText"/>
    <w:uiPriority w:val="1"/>
    <w:rsid w:val="008F0D5C"/>
    <w:pPr>
      <w:ind w:left="288"/>
    </w:pPr>
  </w:style>
  <w:style w:type="paragraph" w:customStyle="1" w:styleId="Bullet1SubtextSingle">
    <w:name w:val="*Bullet #1 Subtext Single"/>
    <w:basedOn w:val="Bullet1SubtextDouble"/>
    <w:uiPriority w:val="1"/>
    <w:qFormat/>
    <w:rsid w:val="008F0D5C"/>
    <w:pPr>
      <w:spacing w:after="0"/>
    </w:pPr>
  </w:style>
  <w:style w:type="paragraph" w:customStyle="1" w:styleId="Bullet2Double0">
    <w:name w:val="*Bullet #2 Double"/>
    <w:rsid w:val="008F0D5C"/>
    <w:pPr>
      <w:numPr>
        <w:numId w:val="39"/>
      </w:numPr>
      <w:tabs>
        <w:tab w:val="clear" w:pos="360"/>
        <w:tab w:val="left" w:pos="576"/>
      </w:tabs>
      <w:spacing w:after="120" w:line="240" w:lineRule="auto"/>
      <w:ind w:left="576" w:hanging="288"/>
    </w:pPr>
    <w:rPr>
      <w:rFonts w:ascii="Arial" w:eastAsia="PMingLiU" w:hAnsi="Arial" w:cs="Times New Roman"/>
      <w:color w:val="2B3A44"/>
      <w:szCs w:val="20"/>
      <w:lang w:bidi="ar-DZ"/>
    </w:rPr>
  </w:style>
  <w:style w:type="paragraph" w:customStyle="1" w:styleId="Bullet2Single0">
    <w:name w:val="*Bullet #2 Single"/>
    <w:basedOn w:val="Bullet2Double0"/>
    <w:uiPriority w:val="1"/>
    <w:qFormat/>
    <w:rsid w:val="008F0D5C"/>
    <w:pPr>
      <w:spacing w:after="0"/>
    </w:pPr>
  </w:style>
  <w:style w:type="paragraph" w:customStyle="1" w:styleId="Bullet2SubtextDouble0">
    <w:name w:val="*Bullet #2 Subtext Double"/>
    <w:basedOn w:val="BodyText"/>
    <w:uiPriority w:val="1"/>
    <w:rsid w:val="008F0D5C"/>
    <w:pPr>
      <w:ind w:left="576"/>
    </w:pPr>
  </w:style>
  <w:style w:type="paragraph" w:customStyle="1" w:styleId="Bullet2SubtextSingle0">
    <w:name w:val="*Bullet #2 Subtext Single"/>
    <w:basedOn w:val="Bullet2SubtextDouble0"/>
    <w:uiPriority w:val="1"/>
    <w:rsid w:val="008F0D5C"/>
    <w:pPr>
      <w:spacing w:after="0"/>
    </w:pPr>
  </w:style>
  <w:style w:type="paragraph" w:customStyle="1" w:styleId="Bullet3Double0">
    <w:name w:val="*Bullet #3 Double"/>
    <w:basedOn w:val="BodyText"/>
    <w:uiPriority w:val="1"/>
    <w:rsid w:val="008F0D5C"/>
    <w:pPr>
      <w:numPr>
        <w:numId w:val="40"/>
      </w:numPr>
      <w:tabs>
        <w:tab w:val="clear" w:pos="1080"/>
        <w:tab w:val="left" w:pos="864"/>
      </w:tabs>
      <w:ind w:left="864" w:hanging="288"/>
    </w:pPr>
    <w:rPr>
      <w:bCs/>
    </w:rPr>
  </w:style>
  <w:style w:type="paragraph" w:customStyle="1" w:styleId="Bullet3Single">
    <w:name w:val="*Bullet #3 Single"/>
    <w:basedOn w:val="Bullet3Double0"/>
    <w:uiPriority w:val="1"/>
    <w:rsid w:val="008F0D5C"/>
    <w:pPr>
      <w:numPr>
        <w:numId w:val="55"/>
      </w:numPr>
      <w:tabs>
        <w:tab w:val="clear" w:pos="1080"/>
      </w:tabs>
      <w:spacing w:after="0"/>
      <w:ind w:left="864" w:hanging="288"/>
    </w:pPr>
    <w:rPr>
      <w:bCs w:val="0"/>
    </w:rPr>
  </w:style>
  <w:style w:type="paragraph" w:customStyle="1" w:styleId="Bullet3SubtextDouble0">
    <w:name w:val="*Bullet #3 Subtext Double"/>
    <w:basedOn w:val="BodyText"/>
    <w:uiPriority w:val="1"/>
    <w:rsid w:val="008F0D5C"/>
    <w:pPr>
      <w:ind w:left="864"/>
    </w:pPr>
  </w:style>
  <w:style w:type="paragraph" w:customStyle="1" w:styleId="Bullet3SubtextSingle0">
    <w:name w:val="*Bullet #3 Subtext Single"/>
    <w:basedOn w:val="Bullet3SubtextDouble0"/>
    <w:uiPriority w:val="1"/>
    <w:rsid w:val="008F0D5C"/>
    <w:pPr>
      <w:spacing w:after="0"/>
    </w:pPr>
  </w:style>
  <w:style w:type="paragraph" w:customStyle="1" w:styleId="Bullet4Double">
    <w:name w:val="*Bullet #4 Double"/>
    <w:basedOn w:val="BodyText"/>
    <w:uiPriority w:val="1"/>
    <w:rsid w:val="008F0D5C"/>
    <w:pPr>
      <w:numPr>
        <w:numId w:val="43"/>
      </w:numPr>
      <w:tabs>
        <w:tab w:val="left" w:pos="1152"/>
      </w:tabs>
    </w:pPr>
  </w:style>
  <w:style w:type="paragraph" w:customStyle="1" w:styleId="Bullet4Single">
    <w:name w:val="*Bullet #4 Single"/>
    <w:basedOn w:val="Bullet4Double"/>
    <w:uiPriority w:val="1"/>
    <w:rsid w:val="008F0D5C"/>
    <w:pPr>
      <w:numPr>
        <w:numId w:val="44"/>
      </w:numPr>
      <w:spacing w:after="0"/>
    </w:pPr>
  </w:style>
  <w:style w:type="paragraph" w:customStyle="1" w:styleId="Bullet4SubtextDouble">
    <w:name w:val="*Bullet #4 Subtext Double"/>
    <w:basedOn w:val="BodyText"/>
    <w:uiPriority w:val="1"/>
    <w:qFormat/>
    <w:rsid w:val="008F0D5C"/>
    <w:pPr>
      <w:ind w:left="1166"/>
    </w:pPr>
  </w:style>
  <w:style w:type="paragraph" w:customStyle="1" w:styleId="Bullet4SubtextSingle">
    <w:name w:val="*Bullet #4 Subtext Single"/>
    <w:basedOn w:val="Bullet4SubtextDouble"/>
    <w:uiPriority w:val="1"/>
    <w:qFormat/>
    <w:rsid w:val="008F0D5C"/>
    <w:pPr>
      <w:spacing w:after="0"/>
    </w:pPr>
  </w:style>
  <w:style w:type="paragraph" w:customStyle="1" w:styleId="Bullet5Double">
    <w:name w:val="*Bullet #5 Double"/>
    <w:uiPriority w:val="1"/>
    <w:rsid w:val="008F0D5C"/>
    <w:pPr>
      <w:numPr>
        <w:numId w:val="41"/>
      </w:numPr>
      <w:tabs>
        <w:tab w:val="clear" w:pos="1800"/>
        <w:tab w:val="left" w:pos="1440"/>
      </w:tabs>
      <w:spacing w:after="120" w:line="240" w:lineRule="auto"/>
      <w:ind w:left="1440" w:hanging="288"/>
    </w:pPr>
    <w:rPr>
      <w:rFonts w:ascii="Arial" w:eastAsia="PMingLiU" w:hAnsi="Arial" w:cs="Times New Roman"/>
      <w:color w:val="2B3A44"/>
      <w:szCs w:val="20"/>
      <w:lang w:bidi="ar-DZ"/>
    </w:rPr>
  </w:style>
  <w:style w:type="paragraph" w:customStyle="1" w:styleId="Bullet5Single">
    <w:name w:val="*Bullet #5 Single"/>
    <w:basedOn w:val="Bullet5Double"/>
    <w:uiPriority w:val="1"/>
    <w:rsid w:val="008F0D5C"/>
    <w:pPr>
      <w:numPr>
        <w:numId w:val="56"/>
      </w:numPr>
      <w:tabs>
        <w:tab w:val="clear" w:pos="1800"/>
      </w:tabs>
      <w:spacing w:after="0"/>
      <w:ind w:left="1440" w:hanging="288"/>
    </w:pPr>
  </w:style>
  <w:style w:type="paragraph" w:customStyle="1" w:styleId="Bullet5SubtextDouble">
    <w:name w:val="*Bullet #5 Subtext Double"/>
    <w:basedOn w:val="BodyText"/>
    <w:uiPriority w:val="1"/>
    <w:qFormat/>
    <w:rsid w:val="008F0D5C"/>
    <w:pPr>
      <w:ind w:left="1440"/>
    </w:pPr>
  </w:style>
  <w:style w:type="paragraph" w:customStyle="1" w:styleId="Bullet5SubtextSingle">
    <w:name w:val="*Bullet #5 Subtext Single"/>
    <w:basedOn w:val="Bullet5SubtextDouble"/>
    <w:uiPriority w:val="1"/>
    <w:qFormat/>
    <w:rsid w:val="008F0D5C"/>
    <w:pPr>
      <w:spacing w:after="0"/>
    </w:pPr>
  </w:style>
  <w:style w:type="paragraph" w:customStyle="1" w:styleId="ConfidentialityNotice">
    <w:name w:val="*Confidentiality Notice"/>
    <w:basedOn w:val="BodyText"/>
    <w:uiPriority w:val="1"/>
    <w:rsid w:val="008F0D5C"/>
    <w:rPr>
      <w:sz w:val="18"/>
    </w:rPr>
  </w:style>
  <w:style w:type="paragraph" w:customStyle="1" w:styleId="CoverText1">
    <w:name w:val="*Cover Text 1"/>
    <w:basedOn w:val="BodyText"/>
    <w:uiPriority w:val="1"/>
    <w:rsid w:val="008F0D5C"/>
    <w:pPr>
      <w:spacing w:before="640" w:line="680" w:lineRule="exact"/>
    </w:pPr>
    <w:rPr>
      <w:b/>
      <w:sz w:val="64"/>
      <w:szCs w:val="44"/>
    </w:rPr>
  </w:style>
  <w:style w:type="paragraph" w:customStyle="1" w:styleId="CoverText2">
    <w:name w:val="*Cover Text 2"/>
    <w:basedOn w:val="BodyText"/>
    <w:uiPriority w:val="1"/>
    <w:qFormat/>
    <w:rsid w:val="008F0D5C"/>
    <w:pPr>
      <w:spacing w:before="120" w:line="360" w:lineRule="exact"/>
    </w:pPr>
    <w:rPr>
      <w:sz w:val="28"/>
      <w:szCs w:val="24"/>
    </w:rPr>
  </w:style>
  <w:style w:type="paragraph" w:customStyle="1" w:styleId="CoverText3">
    <w:name w:val="*Cover Text 3"/>
    <w:basedOn w:val="CoverText2"/>
    <w:uiPriority w:val="1"/>
    <w:rsid w:val="008F0D5C"/>
    <w:rPr>
      <w:rFonts w:cs="Arial"/>
      <w:color w:val="000000"/>
      <w:sz w:val="32"/>
      <w:szCs w:val="32"/>
    </w:rPr>
  </w:style>
  <w:style w:type="paragraph" w:customStyle="1" w:styleId="CvrLtrBodyText">
    <w:name w:val="*Cvr Ltr Body Text"/>
    <w:basedOn w:val="BodyText"/>
    <w:qFormat/>
    <w:rsid w:val="008F0D5C"/>
    <w:pPr>
      <w:spacing w:after="0" w:line="280" w:lineRule="exact"/>
    </w:pPr>
    <w:rPr>
      <w:szCs w:val="22"/>
    </w:rPr>
  </w:style>
  <w:style w:type="paragraph" w:customStyle="1" w:styleId="CvrLtrBullet1Single">
    <w:name w:val="*Cvr Ltr Bullet #1 Single"/>
    <w:basedOn w:val="Bullet1Single0"/>
    <w:qFormat/>
    <w:rsid w:val="008F0D5C"/>
    <w:pPr>
      <w:numPr>
        <w:numId w:val="50"/>
      </w:numPr>
      <w:spacing w:line="280" w:lineRule="exact"/>
      <w:ind w:left="288" w:hanging="288"/>
    </w:pPr>
    <w:rPr>
      <w:szCs w:val="22"/>
    </w:rPr>
  </w:style>
  <w:style w:type="paragraph" w:customStyle="1" w:styleId="CvrLtrBullet1Double">
    <w:name w:val="*Cvr Ltr Bullet #1 Double"/>
    <w:basedOn w:val="CvrLtrBullet1Single"/>
    <w:qFormat/>
    <w:rsid w:val="008F0D5C"/>
    <w:pPr>
      <w:numPr>
        <w:numId w:val="51"/>
      </w:numPr>
      <w:spacing w:after="120"/>
      <w:ind w:left="288" w:hanging="288"/>
    </w:pPr>
  </w:style>
  <w:style w:type="paragraph" w:customStyle="1" w:styleId="CvrLtrBullet2Single">
    <w:name w:val="*Cvr Ltr Bullet #2 Single"/>
    <w:basedOn w:val="Bullet2Single0"/>
    <w:qFormat/>
    <w:rsid w:val="008F0D5C"/>
    <w:pPr>
      <w:spacing w:line="280" w:lineRule="exact"/>
    </w:pPr>
    <w:rPr>
      <w:noProof/>
      <w:szCs w:val="22"/>
    </w:rPr>
  </w:style>
  <w:style w:type="paragraph" w:customStyle="1" w:styleId="CvrLtrBullet2Double">
    <w:name w:val="*Cvr Ltr Bullet #2 Double"/>
    <w:basedOn w:val="CvrLtrBullet2Single"/>
    <w:qFormat/>
    <w:rsid w:val="008F0D5C"/>
    <w:pPr>
      <w:spacing w:after="120"/>
    </w:pPr>
  </w:style>
  <w:style w:type="paragraph" w:customStyle="1" w:styleId="ContactInfo">
    <w:name w:val="Contact Info"/>
    <w:basedOn w:val="Normal"/>
    <w:uiPriority w:val="9"/>
    <w:semiHidden/>
    <w:qFormat/>
    <w:rsid w:val="008F0D5C"/>
    <w:pPr>
      <w:tabs>
        <w:tab w:val="left" w:pos="216"/>
      </w:tabs>
      <w:spacing w:line="240" w:lineRule="atLeast"/>
    </w:pPr>
    <w:rPr>
      <w:rFonts w:asciiTheme="minorHAnsi" w:eastAsiaTheme="minorHAnsi" w:hAnsiTheme="minorHAnsi" w:cstheme="minorBidi"/>
      <w:color w:val="auto"/>
      <w:sz w:val="16"/>
      <w:szCs w:val="16"/>
    </w:rPr>
  </w:style>
  <w:style w:type="paragraph" w:customStyle="1" w:styleId="CvrLtrDetail">
    <w:name w:val="*Cvr Ltr Detail"/>
    <w:basedOn w:val="BodyText"/>
    <w:qFormat/>
    <w:rsid w:val="008F0D5C"/>
    <w:pPr>
      <w:spacing w:after="20" w:line="220" w:lineRule="exact"/>
    </w:pPr>
    <w:rPr>
      <w:bCs/>
      <w:sz w:val="14"/>
      <w:szCs w:val="14"/>
    </w:rPr>
  </w:style>
  <w:style w:type="paragraph" w:customStyle="1" w:styleId="FigureCaptionAuto">
    <w:name w:val="*Figure Caption Auto#"/>
    <w:basedOn w:val="Normal"/>
    <w:next w:val="BodyText"/>
    <w:uiPriority w:val="1"/>
    <w:qFormat/>
    <w:rsid w:val="008F0D5C"/>
    <w:pPr>
      <w:keepNext/>
      <w:keepLines/>
      <w:numPr>
        <w:numId w:val="29"/>
      </w:numPr>
      <w:spacing w:before="60" w:after="120"/>
      <w:ind w:left="1080" w:hanging="1080"/>
    </w:pPr>
    <w:rPr>
      <w:rFonts w:ascii="Arial Narrow" w:hAnsi="Arial Narrow"/>
      <w:b/>
      <w:color w:val="2B3A44"/>
      <w:szCs w:val="18"/>
    </w:rPr>
  </w:style>
  <w:style w:type="paragraph" w:customStyle="1" w:styleId="Heading10">
    <w:name w:val="*Heading 1"/>
    <w:basedOn w:val="BodyText"/>
    <w:next w:val="BodyText"/>
    <w:uiPriority w:val="1"/>
    <w:qFormat/>
    <w:rsid w:val="008F0D5C"/>
    <w:pPr>
      <w:keepNext/>
      <w:keepLines/>
      <w:pageBreakBefore/>
      <w:pBdr>
        <w:bottom w:val="single" w:sz="8" w:space="1" w:color="00EEAE"/>
      </w:pBdr>
      <w:outlineLvl w:val="0"/>
    </w:pPr>
    <w:rPr>
      <w:rFonts w:ascii="Arial Bold" w:eastAsia="Times New Roman" w:hAnsi="Arial Bold" w:cs="Arial"/>
      <w:b/>
      <w:sz w:val="48"/>
      <w:szCs w:val="22"/>
    </w:rPr>
  </w:style>
  <w:style w:type="paragraph" w:customStyle="1" w:styleId="Heading20">
    <w:name w:val="*Heading 2"/>
    <w:next w:val="BodyText"/>
    <w:uiPriority w:val="1"/>
    <w:qFormat/>
    <w:rsid w:val="008F0D5C"/>
    <w:pPr>
      <w:keepNext/>
      <w:keepLines/>
      <w:pBdr>
        <w:bottom w:val="single" w:sz="4" w:space="1" w:color="00EEAE"/>
      </w:pBdr>
      <w:spacing w:before="240" w:after="120" w:line="240" w:lineRule="auto"/>
      <w:outlineLvl w:val="1"/>
    </w:pPr>
    <w:rPr>
      <w:rFonts w:ascii="Arial" w:eastAsia="PMingLiU" w:hAnsi="Arial" w:cs="Times New Roman"/>
      <w:b/>
      <w:bCs/>
      <w:color w:val="2B3A44"/>
      <w:sz w:val="44"/>
      <w:szCs w:val="32"/>
      <w:lang w:bidi="ar-DZ"/>
    </w:rPr>
  </w:style>
  <w:style w:type="paragraph" w:customStyle="1" w:styleId="Heading30">
    <w:name w:val="*Heading 3"/>
    <w:next w:val="BodyText"/>
    <w:uiPriority w:val="1"/>
    <w:qFormat/>
    <w:rsid w:val="008F0D5C"/>
    <w:pPr>
      <w:keepNext/>
      <w:keepLines/>
      <w:spacing w:before="240" w:after="120" w:line="240" w:lineRule="auto"/>
      <w:outlineLvl w:val="2"/>
    </w:pPr>
    <w:rPr>
      <w:rFonts w:ascii="Arial Bold" w:eastAsia="PMingLiU" w:hAnsi="Arial Bold" w:cs="Times New Roman"/>
      <w:b/>
      <w:color w:val="2B3A44"/>
      <w:sz w:val="40"/>
      <w:szCs w:val="24"/>
      <w:lang w:bidi="ar-DZ"/>
    </w:rPr>
  </w:style>
  <w:style w:type="paragraph" w:customStyle="1" w:styleId="Heading40">
    <w:name w:val="*Heading 4"/>
    <w:next w:val="BodyText"/>
    <w:uiPriority w:val="1"/>
    <w:qFormat/>
    <w:rsid w:val="008F0D5C"/>
    <w:pPr>
      <w:keepNext/>
      <w:keepLines/>
      <w:spacing w:before="240" w:after="120" w:line="240" w:lineRule="auto"/>
      <w:outlineLvl w:val="3"/>
    </w:pPr>
    <w:rPr>
      <w:rFonts w:ascii="Arial Bold" w:eastAsia="PMingLiU" w:hAnsi="Arial Bold" w:cs="Times New Roman"/>
      <w:b/>
      <w:color w:val="2B3A44"/>
      <w:sz w:val="36"/>
      <w:szCs w:val="24"/>
      <w:lang w:bidi="ar-DZ"/>
    </w:rPr>
  </w:style>
  <w:style w:type="paragraph" w:customStyle="1" w:styleId="Heading50">
    <w:name w:val="*Heading 5"/>
    <w:next w:val="BodyText"/>
    <w:uiPriority w:val="1"/>
    <w:qFormat/>
    <w:rsid w:val="008F0D5C"/>
    <w:pPr>
      <w:keepNext/>
      <w:keepLines/>
      <w:spacing w:before="240" w:after="120" w:line="240" w:lineRule="auto"/>
      <w:outlineLvl w:val="4"/>
    </w:pPr>
    <w:rPr>
      <w:rFonts w:ascii="Arial Bold" w:eastAsia="PMingLiU" w:hAnsi="Arial Bold" w:cs="Times New Roman"/>
      <w:b/>
      <w:color w:val="2B3A44"/>
      <w:sz w:val="32"/>
      <w:szCs w:val="24"/>
      <w:lang w:bidi="ar-DZ"/>
    </w:rPr>
  </w:style>
  <w:style w:type="paragraph" w:customStyle="1" w:styleId="Heading60">
    <w:name w:val="*Heading 6"/>
    <w:next w:val="BodyText"/>
    <w:uiPriority w:val="1"/>
    <w:rsid w:val="008F0D5C"/>
    <w:pPr>
      <w:keepNext/>
      <w:keepLines/>
      <w:spacing w:before="240" w:after="120" w:line="240" w:lineRule="auto"/>
      <w:outlineLvl w:val="5"/>
    </w:pPr>
    <w:rPr>
      <w:rFonts w:ascii="Arial Bold" w:eastAsia="PMingLiU" w:hAnsi="Arial Bold" w:cs="Times New Roman"/>
      <w:b/>
      <w:color w:val="2B3A44"/>
      <w:sz w:val="28"/>
      <w:szCs w:val="20"/>
      <w:lang w:bidi="ar-DZ"/>
    </w:rPr>
  </w:style>
  <w:style w:type="paragraph" w:customStyle="1" w:styleId="HeadingManual1">
    <w:name w:val="*Heading Manual#1"/>
    <w:basedOn w:val="Heading10"/>
    <w:next w:val="BodyText"/>
    <w:uiPriority w:val="1"/>
    <w:qFormat/>
    <w:rsid w:val="008F0D5C"/>
    <w:pPr>
      <w:ind w:left="1080" w:hanging="1080"/>
    </w:pPr>
    <w:rPr>
      <w:b w:val="0"/>
    </w:rPr>
  </w:style>
  <w:style w:type="paragraph" w:customStyle="1" w:styleId="HeadingManual2">
    <w:name w:val="*Heading Manual#2"/>
    <w:basedOn w:val="Heading20"/>
    <w:next w:val="BodyText"/>
    <w:uiPriority w:val="1"/>
    <w:qFormat/>
    <w:rsid w:val="008F0D5C"/>
    <w:pPr>
      <w:ind w:left="1080" w:hanging="1080"/>
    </w:pPr>
  </w:style>
  <w:style w:type="paragraph" w:customStyle="1" w:styleId="HeadingManual3">
    <w:name w:val="*Heading Manual#3"/>
    <w:basedOn w:val="Heading30"/>
    <w:next w:val="BodyText"/>
    <w:uiPriority w:val="1"/>
    <w:qFormat/>
    <w:rsid w:val="008F0D5C"/>
    <w:pPr>
      <w:ind w:left="1440" w:hanging="1440"/>
    </w:pPr>
  </w:style>
  <w:style w:type="paragraph" w:customStyle="1" w:styleId="HeadingManual4">
    <w:name w:val="*Heading Manual#4"/>
    <w:basedOn w:val="Heading40"/>
    <w:next w:val="BodyText"/>
    <w:uiPriority w:val="1"/>
    <w:qFormat/>
    <w:rsid w:val="008F0D5C"/>
    <w:pPr>
      <w:ind w:left="1440" w:hanging="1440"/>
    </w:pPr>
  </w:style>
  <w:style w:type="paragraph" w:customStyle="1" w:styleId="HeadingManual5">
    <w:name w:val="*Heading Manual#5"/>
    <w:basedOn w:val="Heading50"/>
    <w:next w:val="BodyText"/>
    <w:uiPriority w:val="1"/>
    <w:rsid w:val="008F0D5C"/>
    <w:pPr>
      <w:ind w:left="1728" w:hanging="1728"/>
    </w:pPr>
  </w:style>
  <w:style w:type="paragraph" w:customStyle="1" w:styleId="HeadingManual6">
    <w:name w:val="*Heading Manual#6"/>
    <w:basedOn w:val="Heading60"/>
    <w:next w:val="BodyText"/>
    <w:uiPriority w:val="1"/>
    <w:rsid w:val="008F0D5C"/>
    <w:pPr>
      <w:ind w:left="1728" w:hanging="1728"/>
    </w:pPr>
  </w:style>
  <w:style w:type="paragraph" w:customStyle="1" w:styleId="LeadInText">
    <w:name w:val="*LeadInText"/>
    <w:uiPriority w:val="1"/>
    <w:qFormat/>
    <w:rsid w:val="008F0D5C"/>
    <w:pPr>
      <w:spacing w:after="120" w:line="280" w:lineRule="exact"/>
    </w:pPr>
    <w:rPr>
      <w:rFonts w:ascii="Arial Bold" w:eastAsia="PMingLiU" w:hAnsi="Arial Bold" w:cs="Times New Roman"/>
      <w:b/>
      <w:color w:val="2B3A44"/>
      <w:sz w:val="24"/>
      <w:szCs w:val="20"/>
      <w:lang w:bidi="ar-DZ"/>
    </w:rPr>
  </w:style>
  <w:style w:type="paragraph" w:customStyle="1" w:styleId="NoticeHeading">
    <w:name w:val="*Notice Heading"/>
    <w:basedOn w:val="Heading10"/>
    <w:next w:val="ConfidentialityNotice"/>
    <w:uiPriority w:val="1"/>
    <w:rsid w:val="008F0D5C"/>
    <w:pPr>
      <w:outlineLvl w:val="9"/>
    </w:pPr>
    <w:rPr>
      <w:szCs w:val="36"/>
    </w:rPr>
  </w:style>
  <w:style w:type="paragraph" w:customStyle="1" w:styleId="Numbers1Single">
    <w:name w:val="*Numbers #1 Single"/>
    <w:basedOn w:val="Normal"/>
    <w:uiPriority w:val="1"/>
    <w:rsid w:val="008F0D5C"/>
    <w:pPr>
      <w:spacing w:line="240" w:lineRule="atLeast"/>
      <w:ind w:left="425" w:hanging="425"/>
    </w:pPr>
    <w:rPr>
      <w:color w:val="2B3A44"/>
    </w:rPr>
  </w:style>
  <w:style w:type="paragraph" w:customStyle="1" w:styleId="Numbers1Double">
    <w:name w:val="*Numbers #1 Double"/>
    <w:basedOn w:val="Numbers1Single"/>
    <w:uiPriority w:val="1"/>
    <w:rsid w:val="008F0D5C"/>
    <w:pPr>
      <w:spacing w:after="120"/>
      <w:ind w:left="426" w:hanging="426"/>
    </w:pPr>
  </w:style>
  <w:style w:type="paragraph" w:customStyle="1" w:styleId="Numbers2Single">
    <w:name w:val="*Numbers #2 Single"/>
    <w:basedOn w:val="Normal"/>
    <w:uiPriority w:val="1"/>
    <w:qFormat/>
    <w:rsid w:val="008F0D5C"/>
    <w:pPr>
      <w:spacing w:line="240" w:lineRule="atLeast"/>
      <w:ind w:left="850" w:hanging="425"/>
    </w:pPr>
    <w:rPr>
      <w:color w:val="2B3A44"/>
    </w:rPr>
  </w:style>
  <w:style w:type="paragraph" w:customStyle="1" w:styleId="Numbers2Double">
    <w:name w:val="*Numbers #2 Double"/>
    <w:basedOn w:val="Numbers2Single"/>
    <w:uiPriority w:val="1"/>
    <w:qFormat/>
    <w:rsid w:val="008F0D5C"/>
    <w:pPr>
      <w:spacing w:after="120"/>
      <w:ind w:left="851"/>
    </w:pPr>
  </w:style>
  <w:style w:type="paragraph" w:customStyle="1" w:styleId="Numbers3Single">
    <w:name w:val="*Numbers #3 Single"/>
    <w:basedOn w:val="Normal"/>
    <w:uiPriority w:val="1"/>
    <w:qFormat/>
    <w:rsid w:val="008F0D5C"/>
    <w:pPr>
      <w:spacing w:line="240" w:lineRule="atLeast"/>
      <w:ind w:left="1418" w:hanging="567"/>
    </w:pPr>
    <w:rPr>
      <w:color w:val="2B3A44"/>
    </w:rPr>
  </w:style>
  <w:style w:type="paragraph" w:customStyle="1" w:styleId="Numbers3Double">
    <w:name w:val="*Numbers #3 Double"/>
    <w:basedOn w:val="Numbers3Single"/>
    <w:uiPriority w:val="1"/>
    <w:qFormat/>
    <w:rsid w:val="008F0D5C"/>
    <w:pPr>
      <w:spacing w:after="120"/>
    </w:pPr>
  </w:style>
  <w:style w:type="paragraph" w:customStyle="1" w:styleId="Numbers4Single">
    <w:name w:val="*Numbers #4 Single"/>
    <w:basedOn w:val="Normal"/>
    <w:uiPriority w:val="1"/>
    <w:qFormat/>
    <w:rsid w:val="008F0D5C"/>
    <w:pPr>
      <w:spacing w:line="240" w:lineRule="atLeast"/>
      <w:ind w:left="2269" w:hanging="851"/>
    </w:pPr>
    <w:rPr>
      <w:color w:val="2B3A44"/>
    </w:rPr>
  </w:style>
  <w:style w:type="paragraph" w:customStyle="1" w:styleId="Numbers4Double">
    <w:name w:val="*Numbers #4 Double"/>
    <w:basedOn w:val="Numbers4Single"/>
    <w:uiPriority w:val="1"/>
    <w:qFormat/>
    <w:rsid w:val="008F0D5C"/>
    <w:pPr>
      <w:spacing w:after="120"/>
      <w:ind w:left="2268" w:hanging="850"/>
    </w:pPr>
  </w:style>
  <w:style w:type="paragraph" w:customStyle="1" w:styleId="Numbers5Single">
    <w:name w:val="*Numbers #5 Single"/>
    <w:basedOn w:val="Normal"/>
    <w:uiPriority w:val="1"/>
    <w:qFormat/>
    <w:rsid w:val="008F0D5C"/>
    <w:pPr>
      <w:spacing w:line="240" w:lineRule="atLeast"/>
      <w:ind w:left="3260" w:hanging="992"/>
    </w:pPr>
    <w:rPr>
      <w:color w:val="2B3A44"/>
    </w:rPr>
  </w:style>
  <w:style w:type="paragraph" w:customStyle="1" w:styleId="Numbers5Double">
    <w:name w:val="*Numbers #5 Double"/>
    <w:basedOn w:val="Numbers5Single"/>
    <w:uiPriority w:val="1"/>
    <w:qFormat/>
    <w:rsid w:val="008F0D5C"/>
    <w:pPr>
      <w:spacing w:after="120"/>
      <w:ind w:left="3261" w:hanging="993"/>
    </w:pPr>
  </w:style>
  <w:style w:type="paragraph" w:customStyle="1" w:styleId="NumbersAutoSingle">
    <w:name w:val="*Numbers (Auto) Single"/>
    <w:basedOn w:val="BodyText"/>
    <w:uiPriority w:val="1"/>
    <w:rsid w:val="008F0D5C"/>
    <w:pPr>
      <w:numPr>
        <w:numId w:val="3"/>
      </w:numPr>
      <w:spacing w:after="0"/>
    </w:pPr>
  </w:style>
  <w:style w:type="paragraph" w:customStyle="1" w:styleId="NumbersAutoBold">
    <w:name w:val="*Numbers (Auto) Bold"/>
    <w:basedOn w:val="BodyText"/>
    <w:uiPriority w:val="1"/>
    <w:rsid w:val="008F0D5C"/>
    <w:pPr>
      <w:numPr>
        <w:numId w:val="4"/>
      </w:numPr>
      <w:spacing w:after="0"/>
    </w:pPr>
    <w:rPr>
      <w:b/>
    </w:rPr>
  </w:style>
  <w:style w:type="paragraph" w:customStyle="1" w:styleId="NumbersAutoDouble0">
    <w:name w:val="*Numbers (Auto) Double"/>
    <w:basedOn w:val="BodyText"/>
    <w:uiPriority w:val="1"/>
    <w:rsid w:val="008F0D5C"/>
    <w:pPr>
      <w:numPr>
        <w:numId w:val="5"/>
      </w:numPr>
    </w:pPr>
  </w:style>
  <w:style w:type="paragraph" w:customStyle="1" w:styleId="NumbersAutoBoldDouble">
    <w:name w:val="*Numbers (Auto) Bold Double"/>
    <w:basedOn w:val="NumbersAutoDouble0"/>
    <w:uiPriority w:val="1"/>
    <w:qFormat/>
    <w:rsid w:val="008F0D5C"/>
    <w:pPr>
      <w:numPr>
        <w:numId w:val="6"/>
      </w:numPr>
    </w:pPr>
    <w:rPr>
      <w:b/>
    </w:rPr>
  </w:style>
  <w:style w:type="paragraph" w:customStyle="1" w:styleId="NumbersBold">
    <w:name w:val="*Numbers Bold"/>
    <w:basedOn w:val="Numbers1Single"/>
    <w:uiPriority w:val="1"/>
    <w:rsid w:val="008F0D5C"/>
    <w:rPr>
      <w:b/>
    </w:rPr>
  </w:style>
  <w:style w:type="paragraph" w:customStyle="1" w:styleId="NumbersBoldDouble">
    <w:name w:val="*Numbers Bold Double"/>
    <w:basedOn w:val="Numbers1Double"/>
    <w:uiPriority w:val="1"/>
    <w:qFormat/>
    <w:rsid w:val="008F0D5C"/>
    <w:rPr>
      <w:b/>
    </w:rPr>
  </w:style>
  <w:style w:type="paragraph" w:customStyle="1" w:styleId="NumbersDouble">
    <w:name w:val="*Numbers Double"/>
    <w:basedOn w:val="Numbers1Double"/>
    <w:uiPriority w:val="1"/>
    <w:qFormat/>
    <w:rsid w:val="008F0D5C"/>
  </w:style>
  <w:style w:type="paragraph" w:customStyle="1" w:styleId="NumbersSingle">
    <w:name w:val="*Numbers Single"/>
    <w:basedOn w:val="Numbers1Single"/>
    <w:uiPriority w:val="1"/>
    <w:qFormat/>
    <w:rsid w:val="008F0D5C"/>
  </w:style>
  <w:style w:type="paragraph" w:customStyle="1" w:styleId="ProprietaryNotice">
    <w:name w:val="*Proprietary Notice"/>
    <w:uiPriority w:val="1"/>
    <w:rsid w:val="008F0D5C"/>
    <w:pPr>
      <w:spacing w:after="0" w:line="200" w:lineRule="exact"/>
    </w:pPr>
    <w:rPr>
      <w:rFonts w:ascii="Arial" w:eastAsia="PMingLiU" w:hAnsi="Arial" w:cs="Times New Roman"/>
      <w:sz w:val="16"/>
      <w:szCs w:val="16"/>
      <w:lang w:bidi="ar-DZ"/>
    </w:rPr>
  </w:style>
  <w:style w:type="paragraph" w:customStyle="1" w:styleId="Quotation">
    <w:name w:val="*Quotation"/>
    <w:basedOn w:val="Normal"/>
    <w:uiPriority w:val="1"/>
    <w:qFormat/>
    <w:rsid w:val="008F0D5C"/>
    <w:pPr>
      <w:spacing w:after="120"/>
      <w:ind w:left="720" w:right="720"/>
    </w:pPr>
    <w:rPr>
      <w:color w:val="2B3A44"/>
    </w:rPr>
  </w:style>
  <w:style w:type="paragraph" w:customStyle="1" w:styleId="QuotationAttribute">
    <w:name w:val="*Quotation Attribute"/>
    <w:uiPriority w:val="1"/>
    <w:qFormat/>
    <w:rsid w:val="008F0D5C"/>
    <w:pPr>
      <w:numPr>
        <w:numId w:val="30"/>
      </w:numPr>
      <w:spacing w:after="200"/>
      <w:ind w:right="720"/>
    </w:pPr>
    <w:rPr>
      <w:rFonts w:ascii="Arial" w:eastAsia="PMingLiU" w:hAnsi="Arial" w:cs="Times New Roman"/>
      <w:i/>
      <w:color w:val="2B3A44"/>
      <w:szCs w:val="20"/>
      <w:lang w:bidi="ar-DZ"/>
    </w:rPr>
  </w:style>
  <w:style w:type="paragraph" w:customStyle="1" w:styleId="Subheading">
    <w:name w:val="*Subheading"/>
    <w:basedOn w:val="BodyText"/>
    <w:next w:val="BodyText"/>
    <w:uiPriority w:val="1"/>
    <w:rsid w:val="008F0D5C"/>
    <w:pPr>
      <w:keepNext/>
      <w:spacing w:before="240" w:after="60"/>
    </w:pPr>
    <w:rPr>
      <w:b/>
    </w:rPr>
  </w:style>
  <w:style w:type="paragraph" w:customStyle="1" w:styleId="Subheading2">
    <w:name w:val="*Subheading 2"/>
    <w:basedOn w:val="Subheading"/>
    <w:next w:val="BodyText"/>
    <w:uiPriority w:val="1"/>
    <w:qFormat/>
    <w:rsid w:val="008F0D5C"/>
    <w:rPr>
      <w:i/>
    </w:rPr>
  </w:style>
  <w:style w:type="paragraph" w:customStyle="1" w:styleId="TableCaptionAuto">
    <w:name w:val="*Table Caption Auto#"/>
    <w:basedOn w:val="Normal"/>
    <w:next w:val="BodyText"/>
    <w:uiPriority w:val="1"/>
    <w:rsid w:val="008F0D5C"/>
    <w:pPr>
      <w:keepNext/>
      <w:numPr>
        <w:numId w:val="31"/>
      </w:numPr>
      <w:tabs>
        <w:tab w:val="clear" w:pos="432"/>
        <w:tab w:val="left" w:pos="1080"/>
      </w:tabs>
      <w:spacing w:before="60" w:after="120"/>
      <w:ind w:left="1080" w:hanging="1080"/>
    </w:pPr>
    <w:rPr>
      <w:rFonts w:ascii="Arial Narrow" w:hAnsi="Arial Narrow"/>
      <w:b/>
      <w:color w:val="2B3A44"/>
      <w:szCs w:val="18"/>
    </w:rPr>
  </w:style>
  <w:style w:type="paragraph" w:customStyle="1" w:styleId="TableText10Single">
    <w:name w:val="*Table Text 10 Single"/>
    <w:basedOn w:val="BodyText"/>
    <w:uiPriority w:val="1"/>
    <w:rsid w:val="008F0D5C"/>
    <w:pPr>
      <w:spacing w:after="0"/>
    </w:pPr>
    <w:rPr>
      <w:sz w:val="20"/>
    </w:rPr>
  </w:style>
  <w:style w:type="paragraph" w:customStyle="1" w:styleId="TableText10Double">
    <w:name w:val="*Table Text 10 Double"/>
    <w:basedOn w:val="TableText10Single"/>
    <w:uiPriority w:val="1"/>
    <w:rsid w:val="008F0D5C"/>
    <w:pPr>
      <w:spacing w:after="60"/>
    </w:pPr>
  </w:style>
  <w:style w:type="paragraph" w:customStyle="1" w:styleId="TableText10BoldDouble">
    <w:name w:val="*Table Text 10 Bold Double"/>
    <w:basedOn w:val="TableText10Double"/>
    <w:uiPriority w:val="1"/>
    <w:qFormat/>
    <w:rsid w:val="008F0D5C"/>
    <w:rPr>
      <w:b/>
    </w:rPr>
  </w:style>
  <w:style w:type="paragraph" w:customStyle="1" w:styleId="TableHeading10">
    <w:name w:val="*Table Heading 10"/>
    <w:basedOn w:val="TableText10BoldDouble"/>
    <w:uiPriority w:val="1"/>
    <w:qFormat/>
    <w:rsid w:val="008F0D5C"/>
  </w:style>
  <w:style w:type="paragraph" w:customStyle="1" w:styleId="TableText11Single">
    <w:name w:val="*Table Text 11 Single"/>
    <w:basedOn w:val="TableText10Single"/>
    <w:uiPriority w:val="1"/>
    <w:rsid w:val="008F0D5C"/>
    <w:rPr>
      <w:sz w:val="22"/>
    </w:rPr>
  </w:style>
  <w:style w:type="paragraph" w:customStyle="1" w:styleId="TableText11Double">
    <w:name w:val="*Table Text 11 Double"/>
    <w:basedOn w:val="TableText11Single"/>
    <w:uiPriority w:val="1"/>
    <w:rsid w:val="008F0D5C"/>
    <w:pPr>
      <w:spacing w:after="60"/>
    </w:pPr>
  </w:style>
  <w:style w:type="paragraph" w:customStyle="1" w:styleId="TableText11BoldDouble">
    <w:name w:val="*Table Text 11 Bold Double"/>
    <w:basedOn w:val="TableText11Double"/>
    <w:uiPriority w:val="1"/>
    <w:qFormat/>
    <w:rsid w:val="008F0D5C"/>
    <w:rPr>
      <w:b/>
    </w:rPr>
  </w:style>
  <w:style w:type="paragraph" w:customStyle="1" w:styleId="TableHeading11">
    <w:name w:val="*Table Heading 11"/>
    <w:basedOn w:val="TableText11BoldDouble"/>
    <w:uiPriority w:val="1"/>
    <w:rsid w:val="008F0D5C"/>
  </w:style>
  <w:style w:type="paragraph" w:customStyle="1" w:styleId="TableText8Single">
    <w:name w:val="*Table Text 8 Single"/>
    <w:basedOn w:val="TableText10Single"/>
    <w:uiPriority w:val="1"/>
    <w:rsid w:val="008F0D5C"/>
    <w:rPr>
      <w:sz w:val="16"/>
    </w:rPr>
  </w:style>
  <w:style w:type="paragraph" w:customStyle="1" w:styleId="TableText8Double">
    <w:name w:val="*Table Text 8 Double"/>
    <w:basedOn w:val="TableText8Single"/>
    <w:uiPriority w:val="1"/>
    <w:rsid w:val="008F0D5C"/>
    <w:pPr>
      <w:spacing w:after="60"/>
    </w:pPr>
  </w:style>
  <w:style w:type="paragraph" w:customStyle="1" w:styleId="TableText8BoldDouble">
    <w:name w:val="*Table Text 8 Bold Double"/>
    <w:basedOn w:val="TableText8Double"/>
    <w:uiPriority w:val="1"/>
    <w:qFormat/>
    <w:rsid w:val="008F0D5C"/>
    <w:rPr>
      <w:b/>
    </w:rPr>
  </w:style>
  <w:style w:type="paragraph" w:customStyle="1" w:styleId="TableHeading8">
    <w:name w:val="*Table Heading 8"/>
    <w:basedOn w:val="TableText8BoldDouble"/>
    <w:uiPriority w:val="1"/>
    <w:rsid w:val="008F0D5C"/>
  </w:style>
  <w:style w:type="paragraph" w:customStyle="1" w:styleId="TableText9BoldDouble">
    <w:name w:val="*Table Text 9 Bold Double"/>
    <w:basedOn w:val="TableText10BoldDouble"/>
    <w:uiPriority w:val="1"/>
    <w:qFormat/>
    <w:rsid w:val="008F0D5C"/>
    <w:rPr>
      <w:sz w:val="18"/>
    </w:rPr>
  </w:style>
  <w:style w:type="paragraph" w:customStyle="1" w:styleId="TableSubheading10">
    <w:name w:val="*Table Subheading 10"/>
    <w:basedOn w:val="Normal"/>
    <w:uiPriority w:val="1"/>
    <w:rsid w:val="008F0D5C"/>
    <w:pPr>
      <w:keepNext/>
      <w:spacing w:after="60"/>
    </w:pPr>
    <w:rPr>
      <w:b/>
      <w:color w:val="2B3A44"/>
      <w:sz w:val="20"/>
    </w:rPr>
  </w:style>
  <w:style w:type="paragraph" w:customStyle="1" w:styleId="TableSubheading11">
    <w:name w:val="*Table Subheading 11"/>
    <w:basedOn w:val="TableSubheading10"/>
    <w:uiPriority w:val="1"/>
    <w:rsid w:val="008F0D5C"/>
    <w:rPr>
      <w:sz w:val="22"/>
    </w:rPr>
  </w:style>
  <w:style w:type="paragraph" w:customStyle="1" w:styleId="TableSubheading9">
    <w:name w:val="*Table Subheading 9"/>
    <w:basedOn w:val="TableSubheading10"/>
    <w:uiPriority w:val="1"/>
    <w:qFormat/>
    <w:rsid w:val="008F0D5C"/>
    <w:rPr>
      <w:sz w:val="18"/>
    </w:rPr>
  </w:style>
  <w:style w:type="paragraph" w:customStyle="1" w:styleId="TableSubheading8">
    <w:name w:val="*Table Subheading 8"/>
    <w:basedOn w:val="TableSubheading9"/>
    <w:uiPriority w:val="1"/>
    <w:rsid w:val="008F0D5C"/>
    <w:rPr>
      <w:sz w:val="16"/>
    </w:rPr>
  </w:style>
  <w:style w:type="paragraph" w:customStyle="1" w:styleId="TableText10BoldSingle">
    <w:name w:val="*Table Text 10 Bold Single"/>
    <w:basedOn w:val="TableText10Single"/>
    <w:uiPriority w:val="1"/>
    <w:qFormat/>
    <w:rsid w:val="008F0D5C"/>
    <w:rPr>
      <w:b/>
    </w:rPr>
  </w:style>
  <w:style w:type="paragraph" w:customStyle="1" w:styleId="TableText10Bullet1Double">
    <w:name w:val="*Table Text 10 Bullet #1 Double"/>
    <w:basedOn w:val="TableText10Bullet1Single"/>
    <w:uiPriority w:val="1"/>
    <w:rsid w:val="008F0D5C"/>
    <w:pPr>
      <w:spacing w:after="60"/>
    </w:pPr>
  </w:style>
  <w:style w:type="paragraph" w:customStyle="1" w:styleId="TableText10Bullet2Single">
    <w:name w:val="*Table Text 10 Bullet #2 Single"/>
    <w:uiPriority w:val="1"/>
    <w:rsid w:val="008F0D5C"/>
    <w:pPr>
      <w:numPr>
        <w:numId w:val="42"/>
      </w:numPr>
      <w:tabs>
        <w:tab w:val="left" w:pos="432"/>
      </w:tabs>
      <w:spacing w:after="20" w:line="240" w:lineRule="auto"/>
      <w:ind w:left="432" w:hanging="216"/>
    </w:pPr>
    <w:rPr>
      <w:rFonts w:ascii="Arial" w:eastAsia="PMingLiU" w:hAnsi="Arial" w:cs="Times New Roman"/>
      <w:color w:val="2B3A44"/>
      <w:sz w:val="20"/>
      <w:szCs w:val="20"/>
      <w:lang w:bidi="ar-DZ"/>
    </w:rPr>
  </w:style>
  <w:style w:type="paragraph" w:customStyle="1" w:styleId="TableText10Bullet2Double">
    <w:name w:val="*Table Text 10 Bullet #2 Double"/>
    <w:basedOn w:val="TableText10Bullet2Single"/>
    <w:uiPriority w:val="1"/>
    <w:rsid w:val="008F0D5C"/>
    <w:pPr>
      <w:numPr>
        <w:numId w:val="36"/>
      </w:numPr>
      <w:tabs>
        <w:tab w:val="clear" w:pos="216"/>
        <w:tab w:val="clear" w:pos="432"/>
      </w:tabs>
      <w:spacing w:after="60"/>
      <w:ind w:left="432" w:hanging="216"/>
    </w:pPr>
  </w:style>
  <w:style w:type="paragraph" w:customStyle="1" w:styleId="TableText10Bullet3Single">
    <w:name w:val="*Table Text 10 Bullet #3 Single"/>
    <w:basedOn w:val="TableText10Bullet1Single"/>
    <w:uiPriority w:val="1"/>
    <w:qFormat/>
    <w:rsid w:val="008F0D5C"/>
    <w:pPr>
      <w:tabs>
        <w:tab w:val="clear" w:pos="216"/>
      </w:tabs>
      <w:ind w:left="648"/>
    </w:pPr>
  </w:style>
  <w:style w:type="paragraph" w:customStyle="1" w:styleId="TableText10Bullet3Double">
    <w:name w:val="*Table Text 10 Bullet #3 Double"/>
    <w:basedOn w:val="TableText10Bullet3Single"/>
    <w:uiPriority w:val="1"/>
    <w:qFormat/>
    <w:rsid w:val="008F0D5C"/>
    <w:pPr>
      <w:spacing w:after="60"/>
    </w:pPr>
  </w:style>
  <w:style w:type="paragraph" w:customStyle="1" w:styleId="TableText11BoldSingle">
    <w:name w:val="*Table Text 11 Bold Single"/>
    <w:basedOn w:val="TableText11Single"/>
    <w:uiPriority w:val="1"/>
    <w:qFormat/>
    <w:rsid w:val="008F0D5C"/>
    <w:rPr>
      <w:b/>
    </w:rPr>
  </w:style>
  <w:style w:type="paragraph" w:customStyle="1" w:styleId="TableText11Bullet1Double">
    <w:name w:val="*Table Text 11 Bullet #1 Double"/>
    <w:basedOn w:val="TableText10Bullet1Double"/>
    <w:uiPriority w:val="1"/>
    <w:qFormat/>
    <w:rsid w:val="008F0D5C"/>
    <w:rPr>
      <w:sz w:val="22"/>
    </w:rPr>
  </w:style>
  <w:style w:type="paragraph" w:customStyle="1" w:styleId="TableText11Bullet1Single">
    <w:name w:val="*Table Text 11 Bullet #1 Single"/>
    <w:basedOn w:val="TableText10Bullet1Single"/>
    <w:uiPriority w:val="1"/>
    <w:qFormat/>
    <w:rsid w:val="008F0D5C"/>
    <w:rPr>
      <w:sz w:val="22"/>
    </w:rPr>
  </w:style>
  <w:style w:type="paragraph" w:customStyle="1" w:styleId="TableText11Bullet2Double">
    <w:name w:val="*Table Text 11 Bullet #2 Double"/>
    <w:basedOn w:val="TableText10Bullet2Double"/>
    <w:uiPriority w:val="1"/>
    <w:qFormat/>
    <w:rsid w:val="008F0D5C"/>
    <w:rPr>
      <w:sz w:val="22"/>
    </w:rPr>
  </w:style>
  <w:style w:type="paragraph" w:customStyle="1" w:styleId="TableText11Bullet2Single">
    <w:name w:val="*Table Text 11 Bullet #2 Single"/>
    <w:basedOn w:val="TableText10Bullet2Single"/>
    <w:uiPriority w:val="1"/>
    <w:rsid w:val="008F0D5C"/>
    <w:pPr>
      <w:tabs>
        <w:tab w:val="clear" w:pos="1440"/>
      </w:tabs>
    </w:pPr>
    <w:rPr>
      <w:sz w:val="22"/>
    </w:rPr>
  </w:style>
  <w:style w:type="paragraph" w:customStyle="1" w:styleId="TableText11Bullet3Double">
    <w:name w:val="*Table Text 11 Bullet #3 Double"/>
    <w:basedOn w:val="TableText10Bullet3Double"/>
    <w:uiPriority w:val="1"/>
    <w:qFormat/>
    <w:rsid w:val="008F0D5C"/>
    <w:rPr>
      <w:sz w:val="22"/>
    </w:rPr>
  </w:style>
  <w:style w:type="paragraph" w:customStyle="1" w:styleId="TableText11Bullet3Single">
    <w:name w:val="*Table Text 11 Bullet #3 Single"/>
    <w:basedOn w:val="TableText10Bullet3Single"/>
    <w:uiPriority w:val="1"/>
    <w:qFormat/>
    <w:rsid w:val="008F0D5C"/>
    <w:rPr>
      <w:sz w:val="22"/>
    </w:rPr>
  </w:style>
  <w:style w:type="paragraph" w:customStyle="1" w:styleId="TableText8BoldSingle">
    <w:name w:val="*Table Text 8 Bold Single"/>
    <w:basedOn w:val="TableText8Single"/>
    <w:uiPriority w:val="1"/>
    <w:qFormat/>
    <w:rsid w:val="008F0D5C"/>
    <w:rPr>
      <w:b/>
    </w:rPr>
  </w:style>
  <w:style w:type="paragraph" w:customStyle="1" w:styleId="TableText8Bullet1Double">
    <w:name w:val="*Table Text 8 Bullet #1 Double"/>
    <w:basedOn w:val="TableText10Bullet1Double"/>
    <w:uiPriority w:val="1"/>
    <w:qFormat/>
    <w:rsid w:val="008F0D5C"/>
    <w:rPr>
      <w:sz w:val="16"/>
    </w:rPr>
  </w:style>
  <w:style w:type="paragraph" w:customStyle="1" w:styleId="TableText8Bullet1Single">
    <w:name w:val="*Table Text 8 Bullet #1 Single"/>
    <w:basedOn w:val="TableText10Bullet1Single"/>
    <w:uiPriority w:val="1"/>
    <w:qFormat/>
    <w:rsid w:val="008F0D5C"/>
    <w:rPr>
      <w:sz w:val="16"/>
    </w:rPr>
  </w:style>
  <w:style w:type="paragraph" w:customStyle="1" w:styleId="TableText8Bullet2Double">
    <w:name w:val="*Table Text 8 Bullet #2 Double"/>
    <w:basedOn w:val="TableText10Bullet2Double"/>
    <w:uiPriority w:val="1"/>
    <w:qFormat/>
    <w:rsid w:val="008F0D5C"/>
    <w:rPr>
      <w:sz w:val="16"/>
    </w:rPr>
  </w:style>
  <w:style w:type="paragraph" w:customStyle="1" w:styleId="TableText8Bullet2Single">
    <w:name w:val="*Table Text 8 Bullet #2 Single"/>
    <w:basedOn w:val="TableText10Bullet2Single"/>
    <w:uiPriority w:val="1"/>
    <w:qFormat/>
    <w:rsid w:val="008F0D5C"/>
    <w:pPr>
      <w:tabs>
        <w:tab w:val="clear" w:pos="1440"/>
      </w:tabs>
    </w:pPr>
    <w:rPr>
      <w:sz w:val="16"/>
    </w:rPr>
  </w:style>
  <w:style w:type="paragraph" w:customStyle="1" w:styleId="TableText8Bullet3Double">
    <w:name w:val="*Table Text 8 Bullet #3 Double"/>
    <w:basedOn w:val="TableText10Bullet3Double"/>
    <w:uiPriority w:val="1"/>
    <w:qFormat/>
    <w:rsid w:val="008F0D5C"/>
    <w:rPr>
      <w:sz w:val="16"/>
    </w:rPr>
  </w:style>
  <w:style w:type="paragraph" w:customStyle="1" w:styleId="TableText8Bullet3Single">
    <w:name w:val="*Table Text 8 Bullet #3 Single"/>
    <w:basedOn w:val="TableText10Bullet3Single"/>
    <w:uiPriority w:val="1"/>
    <w:qFormat/>
    <w:rsid w:val="008F0D5C"/>
    <w:rPr>
      <w:sz w:val="16"/>
    </w:rPr>
  </w:style>
  <w:style w:type="paragraph" w:customStyle="1" w:styleId="TableText9BoldSingle">
    <w:name w:val="*Table Text 9 Bold Single"/>
    <w:basedOn w:val="TableText10BoldSingle"/>
    <w:uiPriority w:val="1"/>
    <w:qFormat/>
    <w:rsid w:val="008F0D5C"/>
    <w:rPr>
      <w:sz w:val="18"/>
    </w:rPr>
  </w:style>
  <w:style w:type="paragraph" w:customStyle="1" w:styleId="TableText9Bullet1Double">
    <w:name w:val="*Table Text 9 Bullet #1 Double"/>
    <w:basedOn w:val="TableText10Bullet1Double"/>
    <w:uiPriority w:val="1"/>
    <w:qFormat/>
    <w:rsid w:val="008F0D5C"/>
    <w:rPr>
      <w:sz w:val="18"/>
    </w:rPr>
  </w:style>
  <w:style w:type="paragraph" w:customStyle="1" w:styleId="TableText9Bullet2Double">
    <w:name w:val="*Table Text 9 Bullet #2 Double"/>
    <w:basedOn w:val="TableText10Bullet2Double"/>
    <w:uiPriority w:val="1"/>
    <w:qFormat/>
    <w:rsid w:val="008F0D5C"/>
    <w:rPr>
      <w:sz w:val="18"/>
    </w:rPr>
  </w:style>
  <w:style w:type="paragraph" w:customStyle="1" w:styleId="TableText9Bullet2Single">
    <w:name w:val="*Table Text 9 Bullet #2 Single"/>
    <w:basedOn w:val="TableText10Bullet2Single"/>
    <w:uiPriority w:val="1"/>
    <w:qFormat/>
    <w:rsid w:val="008F0D5C"/>
    <w:pPr>
      <w:tabs>
        <w:tab w:val="clear" w:pos="1440"/>
      </w:tabs>
    </w:pPr>
    <w:rPr>
      <w:sz w:val="18"/>
    </w:rPr>
  </w:style>
  <w:style w:type="paragraph" w:customStyle="1" w:styleId="TableText9Bullet3Double">
    <w:name w:val="*Table Text 9 Bullet #3 Double"/>
    <w:basedOn w:val="TableText10Bullet3Double"/>
    <w:uiPriority w:val="1"/>
    <w:qFormat/>
    <w:rsid w:val="008F0D5C"/>
    <w:rPr>
      <w:sz w:val="18"/>
    </w:rPr>
  </w:style>
  <w:style w:type="paragraph" w:customStyle="1" w:styleId="TableText9Bullet3Single">
    <w:name w:val="*Table Text 9 Bullet #3 Single"/>
    <w:basedOn w:val="TableText10Bullet3Single"/>
    <w:uiPriority w:val="1"/>
    <w:qFormat/>
    <w:rsid w:val="008F0D5C"/>
    <w:rPr>
      <w:sz w:val="18"/>
    </w:rPr>
  </w:style>
  <w:style w:type="paragraph" w:customStyle="1" w:styleId="TableText9Double">
    <w:name w:val="*Table Text 9 Double"/>
    <w:basedOn w:val="TableText10Double"/>
    <w:uiPriority w:val="1"/>
    <w:qFormat/>
    <w:rsid w:val="008F0D5C"/>
    <w:rPr>
      <w:sz w:val="18"/>
    </w:rPr>
  </w:style>
  <w:style w:type="paragraph" w:customStyle="1" w:styleId="BodySingle0">
    <w:name w:val="~Body Single"/>
    <w:basedOn w:val="BodySingle"/>
    <w:uiPriority w:val="1"/>
    <w:rsid w:val="008F0D5C"/>
    <w:rPr>
      <w:rFonts w:ascii="Arial Narrow" w:hAnsi="Arial Narrow"/>
      <w:sz w:val="20"/>
    </w:rPr>
  </w:style>
  <w:style w:type="paragraph" w:customStyle="1" w:styleId="BodyText0">
    <w:name w:val="~Body Text"/>
    <w:basedOn w:val="BodyText"/>
    <w:uiPriority w:val="1"/>
    <w:rsid w:val="008F0D5C"/>
    <w:rPr>
      <w:rFonts w:ascii="Arial Narrow" w:hAnsi="Arial Narrow"/>
      <w:sz w:val="20"/>
    </w:rPr>
  </w:style>
  <w:style w:type="paragraph" w:customStyle="1" w:styleId="Bullet1Double0">
    <w:name w:val="~Bullet #1 Double"/>
    <w:basedOn w:val="Bullet1Double"/>
    <w:uiPriority w:val="1"/>
    <w:rsid w:val="008F0D5C"/>
    <w:pPr>
      <w:numPr>
        <w:numId w:val="49"/>
      </w:numPr>
      <w:tabs>
        <w:tab w:val="clear" w:pos="288"/>
      </w:tabs>
      <w:ind w:left="288" w:hanging="288"/>
    </w:pPr>
    <w:rPr>
      <w:rFonts w:ascii="Arial Narrow" w:hAnsi="Arial Narrow"/>
      <w:sz w:val="20"/>
    </w:rPr>
  </w:style>
  <w:style w:type="paragraph" w:customStyle="1" w:styleId="Bullet1Single">
    <w:name w:val="~Bullet #1 Single"/>
    <w:basedOn w:val="BodyText"/>
    <w:uiPriority w:val="1"/>
    <w:rsid w:val="008F0D5C"/>
    <w:pPr>
      <w:numPr>
        <w:numId w:val="46"/>
      </w:numPr>
      <w:spacing w:after="0"/>
      <w:ind w:left="288" w:hanging="288"/>
    </w:pPr>
    <w:rPr>
      <w:rFonts w:ascii="Arial Narrow" w:hAnsi="Arial Narrow"/>
      <w:sz w:val="20"/>
    </w:rPr>
  </w:style>
  <w:style w:type="paragraph" w:customStyle="1" w:styleId="Bullet1SubtextDouble0">
    <w:name w:val="~Bullet #1 Subtext Double"/>
    <w:basedOn w:val="Bullet1SubtextDouble"/>
    <w:uiPriority w:val="1"/>
    <w:rsid w:val="008F0D5C"/>
    <w:rPr>
      <w:rFonts w:ascii="Arial Narrow" w:hAnsi="Arial Narrow"/>
      <w:sz w:val="20"/>
    </w:rPr>
  </w:style>
  <w:style w:type="paragraph" w:customStyle="1" w:styleId="Bullet1SubtextSingle0">
    <w:name w:val="~Bullet #1 Subtext Single"/>
    <w:basedOn w:val="Bullet1SubtextDouble0"/>
    <w:uiPriority w:val="1"/>
    <w:qFormat/>
    <w:rsid w:val="008F0D5C"/>
    <w:pPr>
      <w:spacing w:after="0"/>
    </w:pPr>
  </w:style>
  <w:style w:type="paragraph" w:customStyle="1" w:styleId="Bullet2Double">
    <w:name w:val="~Bullet #2 Double"/>
    <w:basedOn w:val="Bullet2Double0"/>
    <w:uiPriority w:val="1"/>
    <w:rsid w:val="008F0D5C"/>
    <w:pPr>
      <w:numPr>
        <w:numId w:val="7"/>
      </w:numPr>
      <w:tabs>
        <w:tab w:val="clear" w:pos="360"/>
        <w:tab w:val="clear" w:pos="576"/>
      </w:tabs>
      <w:ind w:left="576" w:hanging="288"/>
    </w:pPr>
    <w:rPr>
      <w:rFonts w:ascii="Arial Narrow" w:hAnsi="Arial Narrow"/>
      <w:sz w:val="20"/>
    </w:rPr>
  </w:style>
  <w:style w:type="paragraph" w:customStyle="1" w:styleId="Bullet2Single">
    <w:name w:val="~Bullet #2 Single"/>
    <w:basedOn w:val="Bullet2Double"/>
    <w:uiPriority w:val="1"/>
    <w:rsid w:val="008F0D5C"/>
    <w:pPr>
      <w:numPr>
        <w:numId w:val="47"/>
      </w:numPr>
      <w:spacing w:after="0"/>
      <w:ind w:left="576" w:hanging="288"/>
    </w:pPr>
  </w:style>
  <w:style w:type="paragraph" w:customStyle="1" w:styleId="Bullet2SubtextDouble">
    <w:name w:val="~Bullet #2 Subtext Double"/>
    <w:basedOn w:val="Bullet2SubtextDouble0"/>
    <w:uiPriority w:val="1"/>
    <w:rsid w:val="008F0D5C"/>
    <w:pPr>
      <w:numPr>
        <w:numId w:val="32"/>
      </w:numPr>
      <w:tabs>
        <w:tab w:val="left" w:pos="720"/>
      </w:tabs>
      <w:ind w:left="576" w:firstLine="0"/>
    </w:pPr>
    <w:rPr>
      <w:rFonts w:ascii="Arial Narrow" w:hAnsi="Arial Narrow"/>
      <w:sz w:val="20"/>
    </w:rPr>
  </w:style>
  <w:style w:type="paragraph" w:customStyle="1" w:styleId="Bullet2SubtextSingle">
    <w:name w:val="~Bullet #2 Subtext Single"/>
    <w:basedOn w:val="Bullet2SubtextSingle0"/>
    <w:uiPriority w:val="1"/>
    <w:rsid w:val="008F0D5C"/>
    <w:pPr>
      <w:numPr>
        <w:numId w:val="33"/>
      </w:numPr>
      <w:tabs>
        <w:tab w:val="left" w:pos="720"/>
      </w:tabs>
      <w:ind w:left="576" w:firstLine="0"/>
    </w:pPr>
    <w:rPr>
      <w:rFonts w:ascii="Arial Narrow" w:hAnsi="Arial Narrow"/>
      <w:sz w:val="20"/>
    </w:rPr>
  </w:style>
  <w:style w:type="paragraph" w:customStyle="1" w:styleId="Bullet3Double">
    <w:name w:val="~Bullet #3 Double"/>
    <w:basedOn w:val="Bullet3Double0"/>
    <w:uiPriority w:val="1"/>
    <w:rsid w:val="008F0D5C"/>
    <w:pPr>
      <w:numPr>
        <w:numId w:val="8"/>
      </w:numPr>
      <w:tabs>
        <w:tab w:val="clear" w:pos="864"/>
      </w:tabs>
      <w:ind w:left="864" w:hanging="288"/>
    </w:pPr>
    <w:rPr>
      <w:rFonts w:ascii="Arial Narrow" w:hAnsi="Arial Narrow"/>
      <w:sz w:val="20"/>
    </w:rPr>
  </w:style>
  <w:style w:type="paragraph" w:customStyle="1" w:styleId="Bullet3Single0">
    <w:name w:val="~Bullet #3 Single"/>
    <w:basedOn w:val="Bullet3Single"/>
    <w:uiPriority w:val="1"/>
    <w:rsid w:val="008F0D5C"/>
    <w:pPr>
      <w:numPr>
        <w:numId w:val="48"/>
      </w:numPr>
      <w:tabs>
        <w:tab w:val="clear" w:pos="864"/>
      </w:tabs>
      <w:ind w:left="864" w:hanging="288"/>
    </w:pPr>
    <w:rPr>
      <w:rFonts w:ascii="Arial Narrow" w:hAnsi="Arial Narrow"/>
      <w:sz w:val="20"/>
    </w:rPr>
  </w:style>
  <w:style w:type="paragraph" w:customStyle="1" w:styleId="Bullet3SubtextDouble">
    <w:name w:val="~Bullet #3 Subtext Double"/>
    <w:basedOn w:val="Bullet3SubtextDouble0"/>
    <w:uiPriority w:val="1"/>
    <w:rsid w:val="008F0D5C"/>
    <w:pPr>
      <w:numPr>
        <w:numId w:val="34"/>
      </w:numPr>
      <w:ind w:left="864" w:firstLine="0"/>
    </w:pPr>
    <w:rPr>
      <w:rFonts w:ascii="Arial Narrow" w:hAnsi="Arial Narrow"/>
      <w:sz w:val="20"/>
    </w:rPr>
  </w:style>
  <w:style w:type="paragraph" w:customStyle="1" w:styleId="Bullet3SubtextSingle">
    <w:name w:val="~Bullet #3 Subtext Single"/>
    <w:basedOn w:val="Bullet3SubtextSingle0"/>
    <w:uiPriority w:val="1"/>
    <w:rsid w:val="008F0D5C"/>
    <w:pPr>
      <w:numPr>
        <w:numId w:val="35"/>
      </w:numPr>
      <w:ind w:left="864" w:firstLine="0"/>
    </w:pPr>
    <w:rPr>
      <w:rFonts w:ascii="Arial Narrow" w:hAnsi="Arial Narrow"/>
      <w:sz w:val="20"/>
    </w:rPr>
  </w:style>
  <w:style w:type="numbering" w:styleId="111111">
    <w:name w:val="Outline List 2"/>
    <w:basedOn w:val="NoList"/>
    <w:uiPriority w:val="99"/>
    <w:semiHidden/>
    <w:unhideWhenUsed/>
    <w:rsid w:val="008F0D5C"/>
    <w:pPr>
      <w:numPr>
        <w:numId w:val="9"/>
      </w:numPr>
    </w:pPr>
  </w:style>
  <w:style w:type="numbering" w:styleId="1ai">
    <w:name w:val="Outline List 1"/>
    <w:basedOn w:val="NoList"/>
    <w:uiPriority w:val="99"/>
    <w:semiHidden/>
    <w:unhideWhenUsed/>
    <w:rsid w:val="008F0D5C"/>
    <w:pPr>
      <w:numPr>
        <w:numId w:val="10"/>
      </w:numPr>
    </w:pPr>
  </w:style>
  <w:style w:type="numbering" w:styleId="ArticleSection">
    <w:name w:val="Outline List 3"/>
    <w:basedOn w:val="NoList"/>
    <w:uiPriority w:val="99"/>
    <w:semiHidden/>
    <w:unhideWhenUsed/>
    <w:rsid w:val="008F0D5C"/>
    <w:pPr>
      <w:numPr>
        <w:numId w:val="11"/>
      </w:numPr>
    </w:pPr>
  </w:style>
  <w:style w:type="paragraph" w:styleId="BalloonText">
    <w:name w:val="Balloon Text"/>
    <w:basedOn w:val="Normal"/>
    <w:link w:val="BalloonTextChar"/>
    <w:semiHidden/>
    <w:rsid w:val="008F0D5C"/>
    <w:rPr>
      <w:rFonts w:ascii="Tahoma" w:hAnsi="Tahoma" w:cs="Tahoma"/>
      <w:sz w:val="16"/>
      <w:szCs w:val="16"/>
    </w:rPr>
  </w:style>
  <w:style w:type="character" w:customStyle="1" w:styleId="BalloonTextChar">
    <w:name w:val="Balloon Text Char"/>
    <w:basedOn w:val="DefaultParagraphFont"/>
    <w:link w:val="BalloonText"/>
    <w:semiHidden/>
    <w:rsid w:val="008F0D5C"/>
    <w:rPr>
      <w:rFonts w:ascii="Tahoma" w:eastAsia="PMingLiU" w:hAnsi="Tahoma" w:cs="Tahoma"/>
      <w:color w:val="000000"/>
      <w:sz w:val="16"/>
      <w:szCs w:val="16"/>
      <w:lang w:bidi="ar-DZ"/>
    </w:rPr>
  </w:style>
  <w:style w:type="paragraph" w:styleId="Bibliography">
    <w:name w:val="Bibliography"/>
    <w:basedOn w:val="Normal"/>
    <w:next w:val="Normal"/>
    <w:uiPriority w:val="37"/>
    <w:semiHidden/>
    <w:unhideWhenUsed/>
    <w:rsid w:val="008F0D5C"/>
  </w:style>
  <w:style w:type="paragraph" w:styleId="BlockText">
    <w:name w:val="Block Text"/>
    <w:basedOn w:val="Normal"/>
    <w:uiPriority w:val="99"/>
    <w:semiHidden/>
    <w:unhideWhenUsed/>
    <w:rsid w:val="008F0D5C"/>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1">
    <w:name w:val="Body Text"/>
    <w:basedOn w:val="Normal"/>
    <w:link w:val="BodyTextChar0"/>
    <w:uiPriority w:val="99"/>
    <w:semiHidden/>
    <w:unhideWhenUsed/>
    <w:rsid w:val="008F0D5C"/>
    <w:pPr>
      <w:spacing w:after="120"/>
    </w:pPr>
  </w:style>
  <w:style w:type="character" w:customStyle="1" w:styleId="BodyTextChar0">
    <w:name w:val="Body Text Char"/>
    <w:basedOn w:val="DefaultParagraphFont"/>
    <w:link w:val="BodyText1"/>
    <w:uiPriority w:val="99"/>
    <w:semiHidden/>
    <w:rsid w:val="008F0D5C"/>
    <w:rPr>
      <w:rFonts w:ascii="Arial" w:eastAsia="PMingLiU" w:hAnsi="Arial" w:cs="Times New Roman"/>
      <w:color w:val="000000"/>
      <w:szCs w:val="20"/>
      <w:lang w:bidi="ar-DZ"/>
    </w:rPr>
  </w:style>
  <w:style w:type="paragraph" w:styleId="BodyText2">
    <w:name w:val="Body Text 2"/>
    <w:basedOn w:val="Normal"/>
    <w:link w:val="BodyText2Char"/>
    <w:uiPriority w:val="99"/>
    <w:semiHidden/>
    <w:unhideWhenUsed/>
    <w:rsid w:val="008F0D5C"/>
    <w:pPr>
      <w:spacing w:after="120" w:line="480" w:lineRule="auto"/>
    </w:pPr>
  </w:style>
  <w:style w:type="character" w:customStyle="1" w:styleId="BodyText2Char">
    <w:name w:val="Body Text 2 Char"/>
    <w:basedOn w:val="DefaultParagraphFont"/>
    <w:link w:val="BodyText2"/>
    <w:uiPriority w:val="99"/>
    <w:semiHidden/>
    <w:rsid w:val="008F0D5C"/>
    <w:rPr>
      <w:rFonts w:ascii="Arial" w:eastAsia="PMingLiU" w:hAnsi="Arial" w:cs="Times New Roman"/>
      <w:color w:val="000000"/>
      <w:szCs w:val="20"/>
      <w:lang w:bidi="ar-DZ"/>
    </w:rPr>
  </w:style>
  <w:style w:type="paragraph" w:styleId="BodyText3">
    <w:name w:val="Body Text 3"/>
    <w:basedOn w:val="Normal"/>
    <w:link w:val="BodyText3Char"/>
    <w:uiPriority w:val="99"/>
    <w:semiHidden/>
    <w:unhideWhenUsed/>
    <w:rsid w:val="008F0D5C"/>
    <w:pPr>
      <w:spacing w:after="120"/>
    </w:pPr>
    <w:rPr>
      <w:sz w:val="16"/>
      <w:szCs w:val="16"/>
    </w:rPr>
  </w:style>
  <w:style w:type="character" w:customStyle="1" w:styleId="BodyText3Char">
    <w:name w:val="Body Text 3 Char"/>
    <w:basedOn w:val="DefaultParagraphFont"/>
    <w:link w:val="BodyText3"/>
    <w:uiPriority w:val="99"/>
    <w:semiHidden/>
    <w:rsid w:val="008F0D5C"/>
    <w:rPr>
      <w:rFonts w:ascii="Arial" w:eastAsia="PMingLiU" w:hAnsi="Arial" w:cs="Times New Roman"/>
      <w:color w:val="000000"/>
      <w:sz w:val="16"/>
      <w:szCs w:val="16"/>
      <w:lang w:bidi="ar-DZ"/>
    </w:rPr>
  </w:style>
  <w:style w:type="paragraph" w:styleId="BodyTextFirstIndent">
    <w:name w:val="Body Text First Indent"/>
    <w:basedOn w:val="BodyText1"/>
    <w:link w:val="BodyTextFirstIndentChar"/>
    <w:uiPriority w:val="99"/>
    <w:semiHidden/>
    <w:unhideWhenUsed/>
    <w:rsid w:val="008F0D5C"/>
    <w:pPr>
      <w:spacing w:after="0"/>
      <w:ind w:firstLine="360"/>
    </w:pPr>
  </w:style>
  <w:style w:type="character" w:customStyle="1" w:styleId="BodyTextFirstIndentChar">
    <w:name w:val="Body Text First Indent Char"/>
    <w:basedOn w:val="BodyTextChar0"/>
    <w:link w:val="BodyTextFirstIndent"/>
    <w:uiPriority w:val="99"/>
    <w:semiHidden/>
    <w:rsid w:val="008F0D5C"/>
    <w:rPr>
      <w:rFonts w:ascii="Arial" w:eastAsia="PMingLiU" w:hAnsi="Arial" w:cs="Times New Roman"/>
      <w:color w:val="000000"/>
      <w:szCs w:val="20"/>
      <w:lang w:bidi="ar-DZ"/>
    </w:rPr>
  </w:style>
  <w:style w:type="paragraph" w:styleId="BodyTextIndent">
    <w:name w:val="Body Text Indent"/>
    <w:basedOn w:val="Normal"/>
    <w:link w:val="BodyTextIndentChar"/>
    <w:uiPriority w:val="99"/>
    <w:semiHidden/>
    <w:unhideWhenUsed/>
    <w:rsid w:val="008F0D5C"/>
    <w:pPr>
      <w:spacing w:after="120"/>
      <w:ind w:left="283"/>
    </w:pPr>
  </w:style>
  <w:style w:type="character" w:customStyle="1" w:styleId="BodyTextIndentChar">
    <w:name w:val="Body Text Indent Char"/>
    <w:basedOn w:val="DefaultParagraphFont"/>
    <w:link w:val="BodyTextIndent"/>
    <w:uiPriority w:val="99"/>
    <w:semiHidden/>
    <w:rsid w:val="008F0D5C"/>
    <w:rPr>
      <w:rFonts w:ascii="Arial" w:eastAsia="PMingLiU" w:hAnsi="Arial" w:cs="Times New Roman"/>
      <w:color w:val="000000"/>
      <w:szCs w:val="20"/>
      <w:lang w:bidi="ar-DZ"/>
    </w:rPr>
  </w:style>
  <w:style w:type="paragraph" w:styleId="BodyTextFirstIndent2">
    <w:name w:val="Body Text First Indent 2"/>
    <w:basedOn w:val="BodyTextIndent"/>
    <w:link w:val="BodyTextFirstIndent2Char"/>
    <w:uiPriority w:val="99"/>
    <w:semiHidden/>
    <w:unhideWhenUsed/>
    <w:rsid w:val="008F0D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8F0D5C"/>
    <w:rPr>
      <w:rFonts w:ascii="Arial" w:eastAsia="PMingLiU" w:hAnsi="Arial" w:cs="Times New Roman"/>
      <w:color w:val="000000"/>
      <w:szCs w:val="20"/>
      <w:lang w:bidi="ar-DZ"/>
    </w:rPr>
  </w:style>
  <w:style w:type="paragraph" w:styleId="BodyTextIndent2">
    <w:name w:val="Body Text Indent 2"/>
    <w:basedOn w:val="Normal"/>
    <w:link w:val="BodyTextIndent2Char"/>
    <w:uiPriority w:val="99"/>
    <w:semiHidden/>
    <w:unhideWhenUsed/>
    <w:rsid w:val="008F0D5C"/>
    <w:pPr>
      <w:spacing w:after="120" w:line="480" w:lineRule="auto"/>
      <w:ind w:left="283"/>
    </w:pPr>
  </w:style>
  <w:style w:type="character" w:customStyle="1" w:styleId="BodyTextIndent2Char">
    <w:name w:val="Body Text Indent 2 Char"/>
    <w:basedOn w:val="DefaultParagraphFont"/>
    <w:link w:val="BodyTextIndent2"/>
    <w:uiPriority w:val="99"/>
    <w:semiHidden/>
    <w:rsid w:val="008F0D5C"/>
    <w:rPr>
      <w:rFonts w:ascii="Arial" w:eastAsia="PMingLiU" w:hAnsi="Arial" w:cs="Times New Roman"/>
      <w:color w:val="000000"/>
      <w:szCs w:val="20"/>
      <w:lang w:bidi="ar-DZ"/>
    </w:rPr>
  </w:style>
  <w:style w:type="paragraph" w:styleId="BodyTextIndent3">
    <w:name w:val="Body Text Indent 3"/>
    <w:basedOn w:val="Normal"/>
    <w:link w:val="BodyTextIndent3Char"/>
    <w:uiPriority w:val="99"/>
    <w:semiHidden/>
    <w:unhideWhenUsed/>
    <w:rsid w:val="008F0D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0D5C"/>
    <w:rPr>
      <w:rFonts w:ascii="Arial" w:eastAsia="PMingLiU" w:hAnsi="Arial" w:cs="Times New Roman"/>
      <w:color w:val="000000"/>
      <w:sz w:val="16"/>
      <w:szCs w:val="16"/>
      <w:lang w:bidi="ar-DZ"/>
    </w:rPr>
  </w:style>
  <w:style w:type="character" w:styleId="BookTitle">
    <w:name w:val="Book Title"/>
    <w:basedOn w:val="DefaultParagraphFont"/>
    <w:uiPriority w:val="33"/>
    <w:qFormat/>
    <w:rsid w:val="008F0D5C"/>
    <w:rPr>
      <w:b/>
      <w:bCs/>
      <w:i/>
      <w:iCs/>
      <w:spacing w:val="5"/>
      <w:lang w:val="en-US" w:bidi="ar-DZ"/>
    </w:rPr>
  </w:style>
  <w:style w:type="paragraph" w:styleId="Caption">
    <w:name w:val="caption"/>
    <w:basedOn w:val="BodyText"/>
    <w:next w:val="BodyText"/>
    <w:uiPriority w:val="1"/>
    <w:qFormat/>
    <w:rsid w:val="008F0D5C"/>
    <w:pPr>
      <w:jc w:val="center"/>
    </w:pPr>
    <w:rPr>
      <w:b/>
      <w:bCs/>
      <w:i/>
      <w:iCs/>
      <w:sz w:val="18"/>
      <w:szCs w:val="18"/>
    </w:rPr>
  </w:style>
  <w:style w:type="paragraph" w:styleId="Closing">
    <w:name w:val="Closing"/>
    <w:basedOn w:val="Normal"/>
    <w:link w:val="ClosingChar"/>
    <w:uiPriority w:val="99"/>
    <w:semiHidden/>
    <w:unhideWhenUsed/>
    <w:rsid w:val="008F0D5C"/>
    <w:pPr>
      <w:ind w:left="4252"/>
    </w:pPr>
  </w:style>
  <w:style w:type="character" w:customStyle="1" w:styleId="ClosingChar">
    <w:name w:val="Closing Char"/>
    <w:basedOn w:val="DefaultParagraphFont"/>
    <w:link w:val="Closing"/>
    <w:uiPriority w:val="99"/>
    <w:semiHidden/>
    <w:rsid w:val="008F0D5C"/>
    <w:rPr>
      <w:rFonts w:ascii="Arial" w:eastAsia="PMingLiU" w:hAnsi="Arial" w:cs="Times New Roman"/>
      <w:color w:val="000000"/>
      <w:szCs w:val="20"/>
      <w:lang w:bidi="ar-DZ"/>
    </w:rPr>
  </w:style>
  <w:style w:type="table" w:styleId="ColorfulGrid">
    <w:name w:val="Colorful Grid"/>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8F0D5C"/>
  </w:style>
  <w:style w:type="character" w:customStyle="1" w:styleId="DateChar">
    <w:name w:val="Date Char"/>
    <w:basedOn w:val="DefaultParagraphFont"/>
    <w:link w:val="Date"/>
    <w:uiPriority w:val="99"/>
    <w:semiHidden/>
    <w:rsid w:val="008F0D5C"/>
    <w:rPr>
      <w:rFonts w:ascii="Arial" w:eastAsia="PMingLiU" w:hAnsi="Arial" w:cs="Times New Roman"/>
      <w:color w:val="000000"/>
      <w:szCs w:val="20"/>
      <w:lang w:bidi="ar-DZ"/>
    </w:rPr>
  </w:style>
  <w:style w:type="paragraph" w:styleId="DocumentMap">
    <w:name w:val="Document Map"/>
    <w:basedOn w:val="Normal"/>
    <w:link w:val="DocumentMapChar"/>
    <w:semiHidden/>
    <w:rsid w:val="008F0D5C"/>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8F0D5C"/>
    <w:rPr>
      <w:rFonts w:ascii="Tahoma" w:eastAsia="PMingLiU" w:hAnsi="Tahoma" w:cs="Tahoma"/>
      <w:color w:val="000000"/>
      <w:sz w:val="20"/>
      <w:szCs w:val="20"/>
      <w:shd w:val="clear" w:color="auto" w:fill="000080"/>
      <w:lang w:bidi="ar-DZ"/>
    </w:rPr>
  </w:style>
  <w:style w:type="paragraph" w:styleId="E-mailSignature">
    <w:name w:val="E-mail Signature"/>
    <w:basedOn w:val="Normal"/>
    <w:link w:val="E-mailSignatureChar"/>
    <w:uiPriority w:val="99"/>
    <w:semiHidden/>
    <w:unhideWhenUsed/>
    <w:rsid w:val="008F0D5C"/>
  </w:style>
  <w:style w:type="character" w:customStyle="1" w:styleId="E-mailSignatureChar">
    <w:name w:val="E-mail Signature Char"/>
    <w:basedOn w:val="DefaultParagraphFont"/>
    <w:link w:val="E-mailSignature"/>
    <w:uiPriority w:val="99"/>
    <w:semiHidden/>
    <w:rsid w:val="008F0D5C"/>
    <w:rPr>
      <w:rFonts w:ascii="Arial" w:eastAsia="PMingLiU" w:hAnsi="Arial" w:cs="Times New Roman"/>
      <w:color w:val="000000"/>
      <w:szCs w:val="20"/>
      <w:lang w:bidi="ar-DZ"/>
    </w:rPr>
  </w:style>
  <w:style w:type="character" w:styleId="Emphasis">
    <w:name w:val="Emphasis"/>
    <w:basedOn w:val="DefaultParagraphFont"/>
    <w:uiPriority w:val="20"/>
    <w:qFormat/>
    <w:rsid w:val="008F0D5C"/>
    <w:rPr>
      <w:i/>
      <w:iCs/>
      <w:lang w:val="en-US" w:bidi="ar-DZ"/>
    </w:rPr>
  </w:style>
  <w:style w:type="character" w:styleId="EndnoteReference">
    <w:name w:val="endnote reference"/>
    <w:semiHidden/>
    <w:rsid w:val="008F0D5C"/>
    <w:rPr>
      <w:vertAlign w:val="superscript"/>
      <w:lang w:val="en-US" w:bidi="ar-DZ"/>
    </w:rPr>
  </w:style>
  <w:style w:type="paragraph" w:styleId="EndnoteText">
    <w:name w:val="endnote text"/>
    <w:basedOn w:val="Normal"/>
    <w:link w:val="EndnoteTextChar"/>
    <w:semiHidden/>
    <w:rsid w:val="008F0D5C"/>
    <w:rPr>
      <w:sz w:val="20"/>
    </w:rPr>
  </w:style>
  <w:style w:type="character" w:customStyle="1" w:styleId="EndnoteTextChar">
    <w:name w:val="Endnote Text Char"/>
    <w:basedOn w:val="DefaultParagraphFont"/>
    <w:link w:val="EndnoteText"/>
    <w:semiHidden/>
    <w:rsid w:val="008F0D5C"/>
    <w:rPr>
      <w:rFonts w:ascii="Arial" w:eastAsia="PMingLiU" w:hAnsi="Arial" w:cs="Times New Roman"/>
      <w:color w:val="000000"/>
      <w:sz w:val="20"/>
      <w:szCs w:val="20"/>
      <w:lang w:bidi="ar-DZ"/>
    </w:rPr>
  </w:style>
  <w:style w:type="paragraph" w:styleId="EnvelopeAddress">
    <w:name w:val="envelope address"/>
    <w:basedOn w:val="Normal"/>
    <w:uiPriority w:val="99"/>
    <w:semiHidden/>
    <w:unhideWhenUsed/>
    <w:rsid w:val="008F0D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F0D5C"/>
    <w:rPr>
      <w:rFonts w:asciiTheme="majorHAnsi" w:eastAsiaTheme="majorEastAsia" w:hAnsiTheme="majorHAnsi" w:cstheme="majorBidi"/>
      <w:sz w:val="20"/>
    </w:rPr>
  </w:style>
  <w:style w:type="character" w:styleId="FollowedHyperlink">
    <w:name w:val="FollowedHyperlink"/>
    <w:semiHidden/>
    <w:rsid w:val="008F0D5C"/>
    <w:rPr>
      <w:rFonts w:ascii="Arial" w:hAnsi="Arial"/>
      <w:color w:val="800080"/>
      <w:sz w:val="22"/>
      <w:u w:val="single"/>
      <w:lang w:val="en-US" w:bidi="ar-DZ"/>
    </w:rPr>
  </w:style>
  <w:style w:type="character" w:styleId="FootnoteReference">
    <w:name w:val="footnote reference"/>
    <w:semiHidden/>
    <w:rsid w:val="008F0D5C"/>
    <w:rPr>
      <w:vertAlign w:val="superscript"/>
      <w:lang w:val="en-US" w:bidi="ar-DZ"/>
    </w:rPr>
  </w:style>
  <w:style w:type="paragraph" w:styleId="FootnoteText">
    <w:name w:val="footnote text"/>
    <w:basedOn w:val="Normal"/>
    <w:link w:val="FootnoteTextChar"/>
    <w:semiHidden/>
    <w:rsid w:val="008F0D5C"/>
    <w:rPr>
      <w:sz w:val="20"/>
    </w:rPr>
  </w:style>
  <w:style w:type="character" w:customStyle="1" w:styleId="FootnoteTextChar">
    <w:name w:val="Footnote Text Char"/>
    <w:basedOn w:val="DefaultParagraphFont"/>
    <w:link w:val="FootnoteText"/>
    <w:semiHidden/>
    <w:rsid w:val="008F0D5C"/>
    <w:rPr>
      <w:rFonts w:ascii="Arial" w:eastAsia="PMingLiU" w:hAnsi="Arial" w:cs="Times New Roman"/>
      <w:color w:val="000000"/>
      <w:sz w:val="20"/>
      <w:szCs w:val="20"/>
      <w:lang w:bidi="ar-DZ"/>
    </w:rPr>
  </w:style>
  <w:style w:type="table" w:styleId="GridTable1Light">
    <w:name w:val="Grid Table 1 Light"/>
    <w:basedOn w:val="TableNormal"/>
    <w:uiPriority w:val="46"/>
    <w:rsid w:val="008F0D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F0D5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F0D5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F0D5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F0D5C"/>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F0D5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F0D5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F0D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F0D5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8F0D5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8F0D5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8F0D5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8F0D5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8F0D5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8F0D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F0D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8F0D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8F0D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8F0D5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8F0D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8F0D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8F0D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F0D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8F0D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8F0D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8F0D5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8F0D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8F0D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8F0D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F0D5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8F0D5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8F0D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8F0D5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8F0D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8F0D5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8F0D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F0D5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8F0D5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8F0D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8F0D5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8F0D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8F0D5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customStyle="1" w:styleId="BulletSubnumber">
    <w:name w:val="*Bullet Subnumber"/>
    <w:basedOn w:val="BodyText"/>
    <w:uiPriority w:val="1"/>
    <w:rsid w:val="008F0D5C"/>
    <w:pPr>
      <w:tabs>
        <w:tab w:val="left" w:pos="720"/>
      </w:tabs>
      <w:ind w:left="720" w:hanging="360"/>
    </w:pPr>
  </w:style>
  <w:style w:type="character" w:styleId="Hyperlink">
    <w:name w:val="Hyperlink"/>
    <w:uiPriority w:val="99"/>
    <w:rsid w:val="008F0D5C"/>
    <w:rPr>
      <w:rFonts w:ascii="Arial" w:hAnsi="Arial"/>
      <w:color w:val="2B3A44"/>
      <w:sz w:val="22"/>
      <w:szCs w:val="18"/>
      <w:u w:val="single"/>
      <w:lang w:val="en-US" w:bidi="ar-DZ"/>
    </w:rPr>
  </w:style>
  <w:style w:type="paragraph" w:styleId="Index1">
    <w:name w:val="index 1"/>
    <w:basedOn w:val="Normal"/>
    <w:next w:val="Normal"/>
    <w:autoRedefine/>
    <w:semiHidden/>
    <w:rsid w:val="008F0D5C"/>
    <w:pPr>
      <w:ind w:left="220" w:hanging="220"/>
    </w:pPr>
  </w:style>
  <w:style w:type="paragraph" w:styleId="Index2">
    <w:name w:val="index 2"/>
    <w:basedOn w:val="Normal"/>
    <w:next w:val="Normal"/>
    <w:autoRedefine/>
    <w:semiHidden/>
    <w:rsid w:val="008F0D5C"/>
    <w:pPr>
      <w:ind w:left="440" w:hanging="220"/>
    </w:pPr>
  </w:style>
  <w:style w:type="paragraph" w:styleId="Index3">
    <w:name w:val="index 3"/>
    <w:basedOn w:val="Normal"/>
    <w:next w:val="Normal"/>
    <w:autoRedefine/>
    <w:semiHidden/>
    <w:rsid w:val="008F0D5C"/>
    <w:pPr>
      <w:ind w:left="660" w:hanging="220"/>
    </w:pPr>
  </w:style>
  <w:style w:type="paragraph" w:styleId="Index4">
    <w:name w:val="index 4"/>
    <w:basedOn w:val="Normal"/>
    <w:next w:val="Normal"/>
    <w:autoRedefine/>
    <w:semiHidden/>
    <w:rsid w:val="008F0D5C"/>
    <w:pPr>
      <w:ind w:left="880" w:hanging="220"/>
    </w:pPr>
  </w:style>
  <w:style w:type="paragraph" w:styleId="Index5">
    <w:name w:val="index 5"/>
    <w:basedOn w:val="Normal"/>
    <w:next w:val="Normal"/>
    <w:autoRedefine/>
    <w:semiHidden/>
    <w:rsid w:val="008F0D5C"/>
    <w:pPr>
      <w:numPr>
        <w:numId w:val="12"/>
      </w:numPr>
    </w:pPr>
  </w:style>
  <w:style w:type="paragraph" w:styleId="Index6">
    <w:name w:val="index 6"/>
    <w:basedOn w:val="Normal"/>
    <w:next w:val="Normal"/>
    <w:autoRedefine/>
    <w:semiHidden/>
    <w:rsid w:val="008F0D5C"/>
    <w:pPr>
      <w:ind w:left="1320" w:hanging="220"/>
    </w:pPr>
  </w:style>
  <w:style w:type="paragraph" w:styleId="Index7">
    <w:name w:val="index 7"/>
    <w:basedOn w:val="Normal"/>
    <w:next w:val="Normal"/>
    <w:autoRedefine/>
    <w:semiHidden/>
    <w:rsid w:val="008F0D5C"/>
    <w:pPr>
      <w:ind w:left="1540" w:hanging="220"/>
    </w:pPr>
  </w:style>
  <w:style w:type="paragraph" w:styleId="Index8">
    <w:name w:val="index 8"/>
    <w:basedOn w:val="Normal"/>
    <w:next w:val="Normal"/>
    <w:autoRedefine/>
    <w:semiHidden/>
    <w:rsid w:val="008F0D5C"/>
    <w:pPr>
      <w:ind w:left="1760" w:hanging="220"/>
    </w:pPr>
  </w:style>
  <w:style w:type="paragraph" w:styleId="Index9">
    <w:name w:val="index 9"/>
    <w:basedOn w:val="Normal"/>
    <w:next w:val="Normal"/>
    <w:autoRedefine/>
    <w:semiHidden/>
    <w:rsid w:val="008F0D5C"/>
    <w:pPr>
      <w:ind w:left="1980" w:hanging="220"/>
    </w:pPr>
  </w:style>
  <w:style w:type="paragraph" w:styleId="IndexHeading">
    <w:name w:val="index heading"/>
    <w:basedOn w:val="Normal"/>
    <w:next w:val="Index1"/>
    <w:semiHidden/>
    <w:rsid w:val="008F0D5C"/>
    <w:rPr>
      <w:rFonts w:cs="Arial"/>
      <w:b/>
      <w:bCs/>
    </w:rPr>
  </w:style>
  <w:style w:type="character" w:styleId="IntenseEmphasis">
    <w:name w:val="Intense Emphasis"/>
    <w:basedOn w:val="DefaultParagraphFont"/>
    <w:uiPriority w:val="21"/>
    <w:qFormat/>
    <w:rsid w:val="008F0D5C"/>
    <w:rPr>
      <w:i/>
      <w:iCs/>
      <w:color w:val="4472C4" w:themeColor="accent1"/>
      <w:lang w:val="en-US" w:bidi="ar-DZ"/>
    </w:rPr>
  </w:style>
  <w:style w:type="paragraph" w:styleId="IntenseQuote">
    <w:name w:val="Intense Quote"/>
    <w:basedOn w:val="Normal"/>
    <w:next w:val="Normal"/>
    <w:link w:val="IntenseQuoteChar"/>
    <w:uiPriority w:val="30"/>
    <w:qFormat/>
    <w:rsid w:val="008F0D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F0D5C"/>
    <w:rPr>
      <w:rFonts w:ascii="Arial" w:eastAsia="PMingLiU" w:hAnsi="Arial" w:cs="Times New Roman"/>
      <w:i/>
      <w:iCs/>
      <w:color w:val="4472C4" w:themeColor="accent1"/>
      <w:szCs w:val="20"/>
      <w:lang w:bidi="ar-DZ"/>
    </w:rPr>
  </w:style>
  <w:style w:type="character" w:styleId="IntenseReference">
    <w:name w:val="Intense Reference"/>
    <w:basedOn w:val="DefaultParagraphFont"/>
    <w:uiPriority w:val="32"/>
    <w:qFormat/>
    <w:rsid w:val="008F0D5C"/>
    <w:rPr>
      <w:b/>
      <w:bCs/>
      <w:smallCaps/>
      <w:color w:val="4472C4" w:themeColor="accent1"/>
      <w:spacing w:val="5"/>
      <w:lang w:val="en-US" w:bidi="ar-DZ"/>
    </w:rPr>
  </w:style>
  <w:style w:type="table" w:styleId="LightGrid">
    <w:name w:val="Light Grid"/>
    <w:basedOn w:val="TableNormal"/>
    <w:uiPriority w:val="62"/>
    <w:semiHidden/>
    <w:unhideWhenUsed/>
    <w:rsid w:val="008F0D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F0D5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8F0D5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8F0D5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8F0D5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8F0D5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8F0D5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8F0D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F0D5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8F0D5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8F0D5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8F0D5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8F0D5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8F0D5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8F0D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F0D5C"/>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8F0D5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8F0D5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8F0D5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8F0D5C"/>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8F0D5C"/>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8F0D5C"/>
    <w:rPr>
      <w:lang w:val="en-US" w:bidi="ar-DZ"/>
    </w:rPr>
  </w:style>
  <w:style w:type="paragraph" w:styleId="List">
    <w:name w:val="List"/>
    <w:basedOn w:val="Normal"/>
    <w:uiPriority w:val="99"/>
    <w:semiHidden/>
    <w:unhideWhenUsed/>
    <w:rsid w:val="008F0D5C"/>
    <w:pPr>
      <w:ind w:left="283" w:hanging="283"/>
      <w:contextualSpacing/>
    </w:pPr>
  </w:style>
  <w:style w:type="paragraph" w:styleId="List2">
    <w:name w:val="List 2"/>
    <w:basedOn w:val="Normal"/>
    <w:uiPriority w:val="99"/>
    <w:semiHidden/>
    <w:unhideWhenUsed/>
    <w:rsid w:val="008F0D5C"/>
    <w:pPr>
      <w:ind w:left="566" w:hanging="283"/>
      <w:contextualSpacing/>
    </w:pPr>
  </w:style>
  <w:style w:type="paragraph" w:styleId="List3">
    <w:name w:val="List 3"/>
    <w:basedOn w:val="Normal"/>
    <w:uiPriority w:val="99"/>
    <w:semiHidden/>
    <w:unhideWhenUsed/>
    <w:rsid w:val="008F0D5C"/>
    <w:pPr>
      <w:ind w:left="849" w:hanging="283"/>
      <w:contextualSpacing/>
    </w:pPr>
  </w:style>
  <w:style w:type="paragraph" w:styleId="List4">
    <w:name w:val="List 4"/>
    <w:basedOn w:val="Normal"/>
    <w:uiPriority w:val="99"/>
    <w:semiHidden/>
    <w:unhideWhenUsed/>
    <w:rsid w:val="008F0D5C"/>
    <w:pPr>
      <w:ind w:left="1132" w:hanging="283"/>
      <w:contextualSpacing/>
    </w:pPr>
  </w:style>
  <w:style w:type="paragraph" w:styleId="List5">
    <w:name w:val="List 5"/>
    <w:basedOn w:val="Normal"/>
    <w:uiPriority w:val="99"/>
    <w:semiHidden/>
    <w:unhideWhenUsed/>
    <w:rsid w:val="008F0D5C"/>
    <w:pPr>
      <w:ind w:left="1415" w:hanging="283"/>
      <w:contextualSpacing/>
    </w:pPr>
  </w:style>
  <w:style w:type="paragraph" w:styleId="ListBullet">
    <w:name w:val="List Bullet"/>
    <w:basedOn w:val="Normal"/>
    <w:uiPriority w:val="99"/>
    <w:semiHidden/>
    <w:unhideWhenUsed/>
    <w:rsid w:val="008F0D5C"/>
    <w:pPr>
      <w:numPr>
        <w:numId w:val="13"/>
      </w:numPr>
      <w:contextualSpacing/>
    </w:pPr>
  </w:style>
  <w:style w:type="paragraph" w:styleId="ListBullet2">
    <w:name w:val="List Bullet 2"/>
    <w:basedOn w:val="Normal"/>
    <w:uiPriority w:val="99"/>
    <w:semiHidden/>
    <w:unhideWhenUsed/>
    <w:rsid w:val="008F0D5C"/>
    <w:pPr>
      <w:numPr>
        <w:numId w:val="14"/>
      </w:numPr>
      <w:contextualSpacing/>
    </w:pPr>
  </w:style>
  <w:style w:type="paragraph" w:styleId="ListBullet3">
    <w:name w:val="List Bullet 3"/>
    <w:basedOn w:val="Normal"/>
    <w:uiPriority w:val="99"/>
    <w:semiHidden/>
    <w:unhideWhenUsed/>
    <w:rsid w:val="008F0D5C"/>
    <w:pPr>
      <w:numPr>
        <w:numId w:val="15"/>
      </w:numPr>
      <w:contextualSpacing/>
    </w:pPr>
  </w:style>
  <w:style w:type="paragraph" w:styleId="ListBullet4">
    <w:name w:val="List Bullet 4"/>
    <w:basedOn w:val="Normal"/>
    <w:uiPriority w:val="99"/>
    <w:semiHidden/>
    <w:unhideWhenUsed/>
    <w:rsid w:val="008F0D5C"/>
    <w:pPr>
      <w:numPr>
        <w:numId w:val="16"/>
      </w:numPr>
      <w:contextualSpacing/>
    </w:pPr>
  </w:style>
  <w:style w:type="paragraph" w:styleId="ListBullet5">
    <w:name w:val="List Bullet 5"/>
    <w:basedOn w:val="Normal"/>
    <w:uiPriority w:val="99"/>
    <w:semiHidden/>
    <w:unhideWhenUsed/>
    <w:rsid w:val="008F0D5C"/>
    <w:pPr>
      <w:numPr>
        <w:numId w:val="17"/>
      </w:numPr>
      <w:contextualSpacing/>
    </w:pPr>
  </w:style>
  <w:style w:type="paragraph" w:styleId="ListContinue">
    <w:name w:val="List Continue"/>
    <w:basedOn w:val="Normal"/>
    <w:uiPriority w:val="99"/>
    <w:semiHidden/>
    <w:unhideWhenUsed/>
    <w:rsid w:val="008F0D5C"/>
    <w:pPr>
      <w:spacing w:after="120"/>
      <w:ind w:left="283"/>
      <w:contextualSpacing/>
    </w:pPr>
  </w:style>
  <w:style w:type="paragraph" w:styleId="ListContinue2">
    <w:name w:val="List Continue 2"/>
    <w:basedOn w:val="Normal"/>
    <w:uiPriority w:val="99"/>
    <w:semiHidden/>
    <w:unhideWhenUsed/>
    <w:rsid w:val="008F0D5C"/>
    <w:pPr>
      <w:spacing w:after="120"/>
      <w:ind w:left="566"/>
      <w:contextualSpacing/>
    </w:pPr>
  </w:style>
  <w:style w:type="paragraph" w:styleId="ListContinue3">
    <w:name w:val="List Continue 3"/>
    <w:basedOn w:val="Normal"/>
    <w:uiPriority w:val="99"/>
    <w:semiHidden/>
    <w:unhideWhenUsed/>
    <w:rsid w:val="008F0D5C"/>
    <w:pPr>
      <w:spacing w:after="120"/>
      <w:ind w:left="849"/>
      <w:contextualSpacing/>
    </w:pPr>
  </w:style>
  <w:style w:type="paragraph" w:styleId="ListContinue4">
    <w:name w:val="List Continue 4"/>
    <w:basedOn w:val="Normal"/>
    <w:uiPriority w:val="99"/>
    <w:semiHidden/>
    <w:unhideWhenUsed/>
    <w:rsid w:val="008F0D5C"/>
    <w:pPr>
      <w:spacing w:after="120"/>
      <w:ind w:left="1132"/>
      <w:contextualSpacing/>
    </w:pPr>
  </w:style>
  <w:style w:type="paragraph" w:styleId="ListContinue5">
    <w:name w:val="List Continue 5"/>
    <w:basedOn w:val="Normal"/>
    <w:uiPriority w:val="99"/>
    <w:semiHidden/>
    <w:unhideWhenUsed/>
    <w:rsid w:val="008F0D5C"/>
    <w:pPr>
      <w:spacing w:after="120"/>
      <w:ind w:left="1415"/>
      <w:contextualSpacing/>
    </w:pPr>
  </w:style>
  <w:style w:type="paragraph" w:styleId="ListNumber">
    <w:name w:val="List Number"/>
    <w:basedOn w:val="Normal"/>
    <w:uiPriority w:val="99"/>
    <w:semiHidden/>
    <w:unhideWhenUsed/>
    <w:rsid w:val="008F0D5C"/>
    <w:pPr>
      <w:numPr>
        <w:numId w:val="18"/>
      </w:numPr>
      <w:contextualSpacing/>
    </w:pPr>
  </w:style>
  <w:style w:type="paragraph" w:styleId="ListNumber2">
    <w:name w:val="List Number 2"/>
    <w:basedOn w:val="Normal"/>
    <w:uiPriority w:val="99"/>
    <w:semiHidden/>
    <w:unhideWhenUsed/>
    <w:rsid w:val="008F0D5C"/>
    <w:pPr>
      <w:numPr>
        <w:numId w:val="19"/>
      </w:numPr>
      <w:contextualSpacing/>
    </w:pPr>
  </w:style>
  <w:style w:type="paragraph" w:styleId="ListNumber3">
    <w:name w:val="List Number 3"/>
    <w:basedOn w:val="Normal"/>
    <w:uiPriority w:val="99"/>
    <w:semiHidden/>
    <w:unhideWhenUsed/>
    <w:rsid w:val="008F0D5C"/>
    <w:pPr>
      <w:numPr>
        <w:numId w:val="20"/>
      </w:numPr>
      <w:contextualSpacing/>
    </w:pPr>
  </w:style>
  <w:style w:type="paragraph" w:styleId="ListNumber4">
    <w:name w:val="List Number 4"/>
    <w:basedOn w:val="Normal"/>
    <w:uiPriority w:val="99"/>
    <w:semiHidden/>
    <w:unhideWhenUsed/>
    <w:rsid w:val="008F0D5C"/>
    <w:pPr>
      <w:numPr>
        <w:numId w:val="21"/>
      </w:numPr>
      <w:contextualSpacing/>
    </w:pPr>
  </w:style>
  <w:style w:type="paragraph" w:styleId="ListNumber5">
    <w:name w:val="List Number 5"/>
    <w:basedOn w:val="Normal"/>
    <w:uiPriority w:val="99"/>
    <w:semiHidden/>
    <w:unhideWhenUsed/>
    <w:rsid w:val="008F0D5C"/>
    <w:pPr>
      <w:numPr>
        <w:numId w:val="22"/>
      </w:numPr>
      <w:contextualSpacing/>
    </w:pPr>
  </w:style>
  <w:style w:type="table" w:styleId="ListTable1Light">
    <w:name w:val="List Table 1 Light"/>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8F0D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F0D5C"/>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8F0D5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8F0D5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8F0D5C"/>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8F0D5C"/>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8F0D5C"/>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8F0D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F0D5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8F0D5C"/>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8F0D5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8F0D5C"/>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8F0D5C"/>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8F0D5C"/>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8F0D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F0D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8F0D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8F0D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8F0D5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8F0D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8F0D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8F0D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F0D5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F0D5C"/>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F0D5C"/>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F0D5C"/>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F0D5C"/>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F0D5C"/>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F0D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F0D5C"/>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8F0D5C"/>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8F0D5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8F0D5C"/>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8F0D5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8F0D5C"/>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8F0D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F0D5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F0D5C"/>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F0D5C"/>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F0D5C"/>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F0D5C"/>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F0D5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8F0D5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PMingLiU" w:hAnsi="Courier New" w:cs="Courier New"/>
      <w:color w:val="000000"/>
      <w:sz w:val="20"/>
      <w:szCs w:val="20"/>
      <w:lang w:bidi="ar-DZ"/>
    </w:rPr>
  </w:style>
  <w:style w:type="character" w:customStyle="1" w:styleId="MacroTextChar">
    <w:name w:val="Macro Text Char"/>
    <w:basedOn w:val="DefaultParagraphFont"/>
    <w:link w:val="MacroText"/>
    <w:semiHidden/>
    <w:rsid w:val="008F0D5C"/>
    <w:rPr>
      <w:rFonts w:ascii="Courier New" w:eastAsia="PMingLiU" w:hAnsi="Courier New" w:cs="Courier New"/>
      <w:color w:val="000000"/>
      <w:sz w:val="20"/>
      <w:szCs w:val="20"/>
      <w:lang w:bidi="ar-DZ"/>
    </w:rPr>
  </w:style>
  <w:style w:type="table" w:styleId="MediumGrid1">
    <w:name w:val="Medium Grid 1"/>
    <w:basedOn w:val="TableNormal"/>
    <w:uiPriority w:val="67"/>
    <w:semiHidden/>
    <w:unhideWhenUsed/>
    <w:rsid w:val="008F0D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F0D5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8F0D5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8F0D5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8F0D5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8F0D5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8F0D5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F0D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F0D5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F0D5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F0D5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F0D5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F0D5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F0D5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8F0D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F0D5C"/>
    <w:rPr>
      <w:rFonts w:asciiTheme="majorHAnsi" w:eastAsiaTheme="majorEastAsia" w:hAnsiTheme="majorHAnsi" w:cstheme="majorBidi"/>
      <w:color w:val="000000"/>
      <w:sz w:val="24"/>
      <w:szCs w:val="24"/>
      <w:shd w:val="pct20" w:color="auto" w:fill="auto"/>
      <w:lang w:bidi="ar-DZ"/>
    </w:rPr>
  </w:style>
  <w:style w:type="paragraph" w:styleId="NormalWeb">
    <w:name w:val="Normal (Web)"/>
    <w:basedOn w:val="Normal"/>
    <w:uiPriority w:val="99"/>
    <w:semiHidden/>
    <w:unhideWhenUsed/>
    <w:rsid w:val="008F0D5C"/>
    <w:rPr>
      <w:rFonts w:ascii="Times New Roman" w:hAnsi="Times New Roman"/>
      <w:sz w:val="24"/>
      <w:szCs w:val="24"/>
    </w:rPr>
  </w:style>
  <w:style w:type="paragraph" w:styleId="NormalIndent">
    <w:name w:val="Normal Indent"/>
    <w:basedOn w:val="Normal"/>
    <w:uiPriority w:val="99"/>
    <w:semiHidden/>
    <w:unhideWhenUsed/>
    <w:rsid w:val="008F0D5C"/>
    <w:pPr>
      <w:ind w:left="720"/>
    </w:pPr>
  </w:style>
  <w:style w:type="paragraph" w:styleId="NoteHeading">
    <w:name w:val="Note Heading"/>
    <w:basedOn w:val="Normal"/>
    <w:next w:val="Normal"/>
    <w:link w:val="NoteHeadingChar"/>
    <w:uiPriority w:val="99"/>
    <w:semiHidden/>
    <w:unhideWhenUsed/>
    <w:rsid w:val="008F0D5C"/>
  </w:style>
  <w:style w:type="character" w:customStyle="1" w:styleId="NoteHeadingChar">
    <w:name w:val="Note Heading Char"/>
    <w:basedOn w:val="DefaultParagraphFont"/>
    <w:link w:val="NoteHeading"/>
    <w:uiPriority w:val="99"/>
    <w:semiHidden/>
    <w:rsid w:val="008F0D5C"/>
    <w:rPr>
      <w:rFonts w:ascii="Arial" w:eastAsia="PMingLiU" w:hAnsi="Arial" w:cs="Times New Roman"/>
      <w:color w:val="000000"/>
      <w:szCs w:val="20"/>
      <w:lang w:bidi="ar-DZ"/>
    </w:rPr>
  </w:style>
  <w:style w:type="character" w:styleId="PageNumber">
    <w:name w:val="page number"/>
    <w:semiHidden/>
    <w:rsid w:val="008F0D5C"/>
    <w:rPr>
      <w:rFonts w:ascii="Arial" w:hAnsi="Arial"/>
      <w:sz w:val="18"/>
      <w:szCs w:val="18"/>
      <w:lang w:val="en-US" w:bidi="ar-DZ"/>
    </w:rPr>
  </w:style>
  <w:style w:type="character" w:styleId="PlaceholderText">
    <w:name w:val="Placeholder Text"/>
    <w:basedOn w:val="DefaultParagraphFont"/>
    <w:uiPriority w:val="99"/>
    <w:semiHidden/>
    <w:rsid w:val="008F0D5C"/>
    <w:rPr>
      <w:color w:val="808080"/>
      <w:lang w:val="en-US" w:bidi="ar-DZ"/>
    </w:rPr>
  </w:style>
  <w:style w:type="table" w:styleId="PlainTable1">
    <w:name w:val="Plain Table 1"/>
    <w:basedOn w:val="TableNormal"/>
    <w:uiPriority w:val="41"/>
    <w:rsid w:val="008F0D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F0D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F0D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F0D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F0D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F0D5C"/>
    <w:rPr>
      <w:rFonts w:ascii="Consolas" w:hAnsi="Consolas"/>
      <w:sz w:val="21"/>
      <w:szCs w:val="21"/>
    </w:rPr>
  </w:style>
  <w:style w:type="character" w:customStyle="1" w:styleId="PlainTextChar">
    <w:name w:val="Plain Text Char"/>
    <w:basedOn w:val="DefaultParagraphFont"/>
    <w:link w:val="PlainText"/>
    <w:uiPriority w:val="99"/>
    <w:semiHidden/>
    <w:rsid w:val="008F0D5C"/>
    <w:rPr>
      <w:rFonts w:ascii="Consolas" w:eastAsia="PMingLiU" w:hAnsi="Consolas" w:cs="Times New Roman"/>
      <w:color w:val="000000"/>
      <w:sz w:val="21"/>
      <w:szCs w:val="21"/>
      <w:lang w:bidi="ar-DZ"/>
    </w:rPr>
  </w:style>
  <w:style w:type="paragraph" w:styleId="Quote">
    <w:name w:val="Quote"/>
    <w:basedOn w:val="Normal"/>
    <w:next w:val="Normal"/>
    <w:link w:val="QuoteChar"/>
    <w:uiPriority w:val="29"/>
    <w:qFormat/>
    <w:rsid w:val="008F0D5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0D5C"/>
    <w:rPr>
      <w:rFonts w:ascii="Arial" w:eastAsia="PMingLiU" w:hAnsi="Arial" w:cs="Times New Roman"/>
      <w:i/>
      <w:iCs/>
      <w:color w:val="404040" w:themeColor="text1" w:themeTint="BF"/>
      <w:szCs w:val="20"/>
      <w:lang w:bidi="ar-DZ"/>
    </w:rPr>
  </w:style>
  <w:style w:type="paragraph" w:styleId="Salutation">
    <w:name w:val="Salutation"/>
    <w:basedOn w:val="Normal"/>
    <w:next w:val="Normal"/>
    <w:link w:val="SalutationChar"/>
    <w:uiPriority w:val="99"/>
    <w:semiHidden/>
    <w:unhideWhenUsed/>
    <w:rsid w:val="008F0D5C"/>
  </w:style>
  <w:style w:type="character" w:customStyle="1" w:styleId="SalutationChar">
    <w:name w:val="Salutation Char"/>
    <w:basedOn w:val="DefaultParagraphFont"/>
    <w:link w:val="Salutation"/>
    <w:uiPriority w:val="99"/>
    <w:semiHidden/>
    <w:rsid w:val="008F0D5C"/>
    <w:rPr>
      <w:rFonts w:ascii="Arial" w:eastAsia="PMingLiU" w:hAnsi="Arial" w:cs="Times New Roman"/>
      <w:color w:val="000000"/>
      <w:szCs w:val="20"/>
      <w:lang w:bidi="ar-DZ"/>
    </w:rPr>
  </w:style>
  <w:style w:type="paragraph" w:styleId="Signature">
    <w:name w:val="Signature"/>
    <w:basedOn w:val="Normal"/>
    <w:link w:val="SignatureChar"/>
    <w:uiPriority w:val="99"/>
    <w:semiHidden/>
    <w:unhideWhenUsed/>
    <w:rsid w:val="008F0D5C"/>
    <w:pPr>
      <w:ind w:left="4252"/>
    </w:pPr>
  </w:style>
  <w:style w:type="character" w:customStyle="1" w:styleId="SignatureChar">
    <w:name w:val="Signature Char"/>
    <w:basedOn w:val="DefaultParagraphFont"/>
    <w:link w:val="Signature"/>
    <w:uiPriority w:val="99"/>
    <w:semiHidden/>
    <w:rsid w:val="008F0D5C"/>
    <w:rPr>
      <w:rFonts w:ascii="Arial" w:eastAsia="PMingLiU" w:hAnsi="Arial" w:cs="Times New Roman"/>
      <w:color w:val="000000"/>
      <w:szCs w:val="20"/>
      <w:lang w:bidi="ar-DZ"/>
    </w:rPr>
  </w:style>
  <w:style w:type="character" w:styleId="Strong">
    <w:name w:val="Strong"/>
    <w:basedOn w:val="DefaultParagraphFont"/>
    <w:uiPriority w:val="22"/>
    <w:qFormat/>
    <w:rsid w:val="008F0D5C"/>
    <w:rPr>
      <w:b/>
      <w:bCs/>
      <w:lang w:val="en-US" w:bidi="ar-DZ"/>
    </w:rPr>
  </w:style>
  <w:style w:type="paragraph" w:customStyle="1" w:styleId="Style1">
    <w:name w:val="Style1"/>
    <w:basedOn w:val="LeadInText"/>
    <w:semiHidden/>
    <w:qFormat/>
    <w:rsid w:val="008F0D5C"/>
    <w:pPr>
      <w:spacing w:after="200" w:line="480" w:lineRule="exact"/>
    </w:pPr>
  </w:style>
  <w:style w:type="paragraph" w:styleId="Subtitle">
    <w:name w:val="Subtitle"/>
    <w:basedOn w:val="Normal"/>
    <w:next w:val="Normal"/>
    <w:link w:val="SubtitleChar"/>
    <w:uiPriority w:val="11"/>
    <w:qFormat/>
    <w:rsid w:val="008F0D5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8F0D5C"/>
    <w:rPr>
      <w:rFonts w:eastAsiaTheme="minorEastAsia"/>
      <w:color w:val="5A5A5A" w:themeColor="text1" w:themeTint="A5"/>
      <w:spacing w:val="15"/>
      <w:lang w:bidi="ar-DZ"/>
    </w:rPr>
  </w:style>
  <w:style w:type="character" w:styleId="SubtleEmphasis">
    <w:name w:val="Subtle Emphasis"/>
    <w:basedOn w:val="DefaultParagraphFont"/>
    <w:uiPriority w:val="19"/>
    <w:qFormat/>
    <w:rsid w:val="008F0D5C"/>
    <w:rPr>
      <w:i/>
      <w:iCs/>
      <w:color w:val="404040" w:themeColor="text1" w:themeTint="BF"/>
      <w:lang w:val="en-US" w:bidi="ar-DZ"/>
    </w:rPr>
  </w:style>
  <w:style w:type="character" w:styleId="SubtleReference">
    <w:name w:val="Subtle Reference"/>
    <w:basedOn w:val="DefaultParagraphFont"/>
    <w:uiPriority w:val="31"/>
    <w:qFormat/>
    <w:rsid w:val="008F0D5C"/>
    <w:rPr>
      <w:smallCaps/>
      <w:color w:val="5A5A5A" w:themeColor="text1" w:themeTint="A5"/>
      <w:lang w:val="en-US" w:bidi="ar-DZ"/>
    </w:rPr>
  </w:style>
  <w:style w:type="table" w:styleId="Table3Deffects1">
    <w:name w:val="Table 3D effects 1"/>
    <w:basedOn w:val="TableNormal"/>
    <w:uiPriority w:val="99"/>
    <w:semiHidden/>
    <w:unhideWhenUsed/>
    <w:rsid w:val="008F0D5C"/>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F0D5C"/>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F0D5C"/>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F0D5C"/>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F0D5C"/>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F0D5C"/>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F0D5C"/>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F0D5C"/>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F0D5C"/>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F0D5C"/>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F0D5C"/>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F0D5C"/>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F0D5C"/>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F0D5C"/>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F0D5C"/>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F0D5C"/>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F0D5C"/>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F0D5C"/>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F0D5C"/>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F0D5C"/>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F0D5C"/>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F0D5C"/>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F0D5C"/>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F0D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F0D5C"/>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F0D5C"/>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F0D5C"/>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F0D5C"/>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F0D5C"/>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F0D5C"/>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F0D5C"/>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8F0D5C"/>
    <w:pPr>
      <w:ind w:left="220" w:hanging="220"/>
    </w:pPr>
  </w:style>
  <w:style w:type="table" w:styleId="TableProfessional">
    <w:name w:val="Table Professional"/>
    <w:basedOn w:val="TableNormal"/>
    <w:uiPriority w:val="99"/>
    <w:semiHidden/>
    <w:unhideWhenUsed/>
    <w:rsid w:val="008F0D5C"/>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F0D5C"/>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F0D5C"/>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F0D5C"/>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F0D5C"/>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F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F0D5C"/>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F0D5C"/>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F0D5C"/>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8F0D5C"/>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F0D5C"/>
    <w:rPr>
      <w:rFonts w:asciiTheme="majorHAnsi" w:eastAsiaTheme="majorEastAsia" w:hAnsiTheme="majorHAnsi" w:cstheme="majorBidi"/>
      <w:spacing w:val="-10"/>
      <w:kern w:val="28"/>
      <w:sz w:val="56"/>
      <w:szCs w:val="56"/>
      <w:lang w:bidi="ar-DZ"/>
    </w:rPr>
  </w:style>
  <w:style w:type="paragraph" w:styleId="TOAHeading">
    <w:name w:val="toa heading"/>
    <w:basedOn w:val="Normal"/>
    <w:next w:val="Normal"/>
    <w:semiHidden/>
    <w:rsid w:val="008F0D5C"/>
    <w:pPr>
      <w:spacing w:before="120"/>
    </w:pPr>
    <w:rPr>
      <w:rFonts w:cs="Arial"/>
      <w:b/>
      <w:bCs/>
      <w:sz w:val="24"/>
      <w:szCs w:val="24"/>
    </w:rPr>
  </w:style>
  <w:style w:type="paragraph" w:styleId="TOC1">
    <w:name w:val="toc 1"/>
    <w:next w:val="BodyText"/>
    <w:uiPriority w:val="39"/>
    <w:rsid w:val="008F0D5C"/>
    <w:pPr>
      <w:tabs>
        <w:tab w:val="left" w:pos="567"/>
        <w:tab w:val="right" w:leader="dot" w:pos="9360"/>
      </w:tabs>
      <w:spacing w:before="60" w:after="60" w:line="220" w:lineRule="atLeast"/>
    </w:pPr>
    <w:rPr>
      <w:rFonts w:ascii="Arial" w:eastAsia="Calibri" w:hAnsi="Arial" w:cs="Times New Roman"/>
      <w:b/>
      <w:noProof/>
      <w:color w:val="2B3A44"/>
      <w:szCs w:val="20"/>
      <w:lang w:eastAsia="en-GB" w:bidi="ar-DZ"/>
    </w:rPr>
  </w:style>
  <w:style w:type="paragraph" w:styleId="TOC2">
    <w:name w:val="toc 2"/>
    <w:next w:val="BodyText"/>
    <w:uiPriority w:val="39"/>
    <w:rsid w:val="008F0D5C"/>
    <w:pPr>
      <w:tabs>
        <w:tab w:val="left" w:pos="1134"/>
        <w:tab w:val="right" w:leader="dot" w:pos="9360"/>
      </w:tabs>
      <w:spacing w:after="20" w:line="220" w:lineRule="atLeast"/>
      <w:ind w:left="1008" w:hanging="576"/>
    </w:pPr>
    <w:rPr>
      <w:rFonts w:ascii="Arial" w:eastAsia="PMingLiU" w:hAnsi="Arial" w:cs="Times New Roman"/>
      <w:color w:val="2B3A44"/>
      <w:szCs w:val="18"/>
      <w:lang w:bidi="ar-DZ"/>
    </w:rPr>
  </w:style>
  <w:style w:type="paragraph" w:styleId="TOC3">
    <w:name w:val="toc 3"/>
    <w:next w:val="BodyText"/>
    <w:uiPriority w:val="39"/>
    <w:rsid w:val="008F0D5C"/>
    <w:pPr>
      <w:tabs>
        <w:tab w:val="left" w:pos="1701"/>
        <w:tab w:val="right" w:leader="dot" w:pos="9360"/>
      </w:tabs>
      <w:spacing w:after="20" w:line="220" w:lineRule="atLeast"/>
      <w:ind w:left="1628" w:hanging="634"/>
    </w:pPr>
    <w:rPr>
      <w:rFonts w:ascii="Arial" w:eastAsia="PMingLiU" w:hAnsi="Arial" w:cs="Times New Roman"/>
      <w:noProof/>
      <w:color w:val="2B3A44"/>
      <w:szCs w:val="18"/>
      <w:lang w:eastAsia="en-GB" w:bidi="ar-DZ"/>
    </w:rPr>
  </w:style>
  <w:style w:type="paragraph" w:styleId="TOC4">
    <w:name w:val="toc 4"/>
    <w:next w:val="BodyText"/>
    <w:uiPriority w:val="39"/>
    <w:rsid w:val="008F0D5C"/>
    <w:pPr>
      <w:tabs>
        <w:tab w:val="left" w:pos="2610"/>
        <w:tab w:val="right" w:leader="dot" w:pos="9360"/>
      </w:tabs>
      <w:spacing w:after="20" w:line="240" w:lineRule="auto"/>
      <w:ind w:left="2621" w:hanging="994"/>
    </w:pPr>
    <w:rPr>
      <w:rFonts w:ascii="Arial" w:eastAsia="PMingLiU" w:hAnsi="Arial" w:cs="Times New Roman"/>
      <w:noProof/>
      <w:color w:val="2B3A44"/>
      <w:lang w:bidi="ar-DZ"/>
    </w:rPr>
  </w:style>
  <w:style w:type="paragraph" w:styleId="TOC5">
    <w:name w:val="toc 5"/>
    <w:next w:val="BodyText"/>
    <w:uiPriority w:val="39"/>
    <w:rsid w:val="008F0D5C"/>
    <w:pPr>
      <w:tabs>
        <w:tab w:val="left" w:pos="3690"/>
        <w:tab w:val="right" w:leader="dot" w:pos="9360"/>
      </w:tabs>
      <w:spacing w:after="20" w:line="240" w:lineRule="auto"/>
      <w:ind w:left="3686" w:hanging="1080"/>
    </w:pPr>
    <w:rPr>
      <w:rFonts w:ascii="Arial" w:eastAsia="PMingLiU" w:hAnsi="Arial" w:cs="Times New Roman"/>
      <w:noProof/>
      <w:color w:val="2B3A44"/>
      <w:lang w:bidi="ar-DZ"/>
    </w:rPr>
  </w:style>
  <w:style w:type="paragraph" w:styleId="TOC6">
    <w:name w:val="toc 6"/>
    <w:next w:val="BodyText"/>
    <w:uiPriority w:val="39"/>
    <w:rsid w:val="008F0D5C"/>
    <w:pPr>
      <w:tabs>
        <w:tab w:val="left" w:pos="4950"/>
        <w:tab w:val="right" w:leader="dot" w:pos="9360"/>
      </w:tabs>
      <w:spacing w:after="20"/>
      <w:ind w:left="4953" w:hanging="1267"/>
    </w:pPr>
    <w:rPr>
      <w:rFonts w:ascii="Arial" w:eastAsia="PMingLiU" w:hAnsi="Arial" w:cs="Times New Roman"/>
      <w:noProof/>
      <w:color w:val="2B3A44"/>
      <w:szCs w:val="20"/>
      <w:lang w:bidi="ar-DZ"/>
    </w:rPr>
  </w:style>
  <w:style w:type="paragraph" w:styleId="TOC7">
    <w:name w:val="toc 7"/>
    <w:basedOn w:val="Normal"/>
    <w:next w:val="BodyText"/>
    <w:semiHidden/>
    <w:rsid w:val="008F0D5C"/>
    <w:pPr>
      <w:tabs>
        <w:tab w:val="right" w:pos="8525"/>
      </w:tabs>
      <w:ind w:left="2952" w:hanging="1152"/>
    </w:pPr>
    <w:rPr>
      <w:sz w:val="20"/>
    </w:rPr>
  </w:style>
  <w:style w:type="paragraph" w:styleId="TOC8">
    <w:name w:val="toc 8"/>
    <w:basedOn w:val="Normal"/>
    <w:next w:val="BodyText"/>
    <w:semiHidden/>
    <w:rsid w:val="008F0D5C"/>
    <w:pPr>
      <w:tabs>
        <w:tab w:val="right" w:pos="8525"/>
      </w:tabs>
      <w:ind w:left="3456" w:hanging="1296"/>
    </w:pPr>
    <w:rPr>
      <w:sz w:val="20"/>
    </w:rPr>
  </w:style>
  <w:style w:type="paragraph" w:styleId="TOC9">
    <w:name w:val="toc 9"/>
    <w:basedOn w:val="Normal"/>
    <w:next w:val="BodyText"/>
    <w:semiHidden/>
    <w:rsid w:val="008F0D5C"/>
    <w:pPr>
      <w:tabs>
        <w:tab w:val="right" w:pos="8525"/>
      </w:tabs>
      <w:ind w:left="3960" w:hanging="1440"/>
    </w:pPr>
    <w:rPr>
      <w:sz w:val="20"/>
    </w:rPr>
  </w:style>
  <w:style w:type="paragraph" w:styleId="TOCHeading">
    <w:name w:val="TOC Heading"/>
    <w:next w:val="TOC1"/>
    <w:uiPriority w:val="39"/>
    <w:qFormat/>
    <w:rsid w:val="008F0D5C"/>
    <w:pPr>
      <w:keepLines/>
      <w:spacing w:before="240" w:after="120" w:line="240" w:lineRule="auto"/>
    </w:pPr>
    <w:rPr>
      <w:rFonts w:ascii="Arial" w:eastAsiaTheme="majorEastAsia" w:hAnsi="Arial" w:cs="Arial"/>
      <w:b/>
      <w:color w:val="2B3A44"/>
      <w:sz w:val="36"/>
      <w:szCs w:val="32"/>
      <w:lang w:bidi="ar-DZ"/>
    </w:rPr>
  </w:style>
  <w:style w:type="table" w:customStyle="1" w:styleId="TableGrid10">
    <w:name w:val="Table Grid1"/>
    <w:basedOn w:val="TableNormal"/>
    <w:next w:val="TableGrid"/>
    <w:uiPriority w:val="39"/>
    <w:rsid w:val="008F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Auto1Single">
    <w:name w:val="*Numbers (Auto) #1 Single"/>
    <w:basedOn w:val="Normal"/>
    <w:uiPriority w:val="1"/>
    <w:rsid w:val="008F0D5C"/>
    <w:pPr>
      <w:tabs>
        <w:tab w:val="left" w:pos="360"/>
        <w:tab w:val="left" w:pos="1440"/>
      </w:tabs>
    </w:pPr>
    <w:rPr>
      <w:rFonts w:eastAsia="Arial" w:cs="Arial"/>
      <w:color w:val="2B3A44"/>
      <w:szCs w:val="18"/>
    </w:rPr>
  </w:style>
  <w:style w:type="paragraph" w:customStyle="1" w:styleId="NumbersAuto1Double">
    <w:name w:val="*Numbers (Auto) #1 Double"/>
    <w:basedOn w:val="NumbersAuto1Single"/>
    <w:uiPriority w:val="1"/>
    <w:qFormat/>
    <w:rsid w:val="008F0D5C"/>
    <w:pPr>
      <w:numPr>
        <w:numId w:val="25"/>
      </w:numPr>
      <w:tabs>
        <w:tab w:val="clear" w:pos="1440"/>
      </w:tabs>
      <w:spacing w:after="120"/>
    </w:pPr>
  </w:style>
  <w:style w:type="paragraph" w:customStyle="1" w:styleId="NumbersAuto2Single">
    <w:name w:val="*Numbers (Auto) #2 Single"/>
    <w:basedOn w:val="Normal"/>
    <w:uiPriority w:val="1"/>
    <w:qFormat/>
    <w:rsid w:val="008F0D5C"/>
    <w:pPr>
      <w:tabs>
        <w:tab w:val="left" w:pos="1440"/>
      </w:tabs>
    </w:pPr>
    <w:rPr>
      <w:color w:val="2B3A44"/>
    </w:rPr>
  </w:style>
  <w:style w:type="paragraph" w:customStyle="1" w:styleId="NumbersAuto3Single">
    <w:name w:val="*Numbers (Auto) #3 Single"/>
    <w:basedOn w:val="Normal"/>
    <w:uiPriority w:val="1"/>
    <w:qFormat/>
    <w:rsid w:val="008F0D5C"/>
    <w:pPr>
      <w:tabs>
        <w:tab w:val="left" w:pos="1080"/>
      </w:tabs>
    </w:pPr>
    <w:rPr>
      <w:color w:val="2B3A44"/>
    </w:rPr>
  </w:style>
  <w:style w:type="paragraph" w:customStyle="1" w:styleId="NumbersAuto2Double">
    <w:name w:val="*Numbers (Auto) #2 Double"/>
    <w:basedOn w:val="NumbersAuto2Single"/>
    <w:uiPriority w:val="1"/>
    <w:qFormat/>
    <w:rsid w:val="008F0D5C"/>
    <w:pPr>
      <w:numPr>
        <w:ilvl w:val="1"/>
        <w:numId w:val="25"/>
      </w:numPr>
      <w:spacing w:after="120"/>
    </w:pPr>
  </w:style>
  <w:style w:type="paragraph" w:customStyle="1" w:styleId="NumbersAuto3Double">
    <w:name w:val="*Numbers (Auto) #3 Double"/>
    <w:basedOn w:val="BodyText"/>
    <w:uiPriority w:val="1"/>
    <w:qFormat/>
    <w:rsid w:val="008F0D5C"/>
    <w:pPr>
      <w:numPr>
        <w:ilvl w:val="2"/>
        <w:numId w:val="25"/>
      </w:numPr>
      <w:tabs>
        <w:tab w:val="left" w:pos="1080"/>
      </w:tabs>
    </w:pPr>
  </w:style>
  <w:style w:type="paragraph" w:customStyle="1" w:styleId="NumbersAuto5Single">
    <w:name w:val="*Numbers (Auto) #5 Single"/>
    <w:basedOn w:val="NumbersAuto3Single"/>
    <w:uiPriority w:val="1"/>
    <w:qFormat/>
    <w:rsid w:val="008F0D5C"/>
    <w:pPr>
      <w:numPr>
        <w:numId w:val="27"/>
      </w:numPr>
      <w:tabs>
        <w:tab w:val="clear" w:pos="1080"/>
        <w:tab w:val="left" w:pos="1620"/>
      </w:tabs>
      <w:ind w:left="1620"/>
    </w:pPr>
  </w:style>
  <w:style w:type="paragraph" w:customStyle="1" w:styleId="NumbersAuto4Double">
    <w:name w:val="*Numbers (Auto) #4 Double"/>
    <w:basedOn w:val="Normal"/>
    <w:uiPriority w:val="1"/>
    <w:qFormat/>
    <w:rsid w:val="008F0D5C"/>
    <w:pPr>
      <w:numPr>
        <w:numId w:val="26"/>
      </w:numPr>
      <w:tabs>
        <w:tab w:val="left" w:pos="1260"/>
      </w:tabs>
      <w:spacing w:after="120"/>
      <w:ind w:left="1267"/>
    </w:pPr>
    <w:rPr>
      <w:rFonts w:eastAsia="Arial" w:cs="Arial"/>
      <w:color w:val="2B3A44"/>
      <w:szCs w:val="18"/>
    </w:rPr>
  </w:style>
  <w:style w:type="paragraph" w:customStyle="1" w:styleId="NumbersAuto5Double">
    <w:name w:val="*Numbers (Auto) #5 Double"/>
    <w:basedOn w:val="NumbersAuto5Single"/>
    <w:uiPriority w:val="1"/>
    <w:qFormat/>
    <w:rsid w:val="008F0D5C"/>
    <w:pPr>
      <w:spacing w:after="120"/>
      <w:ind w:left="1627"/>
    </w:pPr>
  </w:style>
  <w:style w:type="numbering" w:customStyle="1" w:styleId="NumberAutoSingle">
    <w:name w:val="*Number Auto Single"/>
    <w:uiPriority w:val="99"/>
    <w:rsid w:val="008F0D5C"/>
    <w:pPr>
      <w:numPr>
        <w:numId w:val="23"/>
      </w:numPr>
    </w:pPr>
  </w:style>
  <w:style w:type="numbering" w:customStyle="1" w:styleId="NumbersAutoDouble">
    <w:name w:val="*Numbers Auto Double"/>
    <w:uiPriority w:val="99"/>
    <w:rsid w:val="008F0D5C"/>
    <w:pPr>
      <w:numPr>
        <w:numId w:val="24"/>
      </w:numPr>
    </w:pPr>
  </w:style>
  <w:style w:type="paragraph" w:customStyle="1" w:styleId="BulletSubnumber0">
    <w:name w:val="~Bullet Subnumber"/>
    <w:basedOn w:val="BulletSubnumber"/>
    <w:uiPriority w:val="1"/>
    <w:rsid w:val="008F0D5C"/>
  </w:style>
  <w:style w:type="paragraph" w:customStyle="1" w:styleId="SectionHeading">
    <w:name w:val="SectionHeading"/>
    <w:uiPriority w:val="1"/>
    <w:qFormat/>
    <w:rsid w:val="008F0D5C"/>
    <w:pPr>
      <w:pageBreakBefore/>
      <w:spacing w:before="240" w:after="0" w:line="240" w:lineRule="auto"/>
    </w:pPr>
    <w:rPr>
      <w:rFonts w:ascii="Arial" w:eastAsia="PMingLiU" w:hAnsi="Arial" w:cs="Times New Roman"/>
      <w:b/>
      <w:color w:val="FFFFFF" w:themeColor="background1"/>
      <w:sz w:val="48"/>
      <w:szCs w:val="20"/>
      <w:lang w:bidi="ar-DZ"/>
    </w:rPr>
  </w:style>
  <w:style w:type="paragraph" w:customStyle="1" w:styleId="SectionText">
    <w:name w:val="SectionText"/>
    <w:uiPriority w:val="2"/>
    <w:qFormat/>
    <w:rsid w:val="008F0D5C"/>
    <w:pPr>
      <w:spacing w:before="120" w:after="0" w:line="360" w:lineRule="exact"/>
      <w:ind w:right="1152"/>
    </w:pPr>
    <w:rPr>
      <w:rFonts w:ascii="Arial" w:eastAsia="PMingLiU" w:hAnsi="Arial" w:cs="Times New Roman"/>
      <w:color w:val="FFFFFF" w:themeColor="background1"/>
      <w:sz w:val="28"/>
      <w:szCs w:val="20"/>
      <w:lang w:bidi="ar-DZ"/>
    </w:rPr>
  </w:style>
  <w:style w:type="character" w:customStyle="1" w:styleId="BodyTextChar">
    <w:name w:val="*Body Text Char"/>
    <w:link w:val="BodyText"/>
    <w:locked/>
    <w:rsid w:val="008F0D5C"/>
    <w:rPr>
      <w:rFonts w:ascii="Arial" w:eastAsia="PMingLiU" w:hAnsi="Arial" w:cs="Times New Roman"/>
      <w:color w:val="2B3A44"/>
      <w:szCs w:val="20"/>
      <w:lang w:bidi="ar-DZ"/>
    </w:rPr>
  </w:style>
  <w:style w:type="numbering" w:customStyle="1" w:styleId="Bullet1">
    <w:name w:val="*Bullet #1"/>
    <w:uiPriority w:val="99"/>
    <w:rsid w:val="008F0D5C"/>
    <w:pPr>
      <w:numPr>
        <w:numId w:val="28"/>
      </w:numPr>
    </w:pPr>
  </w:style>
  <w:style w:type="paragraph" w:customStyle="1" w:styleId="Subheading0">
    <w:name w:val="~Subheading"/>
    <w:basedOn w:val="Subheading"/>
    <w:next w:val="BodyText0"/>
    <w:uiPriority w:val="1"/>
    <w:qFormat/>
    <w:rsid w:val="008F0D5C"/>
    <w:rPr>
      <w:rFonts w:ascii="Arial Narrow" w:hAnsi="Arial Narrow"/>
      <w:sz w:val="20"/>
    </w:rPr>
  </w:style>
  <w:style w:type="paragraph" w:customStyle="1" w:styleId="BodyTextBold0">
    <w:name w:val="~Body Text Bold"/>
    <w:basedOn w:val="BodyText0"/>
    <w:next w:val="BodyText0"/>
    <w:uiPriority w:val="1"/>
    <w:qFormat/>
    <w:rsid w:val="008F0D5C"/>
    <w:rPr>
      <w:b/>
    </w:rPr>
  </w:style>
  <w:style w:type="paragraph" w:customStyle="1" w:styleId="Heading70">
    <w:name w:val="*Heading 7"/>
    <w:next w:val="BodyText"/>
    <w:uiPriority w:val="1"/>
    <w:qFormat/>
    <w:rsid w:val="008F0D5C"/>
    <w:pPr>
      <w:keepNext/>
      <w:keepLines/>
      <w:spacing w:before="240" w:after="120" w:line="240" w:lineRule="auto"/>
      <w:outlineLvl w:val="6"/>
    </w:pPr>
    <w:rPr>
      <w:rFonts w:ascii="Arial" w:eastAsia="PMingLiU" w:hAnsi="Arial" w:cs="Times New Roman"/>
      <w:b/>
      <w:color w:val="2B3A44"/>
      <w:sz w:val="24"/>
      <w:szCs w:val="20"/>
      <w:lang w:bidi="ar-DZ"/>
    </w:rPr>
  </w:style>
  <w:style w:type="paragraph" w:customStyle="1" w:styleId="Heading80">
    <w:name w:val="*Heading 8"/>
    <w:next w:val="BodyText"/>
    <w:uiPriority w:val="1"/>
    <w:qFormat/>
    <w:rsid w:val="008F0D5C"/>
    <w:pPr>
      <w:keepNext/>
      <w:keepLines/>
      <w:spacing w:before="240" w:after="120" w:line="240" w:lineRule="auto"/>
      <w:outlineLvl w:val="7"/>
    </w:pPr>
    <w:rPr>
      <w:rFonts w:ascii="Arial" w:eastAsia="PMingLiU" w:hAnsi="Arial" w:cs="Times New Roman"/>
      <w:b/>
      <w:color w:val="2B3A44"/>
      <w:szCs w:val="20"/>
      <w:lang w:bidi="ar-DZ"/>
    </w:rPr>
  </w:style>
  <w:style w:type="paragraph" w:customStyle="1" w:styleId="Heading90">
    <w:name w:val="*Heading 9"/>
    <w:next w:val="BodyText"/>
    <w:uiPriority w:val="1"/>
    <w:qFormat/>
    <w:rsid w:val="008F0D5C"/>
    <w:pPr>
      <w:spacing w:before="240" w:after="120" w:line="240" w:lineRule="auto"/>
      <w:outlineLvl w:val="8"/>
    </w:pPr>
    <w:rPr>
      <w:rFonts w:ascii="Arial Narrow" w:eastAsia="PMingLiU" w:hAnsi="Arial Narrow" w:cs="Times New Roman"/>
      <w:b/>
      <w:color w:val="2B3A44"/>
      <w:szCs w:val="20"/>
      <w:lang w:bidi="ar-DZ"/>
    </w:rPr>
  </w:style>
  <w:style w:type="paragraph" w:customStyle="1" w:styleId="RFPReferenceLine">
    <w:name w:val="*RFP Reference Line"/>
    <w:next w:val="BodyText"/>
    <w:uiPriority w:val="1"/>
    <w:qFormat/>
    <w:rsid w:val="008F0D5C"/>
    <w:pPr>
      <w:keepNext/>
      <w:spacing w:after="120" w:line="240" w:lineRule="auto"/>
      <w:ind w:left="1440" w:hanging="1440"/>
    </w:pPr>
    <w:rPr>
      <w:rFonts w:ascii="Arial Narrow" w:eastAsia="PMingLiU" w:hAnsi="Arial Narrow" w:cs="Times New Roman"/>
      <w:color w:val="2B3A44"/>
      <w:szCs w:val="20"/>
      <w:lang w:bidi="ar-DZ"/>
    </w:rPr>
  </w:style>
  <w:style w:type="paragraph" w:customStyle="1" w:styleId="RightSidebarText">
    <w:name w:val="*Right Sidebar Text"/>
    <w:uiPriority w:val="1"/>
    <w:qFormat/>
    <w:rsid w:val="008F0D5C"/>
    <w:pPr>
      <w:framePr w:w="2880" w:hSpace="144" w:vSpace="144" w:wrap="around" w:vAnchor="text" w:hAnchor="margin" w:x="6481" w:y="87"/>
      <w:pBdr>
        <w:left w:val="single" w:sz="12" w:space="4" w:color="00EEAE"/>
      </w:pBdr>
      <w:spacing w:after="60" w:line="240" w:lineRule="auto"/>
    </w:pPr>
    <w:rPr>
      <w:rFonts w:ascii="Arial" w:eastAsia="PMingLiU" w:hAnsi="Arial" w:cs="Arial"/>
      <w:color w:val="2B3A44"/>
      <w:sz w:val="20"/>
      <w:szCs w:val="20"/>
      <w:lang w:bidi="ar-DZ"/>
    </w:rPr>
  </w:style>
  <w:style w:type="paragraph" w:customStyle="1" w:styleId="Table">
    <w:name w:val="~Table"/>
    <w:basedOn w:val="CvrLtrDetail"/>
    <w:next w:val="CvrLtrDetail"/>
    <w:uiPriority w:val="99"/>
    <w:qFormat/>
    <w:rsid w:val="008F0D5C"/>
  </w:style>
  <w:style w:type="paragraph" w:customStyle="1" w:styleId="Unknown">
    <w:name w:val="Unknown"/>
    <w:basedOn w:val="LeadInText"/>
    <w:next w:val="LeadInText"/>
    <w:uiPriority w:val="99"/>
    <w:qFormat/>
    <w:rsid w:val="008F0D5C"/>
  </w:style>
  <w:style w:type="paragraph" w:customStyle="1" w:styleId="TableofContents">
    <w:name w:val="*Table of Contents"/>
    <w:basedOn w:val="Normal"/>
    <w:next w:val="Normal"/>
    <w:rsid w:val="008F0D5C"/>
    <w:pPr>
      <w:pageBreakBefore/>
      <w:widowControl w:val="0"/>
      <w:spacing w:after="200" w:line="440" w:lineRule="atLeast"/>
    </w:pPr>
    <w:rPr>
      <w:rFonts w:eastAsia="Times New Roman" w:cs="Arial"/>
      <w:b/>
      <w:color w:val="2B3A44"/>
      <w:sz w:val="36"/>
      <w:szCs w:val="36"/>
      <w:lang w:bidi="ar-SA"/>
    </w:rPr>
  </w:style>
  <w:style w:type="paragraph" w:styleId="TableofFigures">
    <w:name w:val="table of figures"/>
    <w:basedOn w:val="Normal"/>
    <w:next w:val="Normal"/>
    <w:uiPriority w:val="99"/>
    <w:unhideWhenUsed/>
    <w:rsid w:val="008F0D5C"/>
    <w:pPr>
      <w:tabs>
        <w:tab w:val="left" w:pos="425"/>
        <w:tab w:val="right" w:leader="dot" w:pos="9360"/>
      </w:tabs>
    </w:pPr>
    <w:rPr>
      <w:color w:val="2B3A44"/>
    </w:rPr>
  </w:style>
  <w:style w:type="character" w:customStyle="1" w:styleId="Bullet1DoubleChar">
    <w:name w:val="*Bullet #1 Double Char"/>
    <w:aliases w:val="B Char,bubu Char,bullet doub... Char,Bullet Paragraph Char,BR-Bullets 2 Char,bullet1 Char,Bullet Li Char,bub3llet 2 Char,bullet single + After:  6 pt Char,B1 Char,double bullet Char,BU Bullet Paragraph Char,BU Char,BP Char,bu Char"/>
    <w:basedOn w:val="DefaultParagraphFont"/>
    <w:link w:val="Bullet1Double"/>
    <w:qFormat/>
    <w:locked/>
    <w:rsid w:val="00052C75"/>
    <w:rPr>
      <w:rFonts w:ascii="Arial" w:eastAsia="PMingLiU" w:hAnsi="Arial" w:cs="Times New Roman"/>
      <w:bCs/>
      <w:color w:val="2B3A44"/>
      <w:szCs w:val="20"/>
      <w:lang w:bidi="ar-DZ"/>
    </w:rPr>
  </w:style>
  <w:style w:type="character" w:customStyle="1" w:styleId="Bullet1DoubleCharChar">
    <w:name w:val="*Bullet #1 Double Char Char"/>
    <w:locked/>
    <w:rsid w:val="00984AE2"/>
    <w:rPr>
      <w:rFonts w:ascii="Arial" w:eastAsia="PMingLiU" w:hAnsi="Arial" w:cs="Times New Roman"/>
      <w:bCs/>
      <w:color w:val="2B3A44"/>
      <w:szCs w:val="20"/>
      <w:lang w:bidi="ar-DZ"/>
    </w:rPr>
  </w:style>
  <w:style w:type="paragraph" w:customStyle="1" w:styleId="Default">
    <w:name w:val="Default"/>
    <w:rsid w:val="008F0D5C"/>
    <w:pPr>
      <w:autoSpaceDE w:val="0"/>
      <w:autoSpaceDN w:val="0"/>
      <w:adjustRightInd w:val="0"/>
      <w:spacing w:after="0" w:line="240" w:lineRule="auto"/>
    </w:pPr>
    <w:rPr>
      <w:rFonts w:ascii="Arial" w:hAnsi="Arial" w:cs="Arial"/>
      <w:color w:val="000000"/>
      <w:sz w:val="24"/>
      <w:szCs w:val="24"/>
    </w:rPr>
  </w:style>
  <w:style w:type="paragraph" w:customStyle="1" w:styleId="1stpara">
    <w:name w:val="1st para"/>
    <w:rsid w:val="008F0D5C"/>
    <w:pPr>
      <w:tabs>
        <w:tab w:val="left" w:pos="567"/>
      </w:tabs>
      <w:spacing w:after="0" w:line="240" w:lineRule="auto"/>
      <w:jc w:val="both"/>
    </w:pPr>
    <w:rPr>
      <w:rFonts w:ascii="Minion Pro" w:eastAsia="Times New Roman" w:hAnsi="Minion Pro" w:cs="Minion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abounty\AppData\Roaming\Microsoft\Templates\Gainwell%20Proposal%20Template_Mar%202022.dotm" TargetMode="External"/></Relationships>
</file>

<file path=word/documenttasks/documenttasks1.xml><?xml version="1.0" encoding="utf-8"?>
<t:Tasks xmlns:t="http://schemas.microsoft.com/office/tasks/2019/documenttasks" xmlns:oel="http://schemas.microsoft.com/office/2019/extlst">
  <t:Task id="{22907130-B7B5-4EAF-8DFE-0C301D7BE4AF}">
    <t:Anchor>
      <t:Comment id="2095620131"/>
    </t:Anchor>
    <t:History>
      <t:Event id="{3B364195-B968-40B8-82CA-3DFA35B80FE8}" time="2023-05-19T16:16:01.102Z">
        <t:Attribution userId="S::danielle.sherwood@gainwelltechnologies.com::0c775f3c-4aa7-4b60-9054-165dc688341e" userProvider="AD" userName="Sherwood, Danielle"/>
        <t:Anchor>
          <t:Comment id="2095620131"/>
        </t:Anchor>
        <t:Create/>
      </t:Event>
      <t:Event id="{5520460D-F30A-4A6E-8FC7-4105400291A7}" time="2023-05-19T16:16:01.102Z">
        <t:Attribution userId="S::danielle.sherwood@gainwelltechnologies.com::0c775f3c-4aa7-4b60-9054-165dc688341e" userProvider="AD" userName="Sherwood, Danielle"/>
        <t:Anchor>
          <t:Comment id="2095620131"/>
        </t:Anchor>
        <t:Assign userId="S::danielle.sherwood@gainwelltechnologies.com::0c775f3c-4aa7-4b60-9054-165dc688341e" userProvider="AD" userName="Sherwood, Danielle"/>
      </t:Event>
      <t:Event id="{9B48A3E0-EAEE-4789-BF47-C8E55B186FD4}" time="2023-05-19T16:16:01.102Z">
        <t:Attribution userId="S::danielle.sherwood@gainwelltechnologies.com::0c775f3c-4aa7-4b60-9054-165dc688341e" userProvider="AD" userName="Sherwood, Danielle"/>
        <t:Anchor>
          <t:Comment id="2095620131"/>
        </t:Anchor>
        <t:SetTitle title="Update with Enrollment to explain multiple options for types of enrollments. @Sherwood, Daniel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6b37117d-b60d-4f7a-9c23-bf2aad5cd07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054DD9154079468C136BA17D0A7D14" ma:contentTypeVersion="6" ma:contentTypeDescription="Create a new document." ma:contentTypeScope="" ma:versionID="a8e1e7d72717b512e4a9f609a83212e7">
  <xsd:schema xmlns:xsd="http://www.w3.org/2001/XMLSchema" xmlns:xs="http://www.w3.org/2001/XMLSchema" xmlns:p="http://schemas.microsoft.com/office/2006/metadata/properties" xmlns:ns2="6b37117d-b60d-4f7a-9c23-bf2aad5cd078" xmlns:ns3="ba38d582-9fb8-40a5-812f-195c3b51bfad" targetNamespace="http://schemas.microsoft.com/office/2006/metadata/properties" ma:root="true" ma:fieldsID="b3cefab9d6ad3c2dc8fcfd31209d72ca" ns2:_="" ns3:_="">
    <xsd:import namespace="6b37117d-b60d-4f7a-9c23-bf2aad5cd078"/>
    <xsd:import namespace="ba38d582-9fb8-40a5-812f-195c3b51bfad"/>
    <xsd:element name="properties">
      <xsd:complexType>
        <xsd:sequence>
          <xsd:element name="documentManagement">
            <xsd:complexType>
              <xsd:all>
                <xsd:element ref="ns2:Status" minOccurs="0"/>
                <xsd:element ref="ns3:SharedWithUsers" minOccurs="0"/>
                <xsd:element ref="ns3:SharedWithDetails"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7117d-b60d-4f7a-9c23-bf2aad5cd078"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Writing"/>
          <xsd:enumeration value="Ready for Review"/>
          <xsd:enumeration value="Ready for Edit"/>
          <xsd:enumeration value="Editing"/>
          <xsd:enumeration value="Ready for Template/Compliance"/>
          <xsd:enumeration value="Final File"/>
          <xsd:enumeration value="Ready for Roll up/Production"/>
          <xsd:enumeration value="Ready for Print/USB"/>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8d582-9fb8-40a5-812f-195c3b51bfa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51B83-8B48-49A2-A753-2DA515FE58C1}">
  <ds:schemaRefs>
    <ds:schemaRef ds:uri="http://schemas.microsoft.com/sharepoint/v3/contenttype/forms"/>
  </ds:schemaRefs>
</ds:datastoreItem>
</file>

<file path=customXml/itemProps2.xml><?xml version="1.0" encoding="utf-8"?>
<ds:datastoreItem xmlns:ds="http://schemas.openxmlformats.org/officeDocument/2006/customXml" ds:itemID="{5EB6FDBE-BE61-43FB-BA0A-94CB269DB040}">
  <ds:schemaRefs>
    <ds:schemaRef ds:uri="http://schemas.openxmlformats.org/officeDocument/2006/bibliography"/>
  </ds:schemaRefs>
</ds:datastoreItem>
</file>

<file path=customXml/itemProps3.xml><?xml version="1.0" encoding="utf-8"?>
<ds:datastoreItem xmlns:ds="http://schemas.openxmlformats.org/officeDocument/2006/customXml" ds:itemID="{32B26DD9-C0AB-41CC-9657-2D2718FA9EDA}">
  <ds:schemaRefs>
    <ds:schemaRef ds:uri="http://schemas.microsoft.com/office/2006/metadata/properties"/>
    <ds:schemaRef ds:uri="http://schemas.microsoft.com/office/infopath/2007/PartnerControls"/>
    <ds:schemaRef ds:uri="6b37117d-b60d-4f7a-9c23-bf2aad5cd078"/>
  </ds:schemaRefs>
</ds:datastoreItem>
</file>

<file path=customXml/itemProps4.xml><?xml version="1.0" encoding="utf-8"?>
<ds:datastoreItem xmlns:ds="http://schemas.openxmlformats.org/officeDocument/2006/customXml" ds:itemID="{86DF255F-173B-4663-B79A-1B46B3513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7117d-b60d-4f7a-9c23-bf2aad5cd078"/>
    <ds:schemaRef ds:uri="ba38d582-9fb8-40a5-812f-195c3b51b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Gainwell Proposal Template_Mar 2022</Template>
  <TotalTime>6</TotalTime>
  <Pages>13</Pages>
  <Words>5059</Words>
  <Characters>28840</Characters>
  <Application>Microsoft Office Word</Application>
  <DocSecurity>0</DocSecurity>
  <Lines>240</Lines>
  <Paragraphs>67</Paragraphs>
  <ScaleCrop>false</ScaleCrop>
  <Company/>
  <LinksUpToDate>false</LinksUpToDate>
  <CharactersWithSpaces>33832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Laxman, Dinesh</dc:creator>
  <cp:keywords/>
  <dc:description/>
  <cp:lastModifiedBy>Borst, Maria</cp:lastModifiedBy>
  <cp:revision>2</cp:revision>
  <dcterms:created xsi:type="dcterms:W3CDTF">2023-12-04T20:02:00Z</dcterms:created>
  <dcterms:modified xsi:type="dcterms:W3CDTF">2023-12-04T20:02:00Z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d41b92e99dee28e3fdefd55eeecbc00c6a8c79b4df6db4a6eaf93e24cf7cb374</vt:lpwstr>
  </property>
  <property fmtid="{D5CDD505-2E9C-101B-9397-08002B2CF9AE}" pid="3" name="ContentTypeId">
    <vt:lpwstr>0x010100E3054DD9154079468C136BA17D0A7D14</vt:lpwstr>
  </property>
  <property fmtid="{D5CDD505-2E9C-101B-9397-08002B2CF9AE}" pid="4" name="MediaServiceImageTags">
    <vt:lpwstr/>
  </property>
</Properties>
</file>