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BB837" w14:textId="5EB09192" w:rsidR="0060241E" w:rsidRPr="00414AC9" w:rsidRDefault="001867D7" w:rsidP="005128DD">
      <w:pPr>
        <w:pStyle w:val="HeadingManual2"/>
        <w:keepNext w:val="0"/>
        <w:keepLines w:val="0"/>
        <w:widowControl w:val="0"/>
        <w:suppressAutoHyphens/>
        <w:ind w:left="0" w:firstLine="0"/>
        <w:rPr>
          <w:rFonts w:cs="Arial"/>
          <w:b w:val="0"/>
          <w:sz w:val="28"/>
          <w:szCs w:val="28"/>
          <w:highlight w:val="yellow"/>
        </w:rPr>
      </w:pPr>
      <w:r w:rsidRPr="001867D7">
        <w:t>G</w:t>
      </w:r>
      <w:r>
        <w:t>ainwell’s Solution for Fraud, Waste, and Abuse</w:t>
      </w:r>
    </w:p>
    <w:p w14:paraId="0ABF0D62" w14:textId="77777777" w:rsidR="00B162EF" w:rsidRDefault="00B162EF" w:rsidP="005128DD">
      <w:pPr>
        <w:pStyle w:val="BodyText"/>
        <w:widowControl w:val="0"/>
        <w:suppressAutoHyphens/>
        <w:rPr>
          <w:b/>
        </w:rPr>
      </w:pPr>
      <w:r w:rsidRPr="00B162EF">
        <w:t>Gainwell Technologies LLC (Gainwell) takes a multi-layered approach to identify, address, and prevent fraud, waste, and abuse (FWA) at all levels—provider, patient, and facility—leveraging new and emerging technologies to drive the highest value with minimal stakeholder disruption. With both self-service solutions and investigative support, our Health and Human Services (HHS) – Office of Inspector General (OIG)-recognized fraud expertise is empowering today’s government and commercial payers to fight the multi-billion-dollar problem of healthcare fraud.</w:t>
      </w:r>
    </w:p>
    <w:p w14:paraId="038C013E" w14:textId="15365F03" w:rsidR="005B3E16" w:rsidRPr="00216C98" w:rsidRDefault="00216C98" w:rsidP="005128DD">
      <w:pPr>
        <w:pStyle w:val="HeadingManual4"/>
        <w:keepNext w:val="0"/>
        <w:keepLines w:val="0"/>
        <w:widowControl w:val="0"/>
        <w:suppressAutoHyphens/>
        <w:rPr>
          <w:rFonts w:cs="Arial" w:hint="eastAsia"/>
          <w:sz w:val="24"/>
        </w:rPr>
      </w:pPr>
      <w:r w:rsidRPr="00216C98">
        <w:t>Modes of Delivery</w:t>
      </w:r>
    </w:p>
    <w:p w14:paraId="2B6A522C" w14:textId="77777777" w:rsidR="004D0F33" w:rsidRPr="004D0F33" w:rsidRDefault="004D0F33" w:rsidP="005128DD">
      <w:pPr>
        <w:pStyle w:val="BodyText"/>
        <w:widowControl w:val="0"/>
        <w:suppressAutoHyphens/>
      </w:pPr>
      <w:r w:rsidRPr="004D0F33">
        <w:t xml:space="preserve">Gainwell has been fighting fraud since we entered the payment accuracy arena in 1985. From our vast Special Investigative Unit (SIU) experience, Gainwell has learned that the detection of overpayments, fraud, and abuse requires more than a single magic tool (e.g., predictive modeling). Rather, it requires a broad, yet layered set of analytical tools that incorporate multiple types of data to analyze providers and patients in a variety of ways for multiple issues. Analysts are most productive when the data is organized and aggregated appropriately to highlight areas of concern and impact. </w:t>
      </w:r>
    </w:p>
    <w:p w14:paraId="28DF1A42" w14:textId="77777777" w:rsidR="004D0F33" w:rsidRPr="004D0F33" w:rsidRDefault="004D0F33" w:rsidP="005128DD">
      <w:pPr>
        <w:pStyle w:val="BodyText"/>
        <w:widowControl w:val="0"/>
        <w:suppressAutoHyphens/>
      </w:pPr>
      <w:r w:rsidRPr="004D0F33">
        <w:t xml:space="preserve">To address these complexities of fraud detection, Gainwell has developed an organized, yet highly flexible, suite of capabilities that provides users multiple ways of analyzing patient claims and providers for Medicaid and State Agency SIU and Program Integrity (PI) operations of all sizes and capabilities. These capabilities are based on Gainwell’s experience performing FWA detection, investigation, Medicaid audits, and recovery audits for the past three decades. Our offering combines the power of technology and analytics with investigations to detect, validate, and prevent FWA, which leads to cost savings. </w:t>
      </w:r>
    </w:p>
    <w:p w14:paraId="11FF1944" w14:textId="77777777" w:rsidR="004D0F33" w:rsidRPr="004D0F33" w:rsidRDefault="004D0F33" w:rsidP="005128DD">
      <w:pPr>
        <w:pStyle w:val="BodyText"/>
        <w:widowControl w:val="0"/>
        <w:suppressAutoHyphens/>
      </w:pPr>
      <w:r w:rsidRPr="004D0F33">
        <w:t xml:space="preserve">Our FWA expertise is unmatched in the industry in terms of the depth and breadth of our direct experience acquired through our work across a range of healthcare programs in the public and private sectors over the past three decades. In addition to a standalone offering, Gainwell’s FraudCapture® complements </w:t>
      </w:r>
      <w:proofErr w:type="gramStart"/>
      <w:r w:rsidRPr="004D0F33">
        <w:t>several of</w:t>
      </w:r>
      <w:proofErr w:type="gramEnd"/>
      <w:r w:rsidRPr="004D0F33">
        <w:t xml:space="preserve"> our other payment integrity services, most commonly Payment Analytics, Clinical Claim Reviews, and Prior Authorization. </w:t>
      </w:r>
    </w:p>
    <w:p w14:paraId="78A3D58B" w14:textId="77777777" w:rsidR="004D0F33" w:rsidRDefault="004D0F33" w:rsidP="005128DD">
      <w:pPr>
        <w:pStyle w:val="BodyText"/>
        <w:widowControl w:val="0"/>
        <w:suppressAutoHyphens/>
      </w:pPr>
      <w:r w:rsidRPr="004D0F33">
        <w:t>To help Medicaid and State Agencies address and manage FWA, Gainwell delivers our anti-fraud support through two primary modes of delivery– technology or service. Within each mode, we offer Medicaid and State Agencies multiple levels of service that range from self-service access to our analytics results up through a comprehensive solution that includes analyst support with targeted vetting and/or full-service investigative and audit support. The following are descriptions of our different modes of FWA service delivery:</w:t>
      </w:r>
    </w:p>
    <w:p w14:paraId="1E74D28C" w14:textId="77777777" w:rsidR="00C42E36" w:rsidRPr="00D04183" w:rsidRDefault="00C42E36" w:rsidP="005128DD">
      <w:pPr>
        <w:pStyle w:val="Bullet1Double"/>
        <w:widowControl w:val="0"/>
        <w:numPr>
          <w:ilvl w:val="0"/>
          <w:numId w:val="54"/>
        </w:numPr>
        <w:tabs>
          <w:tab w:val="clear" w:pos="0"/>
          <w:tab w:val="clear" w:pos="288"/>
        </w:tabs>
        <w:suppressAutoHyphens/>
        <w:ind w:left="720" w:hanging="450"/>
      </w:pPr>
      <w:r w:rsidRPr="7431B503">
        <w:rPr>
          <w:b/>
        </w:rPr>
        <w:t xml:space="preserve">FraudCapture Platform: OUR Technology, YOUR Team. </w:t>
      </w:r>
      <w:r>
        <w:t xml:space="preserve">This Software-as-a-Service (SaaS) standard offering allows your users to apply the power of analytics to identify and prevent fraud on their own. Modular, cloud-hosted, and leveraging the latest technology, FraudCapture aggregates data, then applies automated analytics against that data to produce results with actionable insights. Accessed through a standard up-to-date web browser on a computer or mobile device, the platform includes a robust self-service suite of easy-to-use data exploration tools that enable your investigators to understand the </w:t>
      </w:r>
      <w:r>
        <w:lastRenderedPageBreak/>
        <w:t xml:space="preserve">comprehensive analyses performed within the platform. Then, armed with workflow management tools, your team can quickly and efficiently focus on high-priority cases, document and vet case leads, and complete all work related to investigations from start to finish. Dashboards found in </w:t>
      </w:r>
      <w:proofErr w:type="gramStart"/>
      <w:r>
        <w:t>many</w:t>
      </w:r>
      <w:proofErr w:type="gramEnd"/>
      <w:r>
        <w:t xml:space="preserve"> of the modules enable transparency into all work and relevant information including key metrics, trends, and work queues. All of the modules are integrated, eliminating the need to transition between systems when performing data analysis, case identification, and case investigation. We offer the FraudCapture platform to Medicaid and State Agencies on a standalone basis or combined with our SIU Services as described below. </w:t>
      </w:r>
    </w:p>
    <w:p w14:paraId="02BE0993" w14:textId="77777777" w:rsidR="00C42E36" w:rsidRDefault="00C42E36" w:rsidP="005128DD">
      <w:pPr>
        <w:pStyle w:val="Bullet1Double"/>
        <w:widowControl w:val="0"/>
        <w:numPr>
          <w:ilvl w:val="0"/>
          <w:numId w:val="54"/>
        </w:numPr>
        <w:tabs>
          <w:tab w:val="clear" w:pos="0"/>
          <w:tab w:val="clear" w:pos="288"/>
        </w:tabs>
        <w:suppressAutoHyphens/>
        <w:ind w:left="720" w:hanging="450"/>
        <w:rPr>
          <w:b/>
        </w:rPr>
      </w:pPr>
      <w:r w:rsidRPr="00816FE8">
        <w:rPr>
          <w:b/>
        </w:rPr>
        <w:t>FraudCapture™ Special Investigation Unit (SIU) Services</w:t>
      </w:r>
      <w:r w:rsidRPr="327BDD34">
        <w:rPr>
          <w:b/>
        </w:rPr>
        <w:t>.</w:t>
      </w:r>
      <w:r w:rsidRPr="00816FE8">
        <w:rPr>
          <w:b/>
        </w:rPr>
        <w:t xml:space="preserve"> </w:t>
      </w:r>
      <w:r w:rsidRPr="00D04183">
        <w:t xml:space="preserve">From small health plans to large governmental agencies, </w:t>
      </w:r>
      <w:r>
        <w:t>investigative team</w:t>
      </w:r>
      <w:r w:rsidRPr="00D04183">
        <w:t xml:space="preserve">s want qualified targets to </w:t>
      </w:r>
      <w:r>
        <w:t xml:space="preserve">progress </w:t>
      </w:r>
      <w:r w:rsidRPr="00D04183">
        <w:t xml:space="preserve">efficiently into investigative action. With Gainwell’s </w:t>
      </w:r>
      <w:r>
        <w:t xml:space="preserve">optional add-on </w:t>
      </w:r>
      <w:r w:rsidRPr="00D04183">
        <w:t>SIU Services, our analysts and investigators do the work to identify fraud targets and perform comprehensive investigations</w:t>
      </w:r>
      <w:r>
        <w:t xml:space="preserve"> including the review of records.</w:t>
      </w:r>
      <w:r w:rsidRPr="00D04183">
        <w:t xml:space="preserve"> To address </w:t>
      </w:r>
      <w:r>
        <w:t>varying</w:t>
      </w:r>
      <w:r w:rsidRPr="00D04183">
        <w:t xml:space="preserve"> client needs and resource capabilities, we offer our SIU services at </w:t>
      </w:r>
      <w:r>
        <w:t xml:space="preserve">two </w:t>
      </w:r>
      <w:proofErr w:type="gramStart"/>
      <w:r w:rsidRPr="00D04183">
        <w:t>different levels</w:t>
      </w:r>
      <w:proofErr w:type="gramEnd"/>
      <w:r w:rsidRPr="00D04183">
        <w:t>:</w:t>
      </w:r>
      <w:r w:rsidRPr="00D04183">
        <w:rPr>
          <w:b/>
        </w:rPr>
        <w:t> </w:t>
      </w:r>
    </w:p>
    <w:p w14:paraId="0F897A05" w14:textId="77777777" w:rsidR="00056BDF" w:rsidRPr="00C54CF7" w:rsidRDefault="00056BDF" w:rsidP="005128DD">
      <w:pPr>
        <w:pStyle w:val="Bullet2Double0"/>
        <w:widowControl w:val="0"/>
        <w:numPr>
          <w:ilvl w:val="0"/>
          <w:numId w:val="55"/>
        </w:numPr>
        <w:tabs>
          <w:tab w:val="clear" w:pos="360"/>
          <w:tab w:val="clear" w:pos="576"/>
        </w:tabs>
        <w:suppressAutoHyphens/>
        <w:ind w:left="1080" w:hanging="360"/>
      </w:pPr>
      <w:r w:rsidRPr="00011F39">
        <w:rPr>
          <w:b/>
          <w:bCs/>
        </w:rPr>
        <w:t xml:space="preserve">Analytics Support. </w:t>
      </w:r>
      <w:r w:rsidRPr="00C54CF7">
        <w:t xml:space="preserve">With analytics support, we help organizations that want a new perspective or specialized resources to identify previously uncovered threats within their business; we call this “vetted targeting.” Our Gainwell analysts apply our tools and technology to perform in-depth analyses, leveraging our FraudCapture analytics platform’s data exploration tools to identify potential fraud targets from providers, facilities, and patients as well as cost trends and potential policy gaps. Our expert analysts prepare and deliver a global view of the FWA data and trends and meet with you to refine and focus the areas of interest. After the plan is established, we deliver the results of our findings in a Pre-Qualified Lead (PreQL) Report. This report is a thorough, well-documented description of background information, trends, findings, and recommendations. The PreQL Report is intended to be “investigation-ready” and to deliver the highest impact for FWA investigations and referrals. </w:t>
      </w:r>
    </w:p>
    <w:p w14:paraId="281ABEA0" w14:textId="77777777" w:rsidR="00056BDF" w:rsidRDefault="00056BDF" w:rsidP="005128DD">
      <w:pPr>
        <w:pStyle w:val="Bullet2Double0"/>
        <w:widowControl w:val="0"/>
        <w:numPr>
          <w:ilvl w:val="0"/>
          <w:numId w:val="55"/>
        </w:numPr>
        <w:tabs>
          <w:tab w:val="clear" w:pos="360"/>
          <w:tab w:val="clear" w:pos="576"/>
        </w:tabs>
        <w:suppressAutoHyphens/>
        <w:ind w:left="1080" w:hanging="360"/>
      </w:pPr>
      <w:r w:rsidRPr="000D765F">
        <w:rPr>
          <w:b/>
          <w:bCs/>
        </w:rPr>
        <w:t xml:space="preserve">Full-Service, Regulation-Driven Investigation Support. </w:t>
      </w:r>
      <w:proofErr w:type="gramStart"/>
      <w:r w:rsidRPr="00C54CF7">
        <w:t>Some</w:t>
      </w:r>
      <w:proofErr w:type="gramEnd"/>
      <w:r w:rsidRPr="00C54CF7">
        <w:t xml:space="preserve"> Medicaid and State Agencies require additional help with investigations, a focus on specialized services, and/or an active monitoring of ongoing threats. Our Gainwell investigative experts provide a comprehensive solution to help clients move from case intake and triage through the full investigative process. We conduct background research on providers and licensing and sanction/exclusion checks, obtain and review medical records, perform patient interviews, and provide detailed claim-line findings with a narrative summary report. We perform all investigative actions and analyses in accordance with state and/or federal guidelines and state payment policies. We document the appropriate information for required compliance reporting and law enforcement referrals and include recommendations to our client for new edits, policy changes, expanded monitoring or other PI initiatives resulting from the investigative findings.</w:t>
      </w:r>
    </w:p>
    <w:p w14:paraId="3AB90C45" w14:textId="77777777" w:rsidR="00E06349" w:rsidRDefault="00E06349" w:rsidP="005128DD">
      <w:pPr>
        <w:pStyle w:val="BodyText"/>
        <w:widowControl w:val="0"/>
        <w:suppressAutoHyphens/>
      </w:pPr>
      <w:r w:rsidRPr="00E06349">
        <w:t xml:space="preserve">Medicaid and State Agencies can select one or more of our highly flexible SIU services based on the level of service they require—from aggregating data and exploring analytics results, lead validation and vetting, or comprehensive investigative services. </w:t>
      </w:r>
    </w:p>
    <w:p w14:paraId="63837345" w14:textId="77777777" w:rsidR="00494F56" w:rsidRDefault="00494F56" w:rsidP="005128DD">
      <w:pPr>
        <w:widowControl w:val="0"/>
        <w:suppressAutoHyphens/>
        <w:spacing w:after="160" w:line="259" w:lineRule="auto"/>
        <w:rPr>
          <w:rFonts w:ascii="Arial Bold" w:hAnsi="Arial Bold" w:hint="eastAsia"/>
          <w:b/>
          <w:color w:val="2B3A44"/>
          <w:sz w:val="36"/>
          <w:szCs w:val="24"/>
        </w:rPr>
      </w:pPr>
      <w:r>
        <w:rPr>
          <w:rFonts w:hint="eastAsia"/>
        </w:rPr>
        <w:br w:type="page"/>
      </w:r>
    </w:p>
    <w:p w14:paraId="675AA114" w14:textId="09C19BD2" w:rsidR="00500014" w:rsidRPr="00D076D7" w:rsidRDefault="00500014" w:rsidP="005128DD">
      <w:pPr>
        <w:pStyle w:val="HeadingManual4"/>
        <w:keepNext w:val="0"/>
        <w:keepLines w:val="0"/>
        <w:widowControl w:val="0"/>
        <w:suppressAutoHyphens/>
        <w:rPr>
          <w:rFonts w:hint="eastAsia"/>
        </w:rPr>
      </w:pPr>
      <w:r w:rsidRPr="00D076D7">
        <w:lastRenderedPageBreak/>
        <w:t>FraudCapture Solution Overview  </w:t>
      </w:r>
    </w:p>
    <w:p w14:paraId="1AE259C7" w14:textId="77777777" w:rsidR="00500014" w:rsidRDefault="00500014" w:rsidP="005128DD">
      <w:pPr>
        <w:pStyle w:val="BodyText"/>
        <w:widowControl w:val="0"/>
        <w:suppressAutoHyphens/>
      </w:pPr>
      <w:r>
        <w:t xml:space="preserve">Our </w:t>
      </w:r>
      <w:r w:rsidRPr="00CD143F">
        <w:t xml:space="preserve">FraudCapture </w:t>
      </w:r>
      <w:r>
        <w:t xml:space="preserve">solution </w:t>
      </w:r>
      <w:r w:rsidRPr="00CD143F">
        <w:t>is modular, cloud-hosted software that supports data exploration and workflow management and is CMS certification</w:t>
      </w:r>
      <w:r>
        <w:t>-supported</w:t>
      </w:r>
      <w:r w:rsidRPr="00CD143F">
        <w:t xml:space="preserve">. Within FraudCapture, </w:t>
      </w:r>
      <w:r>
        <w:t>data from external</w:t>
      </w:r>
      <w:r w:rsidRPr="00CD143F">
        <w:t xml:space="preserve"> sources such as Google Maps, NPPES</w:t>
      </w:r>
      <w:r>
        <w:t xml:space="preserve"> (National Plan and Provider Enumeration System)</w:t>
      </w:r>
      <w:r w:rsidRPr="00CD143F">
        <w:t xml:space="preserve">, </w:t>
      </w:r>
      <w:r>
        <w:t xml:space="preserve">and </w:t>
      </w:r>
      <w:r w:rsidRPr="00CD143F">
        <w:t xml:space="preserve">the Social Security Death Master File are incorporated </w:t>
      </w:r>
      <w:r>
        <w:t>to</w:t>
      </w:r>
      <w:r w:rsidRPr="00CD143F">
        <w:t xml:space="preserve"> enhance system functionality</w:t>
      </w:r>
      <w:r>
        <w:t xml:space="preserve"> and results</w:t>
      </w:r>
      <w:r w:rsidRPr="00CD143F">
        <w:t>.</w:t>
      </w:r>
      <w:r>
        <w:t xml:space="preserve"> </w:t>
      </w:r>
      <w:r w:rsidRPr="00CD143F">
        <w:t>FraudCapture also leverages Power</w:t>
      </w:r>
      <w:r>
        <w:t> </w:t>
      </w:r>
      <w:r w:rsidRPr="00CD143F">
        <w:t xml:space="preserve">BI as the </w:t>
      </w:r>
      <w:r>
        <w:t xml:space="preserve">interactive data visualization </w:t>
      </w:r>
      <w:r w:rsidRPr="00CD143F">
        <w:t>tool.</w:t>
      </w:r>
      <w:r>
        <w:t xml:space="preserve"> </w:t>
      </w:r>
    </w:p>
    <w:p w14:paraId="789AF524" w14:textId="77777777" w:rsidR="00500014" w:rsidRDefault="00500014" w:rsidP="005128DD">
      <w:pPr>
        <w:pStyle w:val="BodyText"/>
        <w:widowControl w:val="0"/>
        <w:suppressAutoHyphens/>
      </w:pPr>
      <w:r>
        <w:t>Gainwell’s FraudCapture includes the following valuable features:</w:t>
      </w:r>
    </w:p>
    <w:p w14:paraId="2778F626" w14:textId="77777777" w:rsidR="00827586" w:rsidRPr="00827586" w:rsidRDefault="00827586" w:rsidP="005128DD">
      <w:pPr>
        <w:pStyle w:val="Bullet1Double"/>
        <w:widowControl w:val="0"/>
        <w:numPr>
          <w:ilvl w:val="0"/>
          <w:numId w:val="56"/>
        </w:numPr>
        <w:tabs>
          <w:tab w:val="clear" w:pos="0"/>
          <w:tab w:val="clear" w:pos="288"/>
        </w:tabs>
        <w:suppressAutoHyphens/>
        <w:ind w:left="720" w:hanging="450"/>
      </w:pPr>
      <w:r w:rsidRPr="00827586">
        <w:rPr>
          <w:b/>
          <w:bCs w:val="0"/>
        </w:rPr>
        <w:t>Secure, easy-to-use interface.</w:t>
      </w:r>
      <w:r w:rsidRPr="00827586">
        <w:t xml:space="preserve"> Accessed through a standard web browser on a computer or mobile device, FraudCapture’s intuitive interface is based on industry best practices for clear, responsive design.</w:t>
      </w:r>
    </w:p>
    <w:p w14:paraId="6687DF74" w14:textId="77777777" w:rsidR="00827586" w:rsidRPr="00827586" w:rsidRDefault="00827586" w:rsidP="005128DD">
      <w:pPr>
        <w:pStyle w:val="Bullet1Double"/>
        <w:widowControl w:val="0"/>
        <w:numPr>
          <w:ilvl w:val="0"/>
          <w:numId w:val="56"/>
        </w:numPr>
        <w:tabs>
          <w:tab w:val="clear" w:pos="0"/>
          <w:tab w:val="clear" w:pos="288"/>
        </w:tabs>
        <w:suppressAutoHyphens/>
        <w:ind w:left="720" w:hanging="450"/>
      </w:pPr>
      <w:r w:rsidRPr="00827586">
        <w:rPr>
          <w:b/>
          <w:bCs w:val="0"/>
        </w:rPr>
        <w:t xml:space="preserve">Automated workflows. </w:t>
      </w:r>
      <w:r w:rsidRPr="00827586">
        <w:t>Automating aspects of the process along the case continuum enables staff to work more efficiently, removing manual steps and reducing the potential for human-made errors.</w:t>
      </w:r>
    </w:p>
    <w:p w14:paraId="05944DB5" w14:textId="77777777" w:rsidR="00827586" w:rsidRPr="00827586" w:rsidRDefault="00827586" w:rsidP="005128DD">
      <w:pPr>
        <w:pStyle w:val="Bullet1Double"/>
        <w:widowControl w:val="0"/>
        <w:numPr>
          <w:ilvl w:val="0"/>
          <w:numId w:val="56"/>
        </w:numPr>
        <w:tabs>
          <w:tab w:val="clear" w:pos="0"/>
          <w:tab w:val="clear" w:pos="288"/>
        </w:tabs>
        <w:suppressAutoHyphens/>
        <w:ind w:left="720" w:hanging="450"/>
      </w:pPr>
      <w:r w:rsidRPr="00827586">
        <w:rPr>
          <w:b/>
          <w:bCs w:val="0"/>
        </w:rPr>
        <w:t>Provider and patient profiles.</w:t>
      </w:r>
      <w:r w:rsidRPr="00827586">
        <w:t xml:space="preserve"> Users can access both provider and patient profiles to access key metrics, historical case activity, and detailed claim activity, which eliminates the need for users to access other systems or reports. </w:t>
      </w:r>
    </w:p>
    <w:p w14:paraId="2575CB68" w14:textId="77777777" w:rsidR="00827586" w:rsidRPr="00827586" w:rsidRDefault="00827586" w:rsidP="005128DD">
      <w:pPr>
        <w:pStyle w:val="Bullet1Double"/>
        <w:widowControl w:val="0"/>
        <w:numPr>
          <w:ilvl w:val="0"/>
          <w:numId w:val="56"/>
        </w:numPr>
        <w:tabs>
          <w:tab w:val="clear" w:pos="0"/>
          <w:tab w:val="clear" w:pos="288"/>
        </w:tabs>
        <w:suppressAutoHyphens/>
        <w:ind w:left="720" w:hanging="450"/>
      </w:pPr>
      <w:r w:rsidRPr="00827586">
        <w:rPr>
          <w:b/>
          <w:bCs w:val="0"/>
        </w:rPr>
        <w:t>Integrated case management.</w:t>
      </w:r>
      <w:r w:rsidRPr="00827586">
        <w:t xml:space="preserve"> The integrated and fully configurable Case Tracking module responds to the unique needs related to investigations including efficient document management. Configuration allows for case workflows to be quickly established, values to be easily modified, and reporting that is customized.</w:t>
      </w:r>
    </w:p>
    <w:p w14:paraId="33092687" w14:textId="77777777" w:rsidR="00827586" w:rsidRPr="00827586" w:rsidRDefault="00827586" w:rsidP="005128DD">
      <w:pPr>
        <w:pStyle w:val="Bullet1Double"/>
        <w:widowControl w:val="0"/>
        <w:numPr>
          <w:ilvl w:val="0"/>
          <w:numId w:val="56"/>
        </w:numPr>
        <w:tabs>
          <w:tab w:val="clear" w:pos="0"/>
          <w:tab w:val="clear" w:pos="288"/>
        </w:tabs>
        <w:suppressAutoHyphens/>
        <w:ind w:left="720" w:hanging="450"/>
      </w:pPr>
      <w:r w:rsidRPr="00827586">
        <w:rPr>
          <w:b/>
          <w:bCs w:val="0"/>
        </w:rPr>
        <w:t xml:space="preserve">Real-time ad hoc reporting. </w:t>
      </w:r>
      <w:r w:rsidRPr="00827586">
        <w:t>Users can develop, run, and export custom queries as they analyze data, including case-related data.</w:t>
      </w:r>
    </w:p>
    <w:p w14:paraId="0117E968" w14:textId="77777777" w:rsidR="00827586" w:rsidRPr="00827586" w:rsidRDefault="00827586" w:rsidP="005128DD">
      <w:pPr>
        <w:pStyle w:val="Bullet1Double"/>
        <w:widowControl w:val="0"/>
        <w:numPr>
          <w:ilvl w:val="0"/>
          <w:numId w:val="56"/>
        </w:numPr>
        <w:tabs>
          <w:tab w:val="clear" w:pos="0"/>
          <w:tab w:val="clear" w:pos="288"/>
        </w:tabs>
        <w:suppressAutoHyphens/>
        <w:ind w:left="720" w:hanging="450"/>
      </w:pPr>
      <w:r w:rsidRPr="00827586">
        <w:rPr>
          <w:b/>
          <w:bCs w:val="0"/>
        </w:rPr>
        <w:t xml:space="preserve">Predictive modeling. </w:t>
      </w:r>
      <w:proofErr w:type="gramStart"/>
      <w:r w:rsidRPr="00827586">
        <w:t>A proactive</w:t>
      </w:r>
      <w:proofErr w:type="gramEnd"/>
      <w:r w:rsidRPr="00827586">
        <w:t xml:space="preserve"> approach to fraud detection saves users time and enables them to take action quickly. FraudCapture’s models and reports help investigators evaluate provider utilization and identify suspect billing behavior, leveraging sophisticated analytics to identify previously undetected schemes, including emerging trends and areas of increased regulatory focus.</w:t>
      </w:r>
    </w:p>
    <w:p w14:paraId="0D61DE87" w14:textId="77777777" w:rsidR="00827586" w:rsidRPr="00827586" w:rsidRDefault="00827586" w:rsidP="005128DD">
      <w:pPr>
        <w:pStyle w:val="Bullet1Double"/>
        <w:widowControl w:val="0"/>
        <w:numPr>
          <w:ilvl w:val="0"/>
          <w:numId w:val="56"/>
        </w:numPr>
        <w:tabs>
          <w:tab w:val="clear" w:pos="0"/>
          <w:tab w:val="clear" w:pos="288"/>
        </w:tabs>
        <w:suppressAutoHyphens/>
        <w:ind w:left="720" w:hanging="450"/>
      </w:pPr>
      <w:r w:rsidRPr="00827586">
        <w:rPr>
          <w:b/>
          <w:bCs w:val="0"/>
        </w:rPr>
        <w:t xml:space="preserve">Flexibility and scalability. </w:t>
      </w:r>
      <w:r w:rsidRPr="00827586">
        <w:t>FraudCapture supports multiple claim types and allows for configuration to accommodate the diverse and fluctuating case types and workflows required by different lines of business in an ever-changing regulatory environment. The platform is also scalable across a variety of configurations and workloads to provide continuous and optimal access to data for users. FraudCapture places no limit on the number of users the system can support at one time and is designed so that resources scale up with increased usage, ensuring stable performance as your needs grow.</w:t>
      </w:r>
    </w:p>
    <w:p w14:paraId="7EA286CE" w14:textId="77777777" w:rsidR="00827586" w:rsidRPr="00827586" w:rsidRDefault="00827586" w:rsidP="005128DD">
      <w:pPr>
        <w:pStyle w:val="Bullet1Double"/>
        <w:widowControl w:val="0"/>
        <w:numPr>
          <w:ilvl w:val="0"/>
          <w:numId w:val="56"/>
        </w:numPr>
        <w:tabs>
          <w:tab w:val="clear" w:pos="0"/>
          <w:tab w:val="clear" w:pos="288"/>
        </w:tabs>
        <w:suppressAutoHyphens/>
        <w:ind w:left="720" w:hanging="450"/>
      </w:pPr>
      <w:r w:rsidRPr="00827586">
        <w:rPr>
          <w:b/>
          <w:bCs w:val="0"/>
        </w:rPr>
        <w:t xml:space="preserve">Mobile access. </w:t>
      </w:r>
      <w:r w:rsidRPr="00827586">
        <w:t>FraudCapture can be accessed on mobile devices for the convenient sharing of information or research by field analysts.</w:t>
      </w:r>
    </w:p>
    <w:p w14:paraId="3C1A8728" w14:textId="77777777" w:rsidR="00827586" w:rsidRPr="00827586" w:rsidRDefault="00827586" w:rsidP="005128DD">
      <w:pPr>
        <w:pStyle w:val="Bullet1Double"/>
        <w:widowControl w:val="0"/>
        <w:numPr>
          <w:ilvl w:val="0"/>
          <w:numId w:val="56"/>
        </w:numPr>
        <w:tabs>
          <w:tab w:val="clear" w:pos="0"/>
          <w:tab w:val="clear" w:pos="288"/>
        </w:tabs>
        <w:suppressAutoHyphens/>
        <w:ind w:left="720" w:hanging="450"/>
      </w:pPr>
      <w:r w:rsidRPr="00827586">
        <w:rPr>
          <w:b/>
          <w:bCs w:val="0"/>
        </w:rPr>
        <w:t xml:space="preserve">Frequent updates. </w:t>
      </w:r>
      <w:r w:rsidRPr="00827586">
        <w:t xml:space="preserve">System updates that respond to emerging FWA trends and implement new and/or improved technology and functionality are provided at no additional cost to Medicaid and State Agency clients. We staff a </w:t>
      </w:r>
      <w:proofErr w:type="gramStart"/>
      <w:r w:rsidRPr="00827586">
        <w:t>dedicated</w:t>
      </w:r>
      <w:proofErr w:type="gramEnd"/>
      <w:r w:rsidRPr="00827586">
        <w:t xml:space="preserve"> development team guided by fraud experts who continually add and enhance detection models and system capabilities to remain in accordance with the latest technological advancements. Because our SIU team uses FraudCapture daily, we often identify areas for </w:t>
      </w:r>
      <w:r w:rsidRPr="00827586">
        <w:lastRenderedPageBreak/>
        <w:t xml:space="preserve">improvement and add them to our roadmap before clients ask for them. We solicit feedback on system functionality and requests for new analytic models and algorithms. Using an agile development approach, new features, functionality, analytics, and tools are developed and deployed quickly. Since each month is a new sprint development cycle, we can release items to coincide with a monthly sprint as needed to support client implementation items or those requiring a quicker turnaround. </w:t>
      </w:r>
    </w:p>
    <w:p w14:paraId="60BFE491" w14:textId="77777777" w:rsidR="00827586" w:rsidRPr="00827586" w:rsidRDefault="00827586" w:rsidP="005128DD">
      <w:pPr>
        <w:pStyle w:val="Bullet1Double"/>
        <w:widowControl w:val="0"/>
        <w:numPr>
          <w:ilvl w:val="0"/>
          <w:numId w:val="56"/>
        </w:numPr>
        <w:tabs>
          <w:tab w:val="clear" w:pos="0"/>
          <w:tab w:val="clear" w:pos="288"/>
        </w:tabs>
        <w:suppressAutoHyphens/>
        <w:ind w:left="720" w:hanging="450"/>
      </w:pPr>
      <w:r w:rsidRPr="00827586">
        <w:rPr>
          <w:b/>
          <w:bCs w:val="0"/>
        </w:rPr>
        <w:t>No data limitations.</w:t>
      </w:r>
      <w:r w:rsidRPr="00827586">
        <w:t xml:space="preserve"> FraudCapture does not limit the volume or types of data that can be used or referenced for analysis or reporting. We are able to host sufficient historical data to provide coverage for any required “look-back” period. </w:t>
      </w:r>
    </w:p>
    <w:p w14:paraId="258F40A2" w14:textId="77777777" w:rsidR="007C741D" w:rsidRDefault="007C741D" w:rsidP="005128DD">
      <w:pPr>
        <w:pStyle w:val="Heading40"/>
        <w:keepNext w:val="0"/>
        <w:keepLines w:val="0"/>
        <w:widowControl w:val="0"/>
        <w:suppressAutoHyphens/>
        <w:rPr>
          <w:rFonts w:hint="eastAsia"/>
        </w:rPr>
      </w:pPr>
      <w:r>
        <w:t>FraudCapture Value</w:t>
      </w:r>
    </w:p>
    <w:p w14:paraId="03AF4040" w14:textId="77777777" w:rsidR="007C741D" w:rsidRPr="009F28FA" w:rsidRDefault="007C741D" w:rsidP="005128DD">
      <w:pPr>
        <w:pStyle w:val="BodyText"/>
        <w:widowControl w:val="0"/>
        <w:suppressAutoHyphens/>
      </w:pPr>
      <w:r w:rsidRPr="009F28FA">
        <w:t>FraudCapture transforms disparate data into clear, actionable insight that can be used to identify, manage, and prevent fraud, resulting in significant return on investment (ROI) for state government</w:t>
      </w:r>
      <w:r>
        <w:t xml:space="preserve"> agencie</w:t>
      </w:r>
      <w:r w:rsidRPr="009F28FA">
        <w:t xml:space="preserve">s. </w:t>
      </w:r>
    </w:p>
    <w:p w14:paraId="75408FF8" w14:textId="77777777" w:rsidR="007C741D" w:rsidRPr="009F28FA" w:rsidRDefault="007C741D" w:rsidP="005128DD">
      <w:pPr>
        <w:pStyle w:val="BodyText"/>
        <w:widowControl w:val="0"/>
        <w:suppressAutoHyphens/>
      </w:pPr>
      <w:r w:rsidRPr="009F28FA">
        <w:t>Within FraudCapture, users can customize queries, browse, search, and sort the data present in the system</w:t>
      </w:r>
      <w:r>
        <w:t xml:space="preserve">. Via the </w:t>
      </w:r>
      <w:r w:rsidRPr="009F28FA">
        <w:t xml:space="preserve">report dashboard, </w:t>
      </w:r>
      <w:r>
        <w:t>users</w:t>
      </w:r>
      <w:r w:rsidRPr="009F28FA">
        <w:t xml:space="preserve"> can access target profiles, initiate </w:t>
      </w:r>
      <w:r>
        <w:t>preliminary investigations</w:t>
      </w:r>
      <w:r w:rsidRPr="009F28FA">
        <w:t xml:space="preserve">, and drill down through claim-level details for each set of analyses. FraudCapture profiles are efficient and prevent redundancy by </w:t>
      </w:r>
      <w:r>
        <w:t>displaying</w:t>
      </w:r>
      <w:r w:rsidRPr="009F28FA">
        <w:t xml:space="preserve"> prior and/or current </w:t>
      </w:r>
      <w:r>
        <w:t xml:space="preserve">Case Tracking </w:t>
      </w:r>
      <w:r w:rsidRPr="009F28FA">
        <w:t>actions for a specific target. The dashboards and landing pages are easy to navigate, allow users to quickly retrieve and save information, and are part of the overall intuitive design of the user interface</w:t>
      </w:r>
      <w:r>
        <w:t xml:space="preserve"> (UI)</w:t>
      </w:r>
      <w:r w:rsidRPr="009F28FA">
        <w:t>. </w:t>
      </w:r>
    </w:p>
    <w:p w14:paraId="48E00A30" w14:textId="77777777" w:rsidR="007C741D" w:rsidRPr="009F28FA" w:rsidRDefault="007C741D" w:rsidP="005128DD">
      <w:pPr>
        <w:pStyle w:val="BodyText"/>
        <w:widowControl w:val="0"/>
        <w:suppressAutoHyphens/>
      </w:pPr>
      <w:r w:rsidRPr="009F28FA">
        <w:t>The FraudCapture U</w:t>
      </w:r>
      <w:r>
        <w:t>I</w:t>
      </w:r>
      <w:r w:rsidRPr="009F28FA">
        <w:t xml:space="preserve"> </w:t>
      </w:r>
      <w:r>
        <w:t>reflects</w:t>
      </w:r>
      <w:r w:rsidRPr="009F28FA">
        <w:t xml:space="preserve"> industry best practices and features a responsive design. Coordinating with state</w:t>
      </w:r>
      <w:r>
        <w:t xml:space="preserve"> clients</w:t>
      </w:r>
      <w:r w:rsidRPr="009F28FA">
        <w:t xml:space="preserve">, </w:t>
      </w:r>
      <w:r>
        <w:t>as an add on, Gainwell</w:t>
      </w:r>
      <w:r w:rsidRPr="009F28FA">
        <w:t xml:space="preserve"> can</w:t>
      </w:r>
      <w:r>
        <w:t xml:space="preserve"> optionally </w:t>
      </w:r>
      <w:r w:rsidRPr="009F28FA">
        <w:t xml:space="preserve">integrate with single-sign-on programs so that state staff can use their standard ID and password to log into the FraudCapture system </w:t>
      </w:r>
      <w:r>
        <w:t>module.</w:t>
      </w:r>
    </w:p>
    <w:p w14:paraId="55F3BF42" w14:textId="77777777" w:rsidR="007C741D" w:rsidRDefault="007C741D" w:rsidP="005128DD">
      <w:pPr>
        <w:pStyle w:val="BodyText"/>
        <w:widowControl w:val="0"/>
        <w:suppressAutoHyphens/>
      </w:pPr>
      <w:r w:rsidRPr="004C6470">
        <w:t xml:space="preserve">FraudCapture gives states and their respective Program Integrity Divisions access to information from the initial </w:t>
      </w:r>
      <w:r>
        <w:t>identification</w:t>
      </w:r>
      <w:r w:rsidRPr="004C6470">
        <w:t xml:space="preserve"> </w:t>
      </w:r>
      <w:r>
        <w:t xml:space="preserve">of the instance of FWA </w:t>
      </w:r>
      <w:r w:rsidRPr="004C6470">
        <w:t>to the case conclusion. We understand that every role may not need the same level of access to sensitive data</w:t>
      </w:r>
      <w:r>
        <w:t>; therefore</w:t>
      </w:r>
      <w:r w:rsidRPr="004C6470">
        <w:t>,</w:t>
      </w:r>
      <w:r>
        <w:t xml:space="preserve"> </w:t>
      </w:r>
      <w:r w:rsidRPr="004C6470">
        <w:t xml:space="preserve">states can easily manage access to information for Program Integrity Division staff and the Medicaid Fraud Control Unit (MFCU) of the Attorney General's Office staff, as well as other staff as needed. During implementation, we will </w:t>
      </w:r>
      <w:proofErr w:type="gramStart"/>
      <w:r w:rsidRPr="004C6470">
        <w:t>work</w:t>
      </w:r>
      <w:proofErr w:type="gramEnd"/>
      <w:r w:rsidRPr="004C6470">
        <w:t xml:space="preserve"> with </w:t>
      </w:r>
      <w:r>
        <w:t>you</w:t>
      </w:r>
      <w:r w:rsidRPr="004C6470">
        <w:t xml:space="preserve"> to define user roles throughout each FraudCapture </w:t>
      </w:r>
      <w:r>
        <w:t>module and for different uses within the modules</w:t>
      </w:r>
      <w:r w:rsidRPr="004C6470">
        <w:t xml:space="preserve">. Most importantly, this approach </w:t>
      </w:r>
      <w:r>
        <w:t>assists in the reduction of</w:t>
      </w:r>
      <w:r w:rsidRPr="004C6470">
        <w:t xml:space="preserve"> security risks while maximizing each user’s efficiency.</w:t>
      </w:r>
    </w:p>
    <w:p w14:paraId="02FD2F6E" w14:textId="77777777" w:rsidR="007C741D" w:rsidRDefault="007C741D" w:rsidP="005128DD">
      <w:pPr>
        <w:pStyle w:val="BodyText"/>
        <w:widowControl w:val="0"/>
        <w:suppressAutoHyphens/>
      </w:pPr>
      <w:r>
        <w:t xml:space="preserve">As illustrated in </w:t>
      </w:r>
      <w:r>
        <w:rPr>
          <w:b/>
          <w:bCs/>
        </w:rPr>
        <w:t>Figure 1</w:t>
      </w:r>
      <w:r>
        <w:t>, the FraudCapture SaaS solution delivers five modules essential to the discovery, finalization, and tracking of FWA cases:</w:t>
      </w:r>
    </w:p>
    <w:p w14:paraId="120C4AC5" w14:textId="77777777" w:rsidR="006F6F5D" w:rsidRPr="006F6F5D" w:rsidRDefault="006F6F5D" w:rsidP="005128DD">
      <w:pPr>
        <w:pStyle w:val="Bullet1Double"/>
        <w:widowControl w:val="0"/>
        <w:numPr>
          <w:ilvl w:val="0"/>
          <w:numId w:val="57"/>
        </w:numPr>
        <w:tabs>
          <w:tab w:val="clear" w:pos="0"/>
          <w:tab w:val="clear" w:pos="288"/>
        </w:tabs>
        <w:suppressAutoHyphens/>
        <w:ind w:left="720" w:hanging="450"/>
        <w:rPr>
          <w:rStyle w:val="Bullet1DoubleCharChar"/>
        </w:rPr>
      </w:pPr>
      <w:r w:rsidRPr="006F6F5D">
        <w:rPr>
          <w:rStyle w:val="Bullet1DoubleCharChar"/>
        </w:rPr>
        <w:t>Guided Analytics</w:t>
      </w:r>
    </w:p>
    <w:p w14:paraId="7C9D10C6" w14:textId="77777777" w:rsidR="006F6F5D" w:rsidRPr="006F6F5D" w:rsidRDefault="006F6F5D" w:rsidP="005128DD">
      <w:pPr>
        <w:pStyle w:val="Bullet1Double"/>
        <w:widowControl w:val="0"/>
        <w:numPr>
          <w:ilvl w:val="0"/>
          <w:numId w:val="57"/>
        </w:numPr>
        <w:tabs>
          <w:tab w:val="clear" w:pos="0"/>
          <w:tab w:val="clear" w:pos="288"/>
        </w:tabs>
        <w:suppressAutoHyphens/>
        <w:ind w:left="720" w:hanging="450"/>
        <w:rPr>
          <w:rStyle w:val="Bullet1DoubleCharChar"/>
        </w:rPr>
      </w:pPr>
      <w:r w:rsidRPr="006F6F5D">
        <w:rPr>
          <w:rStyle w:val="Bullet1DoubleCharChar"/>
        </w:rPr>
        <w:t>Provider and Patient Profiles</w:t>
      </w:r>
    </w:p>
    <w:p w14:paraId="30997863" w14:textId="77777777" w:rsidR="006F6F5D" w:rsidRPr="006F6F5D" w:rsidRDefault="006F6F5D" w:rsidP="005128DD">
      <w:pPr>
        <w:pStyle w:val="Bullet1Double"/>
        <w:widowControl w:val="0"/>
        <w:numPr>
          <w:ilvl w:val="0"/>
          <w:numId w:val="57"/>
        </w:numPr>
        <w:tabs>
          <w:tab w:val="clear" w:pos="0"/>
          <w:tab w:val="clear" w:pos="288"/>
        </w:tabs>
        <w:suppressAutoHyphens/>
        <w:ind w:left="720" w:hanging="450"/>
        <w:rPr>
          <w:rStyle w:val="Bullet1DoubleCharChar"/>
        </w:rPr>
      </w:pPr>
      <w:r w:rsidRPr="006F6F5D">
        <w:rPr>
          <w:rStyle w:val="Bullet1DoubleCharChar"/>
        </w:rPr>
        <w:t>Link Analysis</w:t>
      </w:r>
    </w:p>
    <w:p w14:paraId="0AAC3C91" w14:textId="77777777" w:rsidR="006F6F5D" w:rsidRPr="006F6F5D" w:rsidRDefault="006F6F5D" w:rsidP="005128DD">
      <w:pPr>
        <w:pStyle w:val="Bullet1Double"/>
        <w:widowControl w:val="0"/>
        <w:numPr>
          <w:ilvl w:val="0"/>
          <w:numId w:val="57"/>
        </w:numPr>
        <w:tabs>
          <w:tab w:val="clear" w:pos="0"/>
          <w:tab w:val="clear" w:pos="288"/>
        </w:tabs>
        <w:suppressAutoHyphens/>
        <w:ind w:left="720" w:hanging="450"/>
        <w:rPr>
          <w:rStyle w:val="Bullet1DoubleCharChar"/>
        </w:rPr>
      </w:pPr>
      <w:r w:rsidRPr="006F6F5D">
        <w:rPr>
          <w:rStyle w:val="Bullet1DoubleCharChar"/>
        </w:rPr>
        <w:t>Data Query &amp; Reports</w:t>
      </w:r>
    </w:p>
    <w:p w14:paraId="0C9C4EE9" w14:textId="77777777" w:rsidR="006F6F5D" w:rsidRDefault="006F6F5D" w:rsidP="005128DD">
      <w:pPr>
        <w:pStyle w:val="Bullet1Double"/>
        <w:widowControl w:val="0"/>
        <w:numPr>
          <w:ilvl w:val="0"/>
          <w:numId w:val="57"/>
        </w:numPr>
        <w:tabs>
          <w:tab w:val="clear" w:pos="0"/>
          <w:tab w:val="clear" w:pos="288"/>
        </w:tabs>
        <w:suppressAutoHyphens/>
        <w:ind w:left="720" w:hanging="450"/>
        <w:rPr>
          <w:rStyle w:val="Bullet1DoubleCharChar"/>
        </w:rPr>
      </w:pPr>
      <w:r w:rsidRPr="006F6F5D">
        <w:rPr>
          <w:rStyle w:val="Bullet1DoubleCharChar"/>
        </w:rPr>
        <w:t>Case Tracking</w:t>
      </w:r>
    </w:p>
    <w:p w14:paraId="7AD01DD2" w14:textId="77777777" w:rsidR="008800E0" w:rsidRPr="006F6F5D" w:rsidRDefault="008800E0" w:rsidP="008800E0">
      <w:pPr>
        <w:pStyle w:val="Bullet1Double"/>
        <w:widowControl w:val="0"/>
        <w:numPr>
          <w:ilvl w:val="0"/>
          <w:numId w:val="0"/>
        </w:numPr>
        <w:tabs>
          <w:tab w:val="clear" w:pos="288"/>
        </w:tabs>
        <w:suppressAutoHyphens/>
        <w:ind w:left="720"/>
        <w:rPr>
          <w:rStyle w:val="Bullet1DoubleCharChar"/>
        </w:rPr>
      </w:pPr>
    </w:p>
    <w:tbl>
      <w:tblPr>
        <w:tblW w:w="9360" w:type="dxa"/>
        <w:jc w:val="center"/>
        <w:tblBorders>
          <w:top w:val="single" w:sz="2" w:space="0" w:color="000000" w:themeColor="text1"/>
          <w:bottom w:val="single" w:sz="2" w:space="0" w:color="000000" w:themeColor="text1"/>
          <w:insideH w:val="single" w:sz="2" w:space="0" w:color="000000" w:themeColor="text1"/>
          <w:insideV w:val="single" w:sz="4" w:space="0" w:color="3E7BB9"/>
        </w:tblBorders>
        <w:tblLayout w:type="fixed"/>
        <w:tblCellMar>
          <w:left w:w="115" w:type="dxa"/>
          <w:right w:w="115" w:type="dxa"/>
        </w:tblCellMar>
        <w:tblLook w:val="04A0" w:firstRow="1" w:lastRow="0" w:firstColumn="1" w:lastColumn="0" w:noHBand="0" w:noVBand="1"/>
      </w:tblPr>
      <w:tblGrid>
        <w:gridCol w:w="9360"/>
      </w:tblGrid>
      <w:tr w:rsidR="00CA63EF" w:rsidRPr="00D03E89" w14:paraId="679D47D6" w14:textId="77777777" w:rsidTr="00A26D62">
        <w:trPr>
          <w:cantSplit/>
          <w:trHeight w:val="458"/>
          <w:jc w:val="center"/>
        </w:trPr>
        <w:tc>
          <w:tcPr>
            <w:tcW w:w="9360" w:type="dxa"/>
            <w:tcBorders>
              <w:top w:val="single" w:sz="4" w:space="0" w:color="auto"/>
              <w:bottom w:val="single" w:sz="4" w:space="0" w:color="auto"/>
            </w:tcBorders>
            <w:vAlign w:val="center"/>
            <w:hideMark/>
          </w:tcPr>
          <w:p w14:paraId="3C7ECD78" w14:textId="77777777" w:rsidR="00CA63EF" w:rsidRPr="00E030B0" w:rsidRDefault="00CA63EF" w:rsidP="005128DD">
            <w:pPr>
              <w:pStyle w:val="ExhibitTitle"/>
              <w:keepNext w:val="0"/>
              <w:widowControl w:val="0"/>
              <w:suppressAutoHyphens/>
              <w:rPr>
                <w:rStyle w:val="ActionCaptionB"/>
                <w:i w:val="0"/>
              </w:rPr>
            </w:pPr>
            <w:r>
              <w:lastRenderedPageBreak/>
              <w:t>Figure 1 FraudCapture Solution Overview</w:t>
            </w:r>
          </w:p>
        </w:tc>
      </w:tr>
      <w:tr w:rsidR="00CA63EF" w:rsidRPr="00D03E89" w14:paraId="1ADBAEA7" w14:textId="77777777" w:rsidTr="00CA63EF">
        <w:trPr>
          <w:cantSplit/>
          <w:trHeight w:val="1952"/>
          <w:jc w:val="center"/>
        </w:trPr>
        <w:tc>
          <w:tcPr>
            <w:tcW w:w="9360" w:type="dxa"/>
            <w:tcBorders>
              <w:top w:val="single" w:sz="4" w:space="0" w:color="auto"/>
            </w:tcBorders>
            <w:vAlign w:val="center"/>
          </w:tcPr>
          <w:p w14:paraId="17D9D561" w14:textId="77777777" w:rsidR="00CA63EF" w:rsidRDefault="00CA63EF" w:rsidP="005128DD">
            <w:pPr>
              <w:widowControl w:val="0"/>
              <w:suppressAutoHyphens/>
            </w:pPr>
            <w:r>
              <w:rPr>
                <w:noProof/>
              </w:rPr>
              <w:drawing>
                <wp:inline distT="0" distB="0" distL="0" distR="0" wp14:anchorId="78C7E9EC" wp14:editId="79F9862E">
                  <wp:extent cx="5866582" cy="1136650"/>
                  <wp:effectExtent l="0" t="0" r="1270" b="6350"/>
                  <wp:docPr id="548203552" name="Picture 548203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71632" cy="1137629"/>
                          </a:xfrm>
                          <a:prstGeom prst="rect">
                            <a:avLst/>
                          </a:prstGeom>
                        </pic:spPr>
                      </pic:pic>
                    </a:graphicData>
                  </a:graphic>
                </wp:inline>
              </w:drawing>
            </w:r>
          </w:p>
        </w:tc>
      </w:tr>
    </w:tbl>
    <w:p w14:paraId="2C9EE794" w14:textId="77777777" w:rsidR="00810744" w:rsidRDefault="00810744" w:rsidP="005128DD">
      <w:pPr>
        <w:pStyle w:val="Heading60"/>
        <w:keepNext w:val="0"/>
        <w:keepLines w:val="0"/>
        <w:widowControl w:val="0"/>
        <w:suppressAutoHyphens/>
        <w:rPr>
          <w:rFonts w:hint="eastAsia"/>
        </w:rPr>
      </w:pPr>
      <w:r>
        <w:t>Guided Analytics Module</w:t>
      </w:r>
    </w:p>
    <w:p w14:paraId="6726EA6F" w14:textId="77777777" w:rsidR="00810744" w:rsidRDefault="00810744" w:rsidP="005128DD">
      <w:pPr>
        <w:pStyle w:val="BodyText"/>
        <w:widowControl w:val="0"/>
        <w:suppressAutoHyphens/>
      </w:pPr>
      <w:r w:rsidRPr="00CC50D4">
        <w:t xml:space="preserve">The Guided Analytics </w:t>
      </w:r>
      <w:r>
        <w:t xml:space="preserve">module within FraudCapture </w:t>
      </w:r>
      <w:r w:rsidRPr="00CC50D4">
        <w:t xml:space="preserve">applies behavioral scenarios, statistical models, and algorithms to identify potential high-risk targets in all claim types including pharmacy. Clear data visualizations with interactive and relevant key data promote understanding of the output. Supporting data and information is easily accessible with </w:t>
      </w:r>
      <w:proofErr w:type="gramStart"/>
      <w:r w:rsidRPr="00CC50D4">
        <w:t>a few</w:t>
      </w:r>
      <w:proofErr w:type="gramEnd"/>
      <w:r w:rsidRPr="00CC50D4">
        <w:t xml:space="preserve"> clicks through detail</w:t>
      </w:r>
      <w:r>
        <w:t>ed</w:t>
      </w:r>
      <w:r w:rsidRPr="00CC50D4">
        <w:t xml:space="preserve"> claim data. The analytic categories include provider,</w:t>
      </w:r>
      <w:r>
        <w:t xml:space="preserve"> patient</w:t>
      </w:r>
      <w:r w:rsidRPr="00CC50D4">
        <w:t>, p</w:t>
      </w:r>
      <w:r>
        <w:t>rescription</w:t>
      </w:r>
      <w:r w:rsidRPr="00CC50D4">
        <w:t xml:space="preserve"> (Rx), and global, as </w:t>
      </w:r>
      <w:r>
        <w:t>illustrated</w:t>
      </w:r>
      <w:r w:rsidRPr="00CC50D4">
        <w:t xml:space="preserve"> in</w:t>
      </w:r>
      <w:r w:rsidRPr="005E4F8E">
        <w:rPr>
          <w:b/>
          <w:bCs/>
        </w:rPr>
        <w:t xml:space="preserve"> </w:t>
      </w:r>
      <w:r>
        <w:rPr>
          <w:b/>
          <w:bCs/>
        </w:rPr>
        <w:t>Figure 2</w:t>
      </w:r>
      <w:r w:rsidRPr="00CC50D4">
        <w:t>.</w:t>
      </w:r>
    </w:p>
    <w:tbl>
      <w:tblPr>
        <w:tblW w:w="9570" w:type="dxa"/>
        <w:jc w:val="center"/>
        <w:tblBorders>
          <w:top w:val="single" w:sz="2" w:space="0" w:color="000000" w:themeColor="text1"/>
          <w:bottom w:val="single" w:sz="2" w:space="0" w:color="000000" w:themeColor="text1"/>
          <w:insideH w:val="single" w:sz="2" w:space="0" w:color="000000" w:themeColor="text1"/>
          <w:insideV w:val="single" w:sz="4" w:space="0" w:color="3E7BB9"/>
        </w:tblBorders>
        <w:tblLayout w:type="fixed"/>
        <w:tblCellMar>
          <w:left w:w="115" w:type="dxa"/>
          <w:right w:w="115" w:type="dxa"/>
        </w:tblCellMar>
        <w:tblLook w:val="04A0" w:firstRow="1" w:lastRow="0" w:firstColumn="1" w:lastColumn="0" w:noHBand="0" w:noVBand="1"/>
      </w:tblPr>
      <w:tblGrid>
        <w:gridCol w:w="9570"/>
      </w:tblGrid>
      <w:tr w:rsidR="00084C8C" w:rsidRPr="00D03E89" w14:paraId="5EB31EA5" w14:textId="77777777" w:rsidTr="00A26D62">
        <w:trPr>
          <w:cantSplit/>
          <w:trHeight w:val="458"/>
          <w:jc w:val="center"/>
        </w:trPr>
        <w:tc>
          <w:tcPr>
            <w:tcW w:w="9570" w:type="dxa"/>
            <w:tcBorders>
              <w:top w:val="single" w:sz="4" w:space="0" w:color="auto"/>
              <w:bottom w:val="single" w:sz="4" w:space="0" w:color="auto"/>
            </w:tcBorders>
            <w:vAlign w:val="center"/>
            <w:hideMark/>
          </w:tcPr>
          <w:p w14:paraId="65E00881" w14:textId="77777777" w:rsidR="00084C8C" w:rsidRPr="00E030B0" w:rsidRDefault="00084C8C" w:rsidP="005128DD">
            <w:pPr>
              <w:pStyle w:val="ExhibitTitle"/>
              <w:keepNext w:val="0"/>
              <w:widowControl w:val="0"/>
              <w:suppressAutoHyphens/>
              <w:rPr>
                <w:rStyle w:val="ActionCaptionB"/>
                <w:i w:val="0"/>
              </w:rPr>
            </w:pPr>
            <w:r>
              <w:t>Figure 2 Guided Analytics</w:t>
            </w:r>
          </w:p>
        </w:tc>
      </w:tr>
      <w:tr w:rsidR="00084C8C" w:rsidRPr="00D03E89" w14:paraId="05A81C9E" w14:textId="77777777" w:rsidTr="00A26D62">
        <w:trPr>
          <w:cantSplit/>
          <w:trHeight w:val="3941"/>
          <w:jc w:val="center"/>
        </w:trPr>
        <w:tc>
          <w:tcPr>
            <w:tcW w:w="9570" w:type="dxa"/>
            <w:tcBorders>
              <w:top w:val="single" w:sz="4" w:space="0" w:color="auto"/>
            </w:tcBorders>
            <w:vAlign w:val="center"/>
          </w:tcPr>
          <w:p w14:paraId="18AB7B5B" w14:textId="77777777" w:rsidR="00084C8C" w:rsidRDefault="00084C8C" w:rsidP="005128DD">
            <w:pPr>
              <w:widowControl w:val="0"/>
              <w:suppressAutoHyphens/>
              <w:jc w:val="center"/>
            </w:pPr>
            <w:r>
              <w:rPr>
                <w:noProof/>
              </w:rPr>
              <w:drawing>
                <wp:inline distT="0" distB="0" distL="0" distR="0" wp14:anchorId="1D5E829D" wp14:editId="07EAE3C7">
                  <wp:extent cx="5721350" cy="2455414"/>
                  <wp:effectExtent l="0" t="0" r="0" b="2540"/>
                  <wp:docPr id="1143797473" name="Picture 1143797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747175" cy="2466497"/>
                          </a:xfrm>
                          <a:prstGeom prst="rect">
                            <a:avLst/>
                          </a:prstGeom>
                        </pic:spPr>
                      </pic:pic>
                    </a:graphicData>
                  </a:graphic>
                </wp:inline>
              </w:drawing>
            </w:r>
          </w:p>
        </w:tc>
      </w:tr>
    </w:tbl>
    <w:p w14:paraId="40C04EE1" w14:textId="77777777" w:rsidR="00810744" w:rsidRDefault="00810744" w:rsidP="005128DD">
      <w:pPr>
        <w:pStyle w:val="BodyText"/>
        <w:widowControl w:val="0"/>
        <w:suppressAutoHyphens/>
        <w:spacing w:after="0"/>
      </w:pPr>
    </w:p>
    <w:p w14:paraId="683AEBEE" w14:textId="77777777" w:rsidR="00013831" w:rsidRDefault="00013831" w:rsidP="005128DD">
      <w:pPr>
        <w:pStyle w:val="BodyText"/>
        <w:widowControl w:val="0"/>
        <w:suppressAutoHyphens/>
      </w:pPr>
      <w:r>
        <w:t xml:space="preserve">FraudCapture’s analytic models leverage a variety of data analysis and detection techniques and are distinguished in the system by </w:t>
      </w:r>
      <w:proofErr w:type="gramStart"/>
      <w:r>
        <w:t>different types</w:t>
      </w:r>
      <w:proofErr w:type="gramEnd"/>
      <w:r>
        <w:t xml:space="preserve"> of risk issues or risk scenarios. Based on the nature of the analysis, these model results are categorized into such areas as behavioral, statistical outliers, scheme-based suspects, global billing trends, geospatial, network, or predictive.</w:t>
      </w:r>
    </w:p>
    <w:p w14:paraId="377A0443" w14:textId="77777777" w:rsidR="00013831" w:rsidRDefault="00013831" w:rsidP="005128DD">
      <w:pPr>
        <w:pStyle w:val="BodyText"/>
        <w:widowControl w:val="0"/>
        <w:suppressAutoHyphens/>
      </w:pPr>
      <w:r>
        <w:t>Our experienced healthcare fraud analysis experts, working with our accredited fraud investigators and clinical professionals build and continually refine new guided analytics to address specific risk issues. From anomalies in payment patterns to high-cost drug prescription usage, each model analyzes available data and offers a list of targets with suspect behavior based on the model criteria.</w:t>
      </w:r>
    </w:p>
    <w:p w14:paraId="5F023DBA" w14:textId="77777777" w:rsidR="00013831" w:rsidRDefault="00013831" w:rsidP="005128DD">
      <w:pPr>
        <w:pStyle w:val="BodyText"/>
        <w:widowControl w:val="0"/>
        <w:suppressAutoHyphens/>
      </w:pPr>
      <w:r>
        <w:lastRenderedPageBreak/>
        <w:t>Viewing medical and pharmacy data in one system and across various analytics is essential to detecting and preventing FWA. FraudCapture incorporates pharmacy data into the analytics to provide the full picture of patient treatments, episodes, and overall history. We developed</w:t>
      </w:r>
      <w:r w:rsidDel="00FC797F">
        <w:t xml:space="preserve"> </w:t>
      </w:r>
      <w:r>
        <w:t>prescription-related analytic models and visualizations to aid investigators when looking for overutilization, overprescribing, suspect referral patterns, and spikes related to either a prescriber or patient.</w:t>
      </w:r>
    </w:p>
    <w:p w14:paraId="1E42728E" w14:textId="77777777" w:rsidR="00F66B26" w:rsidRDefault="00F66B26" w:rsidP="005128DD">
      <w:pPr>
        <w:pStyle w:val="Heading60"/>
        <w:keepNext w:val="0"/>
        <w:keepLines w:val="0"/>
        <w:widowControl w:val="0"/>
        <w:suppressAutoHyphens/>
        <w:rPr>
          <w:rFonts w:hint="eastAsia"/>
        </w:rPr>
      </w:pPr>
      <w:r>
        <w:t>Provider and Patient Profiles Module</w:t>
      </w:r>
    </w:p>
    <w:p w14:paraId="76316596" w14:textId="77777777" w:rsidR="00F66B26" w:rsidRDefault="00F66B26" w:rsidP="005128DD">
      <w:pPr>
        <w:pStyle w:val="BodyText"/>
        <w:widowControl w:val="0"/>
        <w:suppressAutoHyphens/>
      </w:pPr>
      <w:r>
        <w:t xml:space="preserve">Provider and patient information is best accessed across the FraudCapture platform rather than through a single module. FraudCapture renders up a unique profile for each entity (e.g., medical provider, facility, pharmacy, patient, </w:t>
      </w:r>
      <w:proofErr w:type="gramStart"/>
      <w:r>
        <w:t>etc.</w:t>
      </w:r>
      <w:proofErr w:type="gramEnd"/>
      <w:r>
        <w:t xml:space="preserve">) within the underlying data. These profiles include items such as demographics, key metrics, trends, analytics results, current and historical Case Tracking information, interactive charts, map locations, and other information. </w:t>
      </w:r>
    </w:p>
    <w:p w14:paraId="60131537" w14:textId="77777777" w:rsidR="00F66B26" w:rsidRDefault="00F66B26" w:rsidP="005128DD">
      <w:pPr>
        <w:pStyle w:val="BodyText"/>
        <w:widowControl w:val="0"/>
        <w:suppressAutoHyphens/>
      </w:pPr>
      <w:r>
        <w:t xml:space="preserve">Provider and patient profiles save staff hours of work otherwise spent reviewing and summarizing raw data. FraudCapture users have information available at their fingertips to develop immediate context when triaging hotline tips or referrals, performing preliminary investigations, and determining the appropriate next steps. </w:t>
      </w:r>
    </w:p>
    <w:p w14:paraId="5721C435" w14:textId="77777777" w:rsidR="00F66B26" w:rsidRDefault="00F66B26" w:rsidP="005128DD">
      <w:pPr>
        <w:pStyle w:val="BodyText"/>
        <w:widowControl w:val="0"/>
        <w:suppressAutoHyphens/>
      </w:pPr>
      <w:r>
        <w:t xml:space="preserve">Gainwell aggregates claims and other data, then applies a range of analytics to build a comprehensive profile for each provider and patient within the program. These profiles are updated with each data refresh, so that the key metrics and trends reflect current information. Further, users can create a Case Tracking lead directly from a profile, automatically populating key details without ever separately navigating away from the page. Provider profiles also include a Preliminary Report option which includes peer comparisons, demographics and metrics in a downloadable, editable report. </w:t>
      </w:r>
    </w:p>
    <w:p w14:paraId="45710E4E" w14:textId="77777777" w:rsidR="00F66B26" w:rsidRDefault="00F66B26" w:rsidP="005128DD">
      <w:pPr>
        <w:pStyle w:val="BodyText"/>
        <w:widowControl w:val="0"/>
        <w:suppressAutoHyphens/>
      </w:pPr>
      <w:r>
        <w:t xml:space="preserve">From within any profile, users can also seamlessly navigate to the Link Analysis module. </w:t>
      </w:r>
    </w:p>
    <w:p w14:paraId="2108929F" w14:textId="77777777" w:rsidR="007635C6" w:rsidRDefault="007635C6" w:rsidP="005128DD">
      <w:pPr>
        <w:pStyle w:val="Heading60"/>
        <w:keepNext w:val="0"/>
        <w:keepLines w:val="0"/>
        <w:widowControl w:val="0"/>
        <w:suppressAutoHyphens/>
        <w:rPr>
          <w:rFonts w:hint="eastAsia"/>
        </w:rPr>
      </w:pPr>
      <w:r>
        <w:t>Data Query</w:t>
      </w:r>
      <w:r>
        <w:rPr>
          <w:spacing w:val="-3"/>
        </w:rPr>
        <w:t xml:space="preserve"> </w:t>
      </w:r>
      <w:r>
        <w:t>and</w:t>
      </w:r>
      <w:r>
        <w:rPr>
          <w:spacing w:val="-6"/>
        </w:rPr>
        <w:t xml:space="preserve"> </w:t>
      </w:r>
      <w:r>
        <w:t>Extraction Module</w:t>
      </w:r>
    </w:p>
    <w:p w14:paraId="60ED98BB" w14:textId="77777777" w:rsidR="007635C6" w:rsidRDefault="007635C6" w:rsidP="005128DD">
      <w:pPr>
        <w:pStyle w:val="ProposalResponseText"/>
        <w:widowControl w:val="0"/>
        <w:suppressAutoHyphens/>
      </w:pPr>
      <w:r>
        <w:t>In addition to the analytic models and report templates, FraudCapture includes data query and extraction</w:t>
      </w:r>
      <w:r>
        <w:rPr>
          <w:spacing w:val="1"/>
        </w:rPr>
        <w:t xml:space="preserve"> </w:t>
      </w:r>
      <w:r>
        <w:t>tools for intuitive ad hoc report design and sophisticated querying. The Data Query and Extraction Query</w:t>
      </w:r>
      <w:r>
        <w:rPr>
          <w:spacing w:val="1"/>
        </w:rPr>
        <w:t xml:space="preserve"> </w:t>
      </w:r>
      <w:r>
        <w:t>functionality allows users full access data—claims, eligibility, case data, and</w:t>
      </w:r>
      <w:r>
        <w:rPr>
          <w:spacing w:val="1"/>
        </w:rPr>
        <w:t xml:space="preserve"> </w:t>
      </w:r>
      <w:r>
        <w:t>investigations in progress—</w:t>
      </w:r>
      <w:r w:rsidRPr="002E742C">
        <w:t>allowing on-the-fly</w:t>
      </w:r>
      <w:r>
        <w:t xml:space="preserve"> exploration of data across the full spectrum of information </w:t>
      </w:r>
      <w:r>
        <w:rPr>
          <w:spacing w:val="-53"/>
        </w:rPr>
        <w:t xml:space="preserve"> </w:t>
      </w:r>
      <w:r>
        <w:t xml:space="preserve">loaded into the system. Users are alerted to </w:t>
      </w:r>
      <w:proofErr w:type="gramStart"/>
      <w:r>
        <w:t>new trends</w:t>
      </w:r>
      <w:proofErr w:type="gramEnd"/>
      <w:r>
        <w:t xml:space="preserve"> and behavior through scheduling and</w:t>
      </w:r>
      <w:r>
        <w:rPr>
          <w:spacing w:val="1"/>
        </w:rPr>
        <w:t xml:space="preserve"> </w:t>
      </w:r>
      <w:r>
        <w:t>notifications. Execution and delivery of routine reports is automated and simplified. Best of all, the unique</w:t>
      </w:r>
      <w:r>
        <w:rPr>
          <w:spacing w:val="1"/>
        </w:rPr>
        <w:t xml:space="preserve"> </w:t>
      </w:r>
      <w:r>
        <w:t>reporting</w:t>
      </w:r>
      <w:r>
        <w:rPr>
          <w:spacing w:val="-1"/>
        </w:rPr>
        <w:t xml:space="preserve"> </w:t>
      </w:r>
      <w:r>
        <w:t>needs of</w:t>
      </w:r>
      <w:r>
        <w:rPr>
          <w:spacing w:val="3"/>
        </w:rPr>
        <w:t xml:space="preserve"> </w:t>
      </w:r>
      <w:r>
        <w:t>users</w:t>
      </w:r>
      <w:r>
        <w:rPr>
          <w:spacing w:val="-3"/>
        </w:rPr>
        <w:t xml:space="preserve"> </w:t>
      </w:r>
      <w:r>
        <w:t>are</w:t>
      </w:r>
      <w:r>
        <w:rPr>
          <w:spacing w:val="-1"/>
        </w:rPr>
        <w:t xml:space="preserve"> </w:t>
      </w:r>
      <w:r>
        <w:t>fulfilled</w:t>
      </w:r>
      <w:r>
        <w:rPr>
          <w:spacing w:val="-2"/>
        </w:rPr>
        <w:t xml:space="preserve"> </w:t>
      </w:r>
      <w:r>
        <w:t>without</w:t>
      </w:r>
      <w:r>
        <w:rPr>
          <w:spacing w:val="2"/>
        </w:rPr>
        <w:t xml:space="preserve"> </w:t>
      </w:r>
      <w:r>
        <w:t>custom</w:t>
      </w:r>
      <w:r>
        <w:rPr>
          <w:spacing w:val="-3"/>
        </w:rPr>
        <w:t xml:space="preserve"> </w:t>
      </w:r>
      <w:r>
        <w:t>development</w:t>
      </w:r>
      <w:r>
        <w:rPr>
          <w:spacing w:val="2"/>
        </w:rPr>
        <w:t xml:space="preserve"> </w:t>
      </w:r>
      <w:r>
        <w:t>costs</w:t>
      </w:r>
      <w:r>
        <w:rPr>
          <w:spacing w:val="1"/>
        </w:rPr>
        <w:t xml:space="preserve"> </w:t>
      </w:r>
      <w:r>
        <w:t>and</w:t>
      </w:r>
      <w:r>
        <w:rPr>
          <w:spacing w:val="-1"/>
        </w:rPr>
        <w:t xml:space="preserve"> </w:t>
      </w:r>
      <w:r>
        <w:t>in a timely manner.</w:t>
      </w:r>
    </w:p>
    <w:p w14:paraId="160915E7" w14:textId="77777777" w:rsidR="007635C6" w:rsidRPr="003A6C1E" w:rsidRDefault="007635C6" w:rsidP="005128DD">
      <w:pPr>
        <w:pStyle w:val="ProposalResponseText"/>
        <w:widowControl w:val="0"/>
        <w:suppressAutoHyphens/>
        <w:rPr>
          <w:szCs w:val="22"/>
        </w:rPr>
      </w:pPr>
      <w:r>
        <w:t>Queries can be saved to the user’s dashboard area, which allows for easy retrieval and re-execution.</w:t>
      </w:r>
      <w:r>
        <w:rPr>
          <w:spacing w:val="1"/>
        </w:rPr>
        <w:t xml:space="preserve"> </w:t>
      </w:r>
      <w:r>
        <w:t>Queries can be shared with other team members, and as needed, Gainwell experts can assist with</w:t>
      </w:r>
      <w:r>
        <w:rPr>
          <w:spacing w:val="1"/>
        </w:rPr>
        <w:t xml:space="preserve"> </w:t>
      </w:r>
      <w:r>
        <w:t>building</w:t>
      </w:r>
      <w:r>
        <w:rPr>
          <w:spacing w:val="-2"/>
        </w:rPr>
        <w:t xml:space="preserve"> </w:t>
      </w:r>
      <w:r>
        <w:t>custom queries</w:t>
      </w:r>
      <w:r>
        <w:rPr>
          <w:spacing w:val="-1"/>
        </w:rPr>
        <w:t xml:space="preserve"> </w:t>
      </w:r>
      <w:r>
        <w:t>to</w:t>
      </w:r>
      <w:r>
        <w:rPr>
          <w:spacing w:val="-1"/>
        </w:rPr>
        <w:t xml:space="preserve"> </w:t>
      </w:r>
      <w:r>
        <w:t>be</w:t>
      </w:r>
      <w:r>
        <w:rPr>
          <w:spacing w:val="-6"/>
        </w:rPr>
        <w:t xml:space="preserve"> </w:t>
      </w:r>
      <w:r>
        <w:t>shared.</w:t>
      </w:r>
      <w:r>
        <w:rPr>
          <w:spacing w:val="-4"/>
        </w:rPr>
        <w:t xml:space="preserve"> </w:t>
      </w:r>
      <w:r>
        <w:t>For uninterrupted</w:t>
      </w:r>
      <w:r>
        <w:rPr>
          <w:spacing w:val="-2"/>
        </w:rPr>
        <w:t xml:space="preserve"> </w:t>
      </w:r>
      <w:r>
        <w:t>use</w:t>
      </w:r>
      <w:r>
        <w:rPr>
          <w:spacing w:val="-1"/>
        </w:rPr>
        <w:t xml:space="preserve"> </w:t>
      </w:r>
      <w:r>
        <w:t>of</w:t>
      </w:r>
      <w:r>
        <w:rPr>
          <w:spacing w:val="-3"/>
        </w:rPr>
        <w:t xml:space="preserve"> </w:t>
      </w:r>
      <w:r>
        <w:t>the</w:t>
      </w:r>
      <w:r>
        <w:rPr>
          <w:spacing w:val="-2"/>
        </w:rPr>
        <w:t xml:space="preserve"> </w:t>
      </w:r>
      <w:r>
        <w:t xml:space="preserve">system </w:t>
      </w:r>
      <w:r w:rsidRPr="003A6C1E">
        <w:rPr>
          <w:szCs w:val="22"/>
        </w:rPr>
        <w:t>when</w:t>
      </w:r>
      <w:r w:rsidRPr="003A6C1E">
        <w:rPr>
          <w:spacing w:val="-2"/>
          <w:szCs w:val="22"/>
        </w:rPr>
        <w:t xml:space="preserve"> </w:t>
      </w:r>
      <w:r w:rsidRPr="003A6C1E">
        <w:rPr>
          <w:szCs w:val="22"/>
        </w:rPr>
        <w:t>a</w:t>
      </w:r>
      <w:r w:rsidRPr="003A6C1E">
        <w:rPr>
          <w:spacing w:val="-1"/>
          <w:szCs w:val="22"/>
        </w:rPr>
        <w:t xml:space="preserve"> </w:t>
      </w:r>
      <w:r w:rsidRPr="003A6C1E">
        <w:rPr>
          <w:szCs w:val="22"/>
        </w:rPr>
        <w:t>large</w:t>
      </w:r>
      <w:r w:rsidRPr="003A6C1E">
        <w:rPr>
          <w:spacing w:val="-1"/>
          <w:szCs w:val="22"/>
        </w:rPr>
        <w:t xml:space="preserve"> </w:t>
      </w:r>
      <w:r w:rsidRPr="003A6C1E">
        <w:rPr>
          <w:szCs w:val="22"/>
        </w:rPr>
        <w:t>data</w:t>
      </w:r>
      <w:r w:rsidRPr="003A6C1E">
        <w:rPr>
          <w:spacing w:val="-2"/>
          <w:szCs w:val="22"/>
        </w:rPr>
        <w:t xml:space="preserve"> </w:t>
      </w:r>
      <w:r w:rsidRPr="003A6C1E">
        <w:rPr>
          <w:szCs w:val="22"/>
        </w:rPr>
        <w:t>extract</w:t>
      </w:r>
      <w:r w:rsidRPr="003A6C1E">
        <w:rPr>
          <w:spacing w:val="-3"/>
          <w:szCs w:val="22"/>
        </w:rPr>
        <w:t xml:space="preserve"> </w:t>
      </w:r>
      <w:r w:rsidRPr="003A6C1E">
        <w:rPr>
          <w:szCs w:val="22"/>
        </w:rPr>
        <w:t xml:space="preserve">is needed, </w:t>
      </w:r>
      <w:r>
        <w:rPr>
          <w:szCs w:val="22"/>
        </w:rPr>
        <w:t>FraudCapture</w:t>
      </w:r>
      <w:r w:rsidRPr="003A6C1E">
        <w:rPr>
          <w:szCs w:val="22"/>
        </w:rPr>
        <w:t xml:space="preserve"> queues these exports in the background and notifies users when</w:t>
      </w:r>
      <w:r>
        <w:rPr>
          <w:szCs w:val="22"/>
        </w:rPr>
        <w:t xml:space="preserve"> they are</w:t>
      </w:r>
      <w:r w:rsidRPr="003A6C1E">
        <w:rPr>
          <w:szCs w:val="22"/>
        </w:rPr>
        <w:t xml:space="preserve"> read</w:t>
      </w:r>
      <w:r>
        <w:rPr>
          <w:szCs w:val="22"/>
        </w:rPr>
        <w:t>y for download.</w:t>
      </w:r>
    </w:p>
    <w:p w14:paraId="7599FBD5" w14:textId="58E73BD1" w:rsidR="007635C6" w:rsidRPr="003A6C1E" w:rsidRDefault="007635C6" w:rsidP="005128DD">
      <w:pPr>
        <w:pStyle w:val="ProposalResponseText"/>
        <w:widowControl w:val="0"/>
        <w:suppressAutoHyphens/>
        <w:rPr>
          <w:szCs w:val="22"/>
        </w:rPr>
      </w:pPr>
      <w:r w:rsidRPr="003A6C1E">
        <w:rPr>
          <w:szCs w:val="22"/>
        </w:rPr>
        <w:t>This</w:t>
      </w:r>
      <w:r w:rsidRPr="003A6C1E">
        <w:rPr>
          <w:spacing w:val="-2"/>
          <w:szCs w:val="22"/>
        </w:rPr>
        <w:t xml:space="preserve"> </w:t>
      </w:r>
      <w:r w:rsidRPr="003A6C1E">
        <w:rPr>
          <w:szCs w:val="22"/>
        </w:rPr>
        <w:t xml:space="preserve">module </w:t>
      </w:r>
      <w:r>
        <w:rPr>
          <w:szCs w:val="22"/>
        </w:rPr>
        <w:t>enables users to:</w:t>
      </w:r>
    </w:p>
    <w:p w14:paraId="6459AF49" w14:textId="77777777" w:rsidR="002F076C" w:rsidRDefault="002F076C" w:rsidP="005128DD">
      <w:pPr>
        <w:pStyle w:val="Bullet1Double"/>
        <w:widowControl w:val="0"/>
        <w:numPr>
          <w:ilvl w:val="0"/>
          <w:numId w:val="58"/>
        </w:numPr>
        <w:tabs>
          <w:tab w:val="clear" w:pos="0"/>
          <w:tab w:val="clear" w:pos="288"/>
        </w:tabs>
        <w:suppressAutoHyphens/>
        <w:ind w:left="720" w:hanging="450"/>
      </w:pPr>
      <w:r w:rsidRPr="007177D8">
        <w:rPr>
          <w:b/>
        </w:rPr>
        <w:t>Build ad hoc queries</w:t>
      </w:r>
      <w:r>
        <w:rPr>
          <w:b/>
        </w:rPr>
        <w:t xml:space="preserve">. </w:t>
      </w:r>
      <w:r w:rsidRPr="00764EA1">
        <w:t xml:space="preserve">Users may build simple queries with just </w:t>
      </w:r>
      <w:proofErr w:type="gramStart"/>
      <w:r w:rsidRPr="00764EA1">
        <w:t>a few</w:t>
      </w:r>
      <w:proofErr w:type="gramEnd"/>
      <w:r w:rsidRPr="00764EA1">
        <w:t xml:space="preserve"> conditions or build </w:t>
      </w:r>
      <w:r w:rsidRPr="00764EA1">
        <w:lastRenderedPageBreak/>
        <w:t>more complex</w:t>
      </w:r>
      <w:r>
        <w:t xml:space="preserve"> </w:t>
      </w:r>
      <w:r w:rsidRPr="00764EA1">
        <w:rPr>
          <w:spacing w:val="-54"/>
        </w:rPr>
        <w:t xml:space="preserve"> </w:t>
      </w:r>
      <w:r w:rsidRPr="00764EA1">
        <w:t>queries with multiple joins and conditions. With this tool, users do not need to understand the</w:t>
      </w:r>
      <w:r w:rsidRPr="00764EA1">
        <w:rPr>
          <w:spacing w:val="1"/>
        </w:rPr>
        <w:t xml:space="preserve"> </w:t>
      </w:r>
      <w:r w:rsidRPr="00764EA1">
        <w:t xml:space="preserve">underlying query construction to explore the data on an ad hoc basis. </w:t>
      </w:r>
    </w:p>
    <w:p w14:paraId="5FA66A65" w14:textId="77777777" w:rsidR="002F076C" w:rsidRPr="00764EA1" w:rsidRDefault="002F076C" w:rsidP="005128DD">
      <w:pPr>
        <w:pStyle w:val="Bullet1Double"/>
        <w:widowControl w:val="0"/>
        <w:numPr>
          <w:ilvl w:val="0"/>
          <w:numId w:val="58"/>
        </w:numPr>
        <w:tabs>
          <w:tab w:val="clear" w:pos="0"/>
          <w:tab w:val="clear" w:pos="288"/>
        </w:tabs>
        <w:suppressAutoHyphens/>
        <w:ind w:left="720" w:hanging="450"/>
      </w:pPr>
      <w:r w:rsidRPr="007177D8">
        <w:rPr>
          <w:b/>
        </w:rPr>
        <w:t>D</w:t>
      </w:r>
      <w:r>
        <w:rPr>
          <w:b/>
        </w:rPr>
        <w:t>esign reports.</w:t>
      </w:r>
      <w:r>
        <w:t xml:space="preserve"> </w:t>
      </w:r>
      <w:r w:rsidRPr="00764EA1">
        <w:t xml:space="preserve">Users design reports quickly </w:t>
      </w:r>
      <w:r w:rsidRPr="007177D8">
        <w:t xml:space="preserve">by </w:t>
      </w:r>
      <w:r>
        <w:t>dragging</w:t>
      </w:r>
      <w:r w:rsidRPr="007177D8">
        <w:t xml:space="preserve"> and </w:t>
      </w:r>
      <w:r w:rsidRPr="00764EA1">
        <w:t>dropping fields from all types of data</w:t>
      </w:r>
      <w:r>
        <w:t xml:space="preserve">: </w:t>
      </w:r>
      <w:r w:rsidRPr="00764EA1">
        <w:t>claims, eligibility, case data, investigations in</w:t>
      </w:r>
      <w:r w:rsidRPr="007177D8">
        <w:t xml:space="preserve"> </w:t>
      </w:r>
      <w:r w:rsidRPr="00764EA1">
        <w:t>progress.</w:t>
      </w:r>
    </w:p>
    <w:p w14:paraId="0E4C8D98" w14:textId="77777777" w:rsidR="002F076C" w:rsidRPr="00764EA1" w:rsidRDefault="002F076C" w:rsidP="005128DD">
      <w:pPr>
        <w:pStyle w:val="Bullet1Double"/>
        <w:widowControl w:val="0"/>
        <w:numPr>
          <w:ilvl w:val="0"/>
          <w:numId w:val="58"/>
        </w:numPr>
        <w:tabs>
          <w:tab w:val="clear" w:pos="0"/>
          <w:tab w:val="clear" w:pos="288"/>
        </w:tabs>
        <w:suppressAutoHyphens/>
        <w:ind w:left="720" w:hanging="450"/>
      </w:pPr>
      <w:r w:rsidRPr="007177D8">
        <w:rPr>
          <w:b/>
        </w:rPr>
        <w:t>Save</w:t>
      </w:r>
      <w:r w:rsidRPr="007177D8">
        <w:rPr>
          <w:b/>
          <w:spacing w:val="-1"/>
        </w:rPr>
        <w:t xml:space="preserve"> query data</w:t>
      </w:r>
      <w:r>
        <w:rPr>
          <w:b/>
          <w:spacing w:val="-1"/>
        </w:rPr>
        <w:t>.</w:t>
      </w:r>
      <w:r>
        <w:rPr>
          <w:spacing w:val="-1"/>
        </w:rPr>
        <w:t xml:space="preserve"> Data can be saved </w:t>
      </w:r>
      <w:r w:rsidRPr="00764EA1">
        <w:t>to</w:t>
      </w:r>
      <w:r w:rsidRPr="00764EA1">
        <w:rPr>
          <w:spacing w:val="-5"/>
        </w:rPr>
        <w:t xml:space="preserve"> </w:t>
      </w:r>
      <w:r w:rsidRPr="00764EA1">
        <w:t>the</w:t>
      </w:r>
      <w:r w:rsidRPr="00764EA1">
        <w:rPr>
          <w:spacing w:val="-1"/>
        </w:rPr>
        <w:t xml:space="preserve"> </w:t>
      </w:r>
      <w:r w:rsidRPr="00764EA1">
        <w:t>Query</w:t>
      </w:r>
      <w:r w:rsidRPr="00764EA1">
        <w:rPr>
          <w:spacing w:val="-3"/>
        </w:rPr>
        <w:t xml:space="preserve"> </w:t>
      </w:r>
      <w:r w:rsidRPr="00764EA1">
        <w:t>Builder dashboard for later</w:t>
      </w:r>
      <w:r w:rsidRPr="00764EA1">
        <w:rPr>
          <w:spacing w:val="1"/>
        </w:rPr>
        <w:t xml:space="preserve"> </w:t>
      </w:r>
      <w:r w:rsidRPr="00764EA1">
        <w:t>use/re-use</w:t>
      </w:r>
      <w:r>
        <w:t>.</w:t>
      </w:r>
    </w:p>
    <w:p w14:paraId="29E0BF16" w14:textId="77777777" w:rsidR="002F076C" w:rsidRPr="00764EA1" w:rsidRDefault="002F076C" w:rsidP="005128DD">
      <w:pPr>
        <w:pStyle w:val="Bullet1Double"/>
        <w:widowControl w:val="0"/>
        <w:numPr>
          <w:ilvl w:val="0"/>
          <w:numId w:val="58"/>
        </w:numPr>
        <w:tabs>
          <w:tab w:val="clear" w:pos="0"/>
          <w:tab w:val="clear" w:pos="288"/>
        </w:tabs>
        <w:suppressAutoHyphens/>
        <w:ind w:left="720" w:hanging="450"/>
      </w:pPr>
      <w:r w:rsidRPr="007177D8">
        <w:rPr>
          <w:b/>
        </w:rPr>
        <w:t>Share</w:t>
      </w:r>
      <w:r w:rsidRPr="007177D8">
        <w:rPr>
          <w:b/>
          <w:spacing w:val="-1"/>
        </w:rPr>
        <w:t xml:space="preserve"> </w:t>
      </w:r>
      <w:r w:rsidRPr="007177D8">
        <w:rPr>
          <w:b/>
        </w:rPr>
        <w:t>queries</w:t>
      </w:r>
      <w:r>
        <w:rPr>
          <w:b/>
        </w:rPr>
        <w:t>.</w:t>
      </w:r>
      <w:r w:rsidRPr="007177D8">
        <w:rPr>
          <w:b/>
        </w:rPr>
        <w:t xml:space="preserve"> </w:t>
      </w:r>
      <w:r>
        <w:t>Valuable queries created by one team member can be efficiently shared with other</w:t>
      </w:r>
      <w:r w:rsidRPr="00764EA1">
        <w:rPr>
          <w:spacing w:val="-1"/>
        </w:rPr>
        <w:t xml:space="preserve"> </w:t>
      </w:r>
      <w:r w:rsidRPr="00764EA1">
        <w:t>team members</w:t>
      </w:r>
      <w:r>
        <w:t>.</w:t>
      </w:r>
    </w:p>
    <w:p w14:paraId="2E0F71AE" w14:textId="77777777" w:rsidR="002F076C" w:rsidRPr="00764EA1" w:rsidRDefault="002F076C" w:rsidP="005128DD">
      <w:pPr>
        <w:pStyle w:val="Bullet1Double"/>
        <w:widowControl w:val="0"/>
        <w:numPr>
          <w:ilvl w:val="0"/>
          <w:numId w:val="58"/>
        </w:numPr>
        <w:tabs>
          <w:tab w:val="clear" w:pos="0"/>
          <w:tab w:val="clear" w:pos="288"/>
        </w:tabs>
        <w:suppressAutoHyphens/>
        <w:ind w:left="720" w:hanging="450"/>
      </w:pPr>
      <w:r w:rsidRPr="007177D8">
        <w:rPr>
          <w:b/>
        </w:rPr>
        <w:t>Schedule queries to run on a go-forward basis</w:t>
      </w:r>
      <w:r>
        <w:rPr>
          <w:b/>
        </w:rPr>
        <w:t xml:space="preserve">. </w:t>
      </w:r>
      <w:r w:rsidRPr="007177D8">
        <w:t>U</w:t>
      </w:r>
      <w:r w:rsidRPr="00764EA1">
        <w:t>sers receive a notification</w:t>
      </w:r>
      <w:r>
        <w:t xml:space="preserve"> </w:t>
      </w:r>
      <w:r w:rsidRPr="00764EA1">
        <w:rPr>
          <w:spacing w:val="-53"/>
        </w:rPr>
        <w:t xml:space="preserve"> </w:t>
      </w:r>
      <w:r w:rsidRPr="00764EA1">
        <w:t>when the query returns results matching the criteria or when th</w:t>
      </w:r>
      <w:r w:rsidRPr="00C5252E">
        <w:t>e scheduled</w:t>
      </w:r>
      <w:r w:rsidRPr="007177D8">
        <w:t xml:space="preserve"> </w:t>
      </w:r>
      <w:r w:rsidRPr="00C5252E">
        <w:t>report</w:t>
      </w:r>
      <w:r w:rsidRPr="007177D8">
        <w:t xml:space="preserve"> </w:t>
      </w:r>
      <w:r w:rsidRPr="00C5252E">
        <w:t xml:space="preserve">is </w:t>
      </w:r>
      <w:r w:rsidRPr="00764EA1">
        <w:t>due</w:t>
      </w:r>
      <w:r w:rsidRPr="00764EA1">
        <w:rPr>
          <w:spacing w:val="-1"/>
        </w:rPr>
        <w:t xml:space="preserve"> </w:t>
      </w:r>
      <w:r w:rsidRPr="00764EA1">
        <w:t>for</w:t>
      </w:r>
      <w:r w:rsidRPr="00764EA1">
        <w:rPr>
          <w:spacing w:val="-4"/>
        </w:rPr>
        <w:t xml:space="preserve"> </w:t>
      </w:r>
      <w:r w:rsidRPr="00764EA1">
        <w:t>delivery.</w:t>
      </w:r>
      <w:r w:rsidRPr="00764EA1">
        <w:rPr>
          <w:spacing w:val="2"/>
        </w:rPr>
        <w:t xml:space="preserve"> </w:t>
      </w:r>
    </w:p>
    <w:p w14:paraId="2188ED04" w14:textId="77777777" w:rsidR="002F076C" w:rsidRPr="00764EA1" w:rsidRDefault="002F076C" w:rsidP="005128DD">
      <w:pPr>
        <w:pStyle w:val="Bullet1Double"/>
        <w:widowControl w:val="0"/>
        <w:numPr>
          <w:ilvl w:val="0"/>
          <w:numId w:val="58"/>
        </w:numPr>
        <w:tabs>
          <w:tab w:val="clear" w:pos="0"/>
          <w:tab w:val="clear" w:pos="288"/>
        </w:tabs>
        <w:suppressAutoHyphens/>
        <w:ind w:left="720" w:hanging="450"/>
      </w:pPr>
      <w:r w:rsidRPr="007177D8">
        <w:rPr>
          <w:b/>
        </w:rPr>
        <w:t xml:space="preserve">Receive </w:t>
      </w:r>
      <w:r>
        <w:rPr>
          <w:b/>
        </w:rPr>
        <w:t xml:space="preserve">query results </w:t>
      </w:r>
      <w:r w:rsidRPr="007177D8">
        <w:rPr>
          <w:b/>
        </w:rPr>
        <w:t xml:space="preserve">notifications. </w:t>
      </w:r>
      <w:r w:rsidRPr="00764EA1">
        <w:t>Email</w:t>
      </w:r>
      <w:r w:rsidRPr="00764EA1">
        <w:rPr>
          <w:spacing w:val="-1"/>
        </w:rPr>
        <w:t xml:space="preserve"> </w:t>
      </w:r>
      <w:r w:rsidRPr="00764EA1">
        <w:t>notifications can</w:t>
      </w:r>
      <w:r w:rsidRPr="00764EA1">
        <w:rPr>
          <w:spacing w:val="-1"/>
        </w:rPr>
        <w:t xml:space="preserve"> </w:t>
      </w:r>
      <w:r w:rsidRPr="00764EA1">
        <w:t>be</w:t>
      </w:r>
      <w:r w:rsidRPr="00764EA1">
        <w:rPr>
          <w:spacing w:val="-1"/>
        </w:rPr>
        <w:t xml:space="preserve"> </w:t>
      </w:r>
      <w:r w:rsidRPr="00764EA1">
        <w:t>turned</w:t>
      </w:r>
      <w:r w:rsidRPr="00764EA1">
        <w:rPr>
          <w:spacing w:val="-1"/>
        </w:rPr>
        <w:t xml:space="preserve"> </w:t>
      </w:r>
      <w:r w:rsidRPr="00764EA1">
        <w:t>on</w:t>
      </w:r>
      <w:r w:rsidRPr="00764EA1">
        <w:rPr>
          <w:spacing w:val="-1"/>
        </w:rPr>
        <w:t xml:space="preserve"> </w:t>
      </w:r>
      <w:r w:rsidRPr="00764EA1">
        <w:t>or off</w:t>
      </w:r>
      <w:r w:rsidRPr="00764EA1">
        <w:rPr>
          <w:spacing w:val="-3"/>
        </w:rPr>
        <w:t xml:space="preserve"> </w:t>
      </w:r>
      <w:r w:rsidRPr="00764EA1">
        <w:t xml:space="preserve">for scheduled query results allowing users to adjust their preferences and alert others to the existence </w:t>
      </w:r>
      <w:r>
        <w:t xml:space="preserve">of a </w:t>
      </w:r>
      <w:r w:rsidRPr="00764EA1">
        <w:t>report.</w:t>
      </w:r>
    </w:p>
    <w:p w14:paraId="1CF96CE6" w14:textId="77777777" w:rsidR="002F076C" w:rsidRPr="00C15A11" w:rsidRDefault="002F076C" w:rsidP="005128DD">
      <w:pPr>
        <w:pStyle w:val="Bullet1Double"/>
        <w:widowControl w:val="0"/>
        <w:numPr>
          <w:ilvl w:val="0"/>
          <w:numId w:val="58"/>
        </w:numPr>
        <w:tabs>
          <w:tab w:val="clear" w:pos="0"/>
          <w:tab w:val="clear" w:pos="288"/>
        </w:tabs>
        <w:suppressAutoHyphens/>
        <w:ind w:left="720" w:hanging="450"/>
      </w:pPr>
      <w:r w:rsidRPr="007177D8">
        <w:rPr>
          <w:b/>
        </w:rPr>
        <w:t>Export large data sets</w:t>
      </w:r>
      <w:r>
        <w:rPr>
          <w:b/>
        </w:rPr>
        <w:t xml:space="preserve">. </w:t>
      </w:r>
      <w:r>
        <w:t>Large sets of data can be exported w</w:t>
      </w:r>
      <w:r w:rsidRPr="00764EA1">
        <w:t>ithout disrupting use and navigation of the system</w:t>
      </w:r>
      <w:r>
        <w:t>.</w:t>
      </w:r>
      <w:r w:rsidRPr="00764EA1">
        <w:rPr>
          <w:spacing w:val="1"/>
        </w:rPr>
        <w:t xml:space="preserve"> </w:t>
      </w:r>
      <w:r w:rsidRPr="00764EA1">
        <w:t>Features</w:t>
      </w:r>
      <w:r w:rsidRPr="00764EA1">
        <w:rPr>
          <w:spacing w:val="-1"/>
        </w:rPr>
        <w:t xml:space="preserve"> </w:t>
      </w:r>
      <w:r w:rsidRPr="00764EA1">
        <w:t>of</w:t>
      </w:r>
      <w:r w:rsidRPr="00764EA1">
        <w:rPr>
          <w:spacing w:val="-3"/>
        </w:rPr>
        <w:t xml:space="preserve"> </w:t>
      </w:r>
      <w:r w:rsidRPr="00764EA1">
        <w:t>the</w:t>
      </w:r>
      <w:r w:rsidRPr="00764EA1">
        <w:rPr>
          <w:spacing w:val="-1"/>
        </w:rPr>
        <w:t xml:space="preserve"> </w:t>
      </w:r>
      <w:r w:rsidRPr="00764EA1">
        <w:t>Ad</w:t>
      </w:r>
      <w:r w:rsidRPr="00764EA1">
        <w:rPr>
          <w:spacing w:val="-6"/>
        </w:rPr>
        <w:t xml:space="preserve"> </w:t>
      </w:r>
      <w:r w:rsidRPr="00764EA1">
        <w:t>Hoc</w:t>
      </w:r>
      <w:r w:rsidRPr="00764EA1">
        <w:rPr>
          <w:spacing w:val="-4"/>
        </w:rPr>
        <w:t xml:space="preserve"> </w:t>
      </w:r>
      <w:r w:rsidRPr="00764EA1">
        <w:t xml:space="preserve">Query </w:t>
      </w:r>
      <w:r w:rsidRPr="00C15A11">
        <w:t>Builder include:</w:t>
      </w:r>
    </w:p>
    <w:p w14:paraId="3A8B0481" w14:textId="77777777" w:rsidR="007F7BB5" w:rsidRPr="00C15A11" w:rsidRDefault="007F7BB5" w:rsidP="005128DD">
      <w:pPr>
        <w:pStyle w:val="ProposalResponseText"/>
        <w:widowControl w:val="0"/>
        <w:numPr>
          <w:ilvl w:val="1"/>
          <w:numId w:val="58"/>
        </w:numPr>
        <w:suppressAutoHyphens/>
        <w:rPr>
          <w:rFonts w:cs="Arial"/>
          <w:szCs w:val="22"/>
        </w:rPr>
      </w:pPr>
      <w:r w:rsidRPr="00C15A11">
        <w:rPr>
          <w:rFonts w:cs="Arial"/>
          <w:b/>
          <w:szCs w:val="22"/>
        </w:rPr>
        <w:t>Query</w:t>
      </w:r>
      <w:r w:rsidRPr="00C15A11">
        <w:rPr>
          <w:rFonts w:cs="Arial"/>
          <w:b/>
          <w:spacing w:val="1"/>
          <w:szCs w:val="22"/>
        </w:rPr>
        <w:t xml:space="preserve"> </w:t>
      </w:r>
      <w:r w:rsidRPr="00C15A11">
        <w:rPr>
          <w:rFonts w:cs="Arial"/>
          <w:b/>
          <w:szCs w:val="22"/>
        </w:rPr>
        <w:t>joins:</w:t>
      </w:r>
      <w:r w:rsidRPr="00C15A11">
        <w:rPr>
          <w:rFonts w:cs="Arial"/>
          <w:b/>
          <w:spacing w:val="-2"/>
          <w:szCs w:val="22"/>
        </w:rPr>
        <w:t xml:space="preserve"> </w:t>
      </w:r>
      <w:r w:rsidRPr="00C15A11">
        <w:rPr>
          <w:rFonts w:cs="Arial"/>
          <w:szCs w:val="22"/>
        </w:rPr>
        <w:t>AND/OR</w:t>
      </w:r>
    </w:p>
    <w:p w14:paraId="02389585" w14:textId="77777777" w:rsidR="007F7BB5" w:rsidRPr="00C15A11" w:rsidRDefault="007F7BB5" w:rsidP="005128DD">
      <w:pPr>
        <w:pStyle w:val="ProposalResponseText"/>
        <w:widowControl w:val="0"/>
        <w:numPr>
          <w:ilvl w:val="1"/>
          <w:numId w:val="58"/>
        </w:numPr>
        <w:suppressAutoHyphens/>
        <w:rPr>
          <w:rFonts w:cs="Arial"/>
          <w:szCs w:val="22"/>
        </w:rPr>
      </w:pPr>
      <w:r w:rsidRPr="00C15A11">
        <w:rPr>
          <w:rFonts w:cs="Arial"/>
          <w:b/>
          <w:szCs w:val="22"/>
        </w:rPr>
        <w:t>Logic</w:t>
      </w:r>
      <w:r w:rsidRPr="00C15A11">
        <w:rPr>
          <w:rFonts w:cs="Arial"/>
          <w:b/>
          <w:spacing w:val="-8"/>
          <w:szCs w:val="22"/>
        </w:rPr>
        <w:t xml:space="preserve"> </w:t>
      </w:r>
      <w:r w:rsidRPr="00C15A11">
        <w:rPr>
          <w:rFonts w:cs="Arial"/>
          <w:b/>
          <w:szCs w:val="22"/>
        </w:rPr>
        <w:t>operators:</w:t>
      </w:r>
      <w:r w:rsidRPr="00C15A11">
        <w:rPr>
          <w:rFonts w:cs="Arial"/>
          <w:b/>
          <w:spacing w:val="2"/>
          <w:szCs w:val="22"/>
        </w:rPr>
        <w:t xml:space="preserve"> </w:t>
      </w:r>
      <w:r w:rsidRPr="00C15A11">
        <w:rPr>
          <w:rFonts w:cs="Arial"/>
          <w:szCs w:val="22"/>
        </w:rPr>
        <w:t>Equal</w:t>
      </w:r>
      <w:r w:rsidRPr="00C15A11">
        <w:rPr>
          <w:rFonts w:cs="Arial"/>
          <w:spacing w:val="-2"/>
          <w:szCs w:val="22"/>
        </w:rPr>
        <w:t xml:space="preserve"> </w:t>
      </w:r>
      <w:r w:rsidRPr="00C15A11">
        <w:rPr>
          <w:rFonts w:cs="Arial"/>
          <w:szCs w:val="22"/>
        </w:rPr>
        <w:t>to,</w:t>
      </w:r>
      <w:r w:rsidRPr="00C15A11">
        <w:rPr>
          <w:rFonts w:cs="Arial"/>
          <w:spacing w:val="1"/>
          <w:szCs w:val="22"/>
        </w:rPr>
        <w:t xml:space="preserve"> </w:t>
      </w:r>
      <w:r w:rsidRPr="00C15A11">
        <w:rPr>
          <w:rFonts w:cs="Arial"/>
          <w:szCs w:val="22"/>
        </w:rPr>
        <w:t>Not</w:t>
      </w:r>
      <w:r w:rsidRPr="00C15A11">
        <w:rPr>
          <w:rFonts w:cs="Arial"/>
          <w:spacing w:val="-5"/>
          <w:szCs w:val="22"/>
        </w:rPr>
        <w:t xml:space="preserve"> </w:t>
      </w:r>
      <w:r w:rsidRPr="00C15A11">
        <w:rPr>
          <w:rFonts w:cs="Arial"/>
          <w:szCs w:val="22"/>
        </w:rPr>
        <w:t>equal</w:t>
      </w:r>
      <w:r>
        <w:rPr>
          <w:rFonts w:cs="Arial"/>
          <w:szCs w:val="22"/>
        </w:rPr>
        <w:t xml:space="preserve"> to</w:t>
      </w:r>
      <w:r w:rsidRPr="00C15A11">
        <w:rPr>
          <w:rFonts w:cs="Arial"/>
          <w:szCs w:val="22"/>
        </w:rPr>
        <w:t>,</w:t>
      </w:r>
      <w:r w:rsidRPr="00C15A11">
        <w:rPr>
          <w:rFonts w:cs="Arial"/>
          <w:spacing w:val="1"/>
          <w:szCs w:val="22"/>
        </w:rPr>
        <w:t xml:space="preserve"> </w:t>
      </w:r>
      <w:r w:rsidRPr="00C15A11">
        <w:rPr>
          <w:rFonts w:cs="Arial"/>
          <w:szCs w:val="22"/>
        </w:rPr>
        <w:t>Contains,</w:t>
      </w:r>
      <w:r w:rsidRPr="00C15A11">
        <w:rPr>
          <w:rFonts w:cs="Arial"/>
          <w:spacing w:val="1"/>
          <w:szCs w:val="22"/>
        </w:rPr>
        <w:t xml:space="preserve"> </w:t>
      </w:r>
      <w:r w:rsidRPr="00C15A11">
        <w:rPr>
          <w:rFonts w:cs="Arial"/>
          <w:szCs w:val="22"/>
        </w:rPr>
        <w:t>Does</w:t>
      </w:r>
      <w:r w:rsidRPr="00C15A11">
        <w:rPr>
          <w:rFonts w:cs="Arial"/>
          <w:spacing w:val="-6"/>
          <w:szCs w:val="22"/>
        </w:rPr>
        <w:t xml:space="preserve"> </w:t>
      </w:r>
      <w:r w:rsidRPr="00C15A11">
        <w:rPr>
          <w:rFonts w:cs="Arial"/>
          <w:szCs w:val="22"/>
        </w:rPr>
        <w:t>not</w:t>
      </w:r>
      <w:r w:rsidRPr="00C15A11">
        <w:rPr>
          <w:rFonts w:cs="Arial"/>
          <w:spacing w:val="1"/>
          <w:szCs w:val="22"/>
        </w:rPr>
        <w:t xml:space="preserve"> </w:t>
      </w:r>
      <w:r w:rsidRPr="00C15A11">
        <w:rPr>
          <w:rFonts w:cs="Arial"/>
          <w:szCs w:val="22"/>
        </w:rPr>
        <w:t>Contain,</w:t>
      </w:r>
      <w:r w:rsidRPr="00C15A11">
        <w:rPr>
          <w:rFonts w:cs="Arial"/>
          <w:spacing w:val="1"/>
          <w:szCs w:val="22"/>
        </w:rPr>
        <w:t xml:space="preserve"> </w:t>
      </w:r>
      <w:r w:rsidRPr="00C15A11">
        <w:rPr>
          <w:rFonts w:cs="Arial"/>
          <w:szCs w:val="22"/>
        </w:rPr>
        <w:t>in</w:t>
      </w:r>
      <w:r w:rsidRPr="00C15A11">
        <w:rPr>
          <w:rFonts w:cs="Arial"/>
          <w:spacing w:val="-3"/>
          <w:szCs w:val="22"/>
        </w:rPr>
        <w:t xml:space="preserve"> </w:t>
      </w:r>
      <w:r w:rsidRPr="00C15A11">
        <w:rPr>
          <w:rFonts w:cs="Arial"/>
          <w:szCs w:val="22"/>
        </w:rPr>
        <w:t>List,</w:t>
      </w:r>
      <w:r w:rsidRPr="00C15A11">
        <w:rPr>
          <w:rFonts w:cs="Arial"/>
          <w:spacing w:val="1"/>
          <w:szCs w:val="22"/>
        </w:rPr>
        <w:t xml:space="preserve"> </w:t>
      </w:r>
      <w:r w:rsidRPr="00C15A11">
        <w:rPr>
          <w:rFonts w:cs="Arial"/>
          <w:szCs w:val="22"/>
        </w:rPr>
        <w:t>Not</w:t>
      </w:r>
      <w:r w:rsidRPr="00C15A11">
        <w:rPr>
          <w:rFonts w:cs="Arial"/>
          <w:spacing w:val="-4"/>
          <w:szCs w:val="22"/>
        </w:rPr>
        <w:t xml:space="preserve"> </w:t>
      </w:r>
      <w:r w:rsidRPr="00C15A11">
        <w:rPr>
          <w:rFonts w:cs="Arial"/>
          <w:szCs w:val="22"/>
        </w:rPr>
        <w:t>in</w:t>
      </w:r>
      <w:r w:rsidRPr="00C15A11">
        <w:rPr>
          <w:rFonts w:cs="Arial"/>
          <w:spacing w:val="-3"/>
          <w:szCs w:val="22"/>
        </w:rPr>
        <w:t xml:space="preserve"> </w:t>
      </w:r>
      <w:r w:rsidRPr="00C15A11">
        <w:rPr>
          <w:rFonts w:cs="Arial"/>
          <w:szCs w:val="22"/>
        </w:rPr>
        <w:t>List</w:t>
      </w:r>
    </w:p>
    <w:p w14:paraId="4FCCBBD3" w14:textId="77777777" w:rsidR="007F7BB5" w:rsidRPr="00C15A11" w:rsidRDefault="007F7BB5" w:rsidP="005128DD">
      <w:pPr>
        <w:pStyle w:val="ProposalResponseText"/>
        <w:widowControl w:val="0"/>
        <w:numPr>
          <w:ilvl w:val="1"/>
          <w:numId w:val="58"/>
        </w:numPr>
        <w:suppressAutoHyphens/>
        <w:rPr>
          <w:rFonts w:cs="Arial"/>
          <w:szCs w:val="22"/>
        </w:rPr>
      </w:pPr>
      <w:r w:rsidRPr="00C15A11">
        <w:rPr>
          <w:rFonts w:cs="Arial"/>
          <w:b/>
          <w:szCs w:val="22"/>
        </w:rPr>
        <w:t xml:space="preserve">Aggregators: </w:t>
      </w:r>
      <w:r w:rsidRPr="00C15A11">
        <w:rPr>
          <w:rFonts w:cs="Arial"/>
          <w:szCs w:val="22"/>
        </w:rPr>
        <w:t>Count,</w:t>
      </w:r>
      <w:r w:rsidRPr="00C15A11">
        <w:rPr>
          <w:rFonts w:cs="Arial"/>
          <w:spacing w:val="-5"/>
          <w:szCs w:val="22"/>
        </w:rPr>
        <w:t xml:space="preserve"> </w:t>
      </w:r>
      <w:r w:rsidRPr="00C15A11">
        <w:rPr>
          <w:rFonts w:cs="Arial"/>
          <w:szCs w:val="22"/>
        </w:rPr>
        <w:t>Distinct Count, Max</w:t>
      </w:r>
      <w:r>
        <w:rPr>
          <w:rFonts w:cs="Arial"/>
          <w:szCs w:val="22"/>
        </w:rPr>
        <w:t>.</w:t>
      </w:r>
      <w:r w:rsidRPr="00C15A11">
        <w:rPr>
          <w:rFonts w:cs="Arial"/>
          <w:szCs w:val="22"/>
        </w:rPr>
        <w:t>,</w:t>
      </w:r>
      <w:r w:rsidRPr="00C15A11">
        <w:rPr>
          <w:rFonts w:cs="Arial"/>
          <w:spacing w:val="-5"/>
          <w:szCs w:val="22"/>
        </w:rPr>
        <w:t xml:space="preserve"> </w:t>
      </w:r>
      <w:r w:rsidRPr="00C15A11">
        <w:rPr>
          <w:rFonts w:cs="Arial"/>
          <w:szCs w:val="22"/>
        </w:rPr>
        <w:t>Min</w:t>
      </w:r>
      <w:r>
        <w:rPr>
          <w:rFonts w:cs="Arial"/>
          <w:szCs w:val="22"/>
        </w:rPr>
        <w:t>.</w:t>
      </w:r>
    </w:p>
    <w:p w14:paraId="7C4E6372" w14:textId="77777777" w:rsidR="007F7BB5" w:rsidRPr="00C15A11" w:rsidRDefault="007F7BB5" w:rsidP="005128DD">
      <w:pPr>
        <w:pStyle w:val="ProposalResponseText"/>
        <w:widowControl w:val="0"/>
        <w:numPr>
          <w:ilvl w:val="1"/>
          <w:numId w:val="58"/>
        </w:numPr>
        <w:suppressAutoHyphens/>
        <w:rPr>
          <w:rFonts w:cs="Arial"/>
          <w:szCs w:val="22"/>
        </w:rPr>
      </w:pPr>
      <w:r w:rsidRPr="00C15A11">
        <w:rPr>
          <w:rFonts w:cs="Arial"/>
          <w:b/>
          <w:spacing w:val="1"/>
          <w:szCs w:val="22"/>
        </w:rPr>
        <w:t>Fi</w:t>
      </w:r>
      <w:r w:rsidRPr="00C15A11">
        <w:rPr>
          <w:rFonts w:cs="Arial"/>
          <w:b/>
          <w:spacing w:val="-2"/>
          <w:szCs w:val="22"/>
        </w:rPr>
        <w:t>e</w:t>
      </w:r>
      <w:r w:rsidRPr="00C15A11">
        <w:rPr>
          <w:rFonts w:cs="Arial"/>
          <w:b/>
          <w:spacing w:val="-4"/>
          <w:szCs w:val="22"/>
        </w:rPr>
        <w:t>l</w:t>
      </w:r>
      <w:r w:rsidRPr="00C15A11">
        <w:rPr>
          <w:rFonts w:cs="Arial"/>
          <w:b/>
          <w:szCs w:val="22"/>
        </w:rPr>
        <w:t>d</w:t>
      </w:r>
      <w:r w:rsidRPr="00C15A11">
        <w:rPr>
          <w:rFonts w:cs="Arial"/>
          <w:b/>
          <w:spacing w:val="-2"/>
          <w:szCs w:val="22"/>
        </w:rPr>
        <w:t xml:space="preserve"> </w:t>
      </w:r>
      <w:r w:rsidRPr="00C15A11">
        <w:rPr>
          <w:rFonts w:cs="Arial"/>
          <w:b/>
          <w:spacing w:val="1"/>
          <w:szCs w:val="22"/>
        </w:rPr>
        <w:t>n</w:t>
      </w:r>
      <w:r w:rsidRPr="00C15A11">
        <w:rPr>
          <w:rFonts w:cs="Arial"/>
          <w:b/>
          <w:spacing w:val="-2"/>
          <w:szCs w:val="22"/>
        </w:rPr>
        <w:t>am</w:t>
      </w:r>
      <w:r w:rsidRPr="00C15A11">
        <w:rPr>
          <w:rFonts w:cs="Arial"/>
          <w:b/>
          <w:spacing w:val="-4"/>
          <w:szCs w:val="22"/>
        </w:rPr>
        <w:t>i</w:t>
      </w:r>
      <w:r w:rsidRPr="00C15A11">
        <w:rPr>
          <w:rFonts w:cs="Arial"/>
          <w:b/>
          <w:spacing w:val="1"/>
          <w:szCs w:val="22"/>
        </w:rPr>
        <w:t>ng</w:t>
      </w:r>
      <w:r w:rsidRPr="00C15A11">
        <w:rPr>
          <w:rFonts w:cs="Arial"/>
          <w:b/>
          <w:szCs w:val="22"/>
        </w:rPr>
        <w:t>:</w:t>
      </w:r>
      <w:r w:rsidRPr="00C15A11">
        <w:rPr>
          <w:rFonts w:cs="Arial"/>
          <w:b/>
          <w:spacing w:val="-1"/>
          <w:szCs w:val="22"/>
        </w:rPr>
        <w:t xml:space="preserve"> </w:t>
      </w:r>
      <w:r w:rsidRPr="00C15A11">
        <w:rPr>
          <w:rFonts w:cs="Arial"/>
          <w:spacing w:val="-2"/>
          <w:szCs w:val="22"/>
        </w:rPr>
        <w:t>U</w:t>
      </w:r>
      <w:r w:rsidRPr="00C15A11">
        <w:rPr>
          <w:rFonts w:cs="Arial"/>
          <w:szCs w:val="22"/>
        </w:rPr>
        <w:t>s</w:t>
      </w:r>
      <w:r w:rsidRPr="00C15A11">
        <w:rPr>
          <w:rFonts w:cs="Arial"/>
          <w:spacing w:val="-2"/>
          <w:szCs w:val="22"/>
        </w:rPr>
        <w:t>e</w:t>
      </w:r>
      <w:r w:rsidRPr="00C15A11">
        <w:rPr>
          <w:rFonts w:cs="Arial"/>
          <w:szCs w:val="22"/>
        </w:rPr>
        <w:t>rs</w:t>
      </w:r>
      <w:r w:rsidRPr="00C15A11">
        <w:rPr>
          <w:rFonts w:cs="Arial"/>
          <w:spacing w:val="1"/>
          <w:szCs w:val="22"/>
        </w:rPr>
        <w:t xml:space="preserve"> </w:t>
      </w:r>
      <w:r w:rsidRPr="00C15A11">
        <w:rPr>
          <w:rFonts w:cs="Arial"/>
          <w:szCs w:val="22"/>
        </w:rPr>
        <w:t>c</w:t>
      </w:r>
      <w:r w:rsidRPr="00C15A11">
        <w:rPr>
          <w:rFonts w:cs="Arial"/>
          <w:spacing w:val="-2"/>
          <w:szCs w:val="22"/>
        </w:rPr>
        <w:t>a</w:t>
      </w:r>
      <w:r w:rsidRPr="00C15A11">
        <w:rPr>
          <w:rFonts w:cs="Arial"/>
          <w:szCs w:val="22"/>
        </w:rPr>
        <w:t>n</w:t>
      </w:r>
      <w:r w:rsidRPr="00C15A11">
        <w:rPr>
          <w:rFonts w:cs="Arial"/>
          <w:spacing w:val="-5"/>
          <w:szCs w:val="22"/>
        </w:rPr>
        <w:t xml:space="preserve"> </w:t>
      </w:r>
      <w:r w:rsidRPr="00C15A11">
        <w:rPr>
          <w:rFonts w:cs="Arial"/>
          <w:spacing w:val="-2"/>
          <w:szCs w:val="22"/>
        </w:rPr>
        <w:t>inpu</w:t>
      </w:r>
      <w:r w:rsidRPr="00C15A11">
        <w:rPr>
          <w:rFonts w:cs="Arial"/>
          <w:szCs w:val="22"/>
        </w:rPr>
        <w:t>t</w:t>
      </w:r>
      <w:r w:rsidRPr="00C15A11">
        <w:rPr>
          <w:rFonts w:cs="Arial"/>
          <w:spacing w:val="3"/>
          <w:szCs w:val="22"/>
        </w:rPr>
        <w:t xml:space="preserve"> </w:t>
      </w:r>
      <w:r w:rsidRPr="00C15A11">
        <w:rPr>
          <w:rFonts w:cs="Arial"/>
          <w:szCs w:val="22"/>
        </w:rPr>
        <w:t>a</w:t>
      </w:r>
      <w:r w:rsidRPr="00C15A11">
        <w:rPr>
          <w:rFonts w:cs="Arial"/>
          <w:spacing w:val="1"/>
          <w:szCs w:val="22"/>
        </w:rPr>
        <w:t xml:space="preserve"> </w:t>
      </w:r>
      <w:r w:rsidRPr="00C15A11">
        <w:rPr>
          <w:rFonts w:cs="Arial"/>
          <w:w w:val="227"/>
          <w:szCs w:val="22"/>
        </w:rPr>
        <w:t>“</w:t>
      </w:r>
      <w:r w:rsidRPr="00C15A11">
        <w:rPr>
          <w:rFonts w:cs="Arial"/>
          <w:spacing w:val="-2"/>
          <w:szCs w:val="22"/>
        </w:rPr>
        <w:t>Di</w:t>
      </w:r>
      <w:r w:rsidRPr="00C15A11">
        <w:rPr>
          <w:rFonts w:cs="Arial"/>
          <w:szCs w:val="22"/>
        </w:rPr>
        <w:t>s</w:t>
      </w:r>
      <w:r w:rsidRPr="00C15A11">
        <w:rPr>
          <w:rFonts w:cs="Arial"/>
          <w:spacing w:val="-2"/>
          <w:szCs w:val="22"/>
        </w:rPr>
        <w:t>pla</w:t>
      </w:r>
      <w:r w:rsidRPr="00C15A11">
        <w:rPr>
          <w:rFonts w:cs="Arial"/>
          <w:szCs w:val="22"/>
        </w:rPr>
        <w:t>y</w:t>
      </w:r>
      <w:r w:rsidRPr="00C15A11">
        <w:rPr>
          <w:rFonts w:cs="Arial"/>
          <w:spacing w:val="1"/>
          <w:szCs w:val="22"/>
        </w:rPr>
        <w:t xml:space="preserve"> </w:t>
      </w:r>
      <w:r w:rsidRPr="00C15A11">
        <w:rPr>
          <w:rFonts w:cs="Arial"/>
          <w:szCs w:val="22"/>
        </w:rPr>
        <w:t>A</w:t>
      </w:r>
      <w:r w:rsidRPr="00C15A11">
        <w:rPr>
          <w:rFonts w:cs="Arial"/>
          <w:spacing w:val="-5"/>
          <w:szCs w:val="22"/>
        </w:rPr>
        <w:t>s</w:t>
      </w:r>
      <w:r w:rsidRPr="00C15A11">
        <w:rPr>
          <w:rFonts w:cs="Arial"/>
          <w:w w:val="227"/>
          <w:szCs w:val="22"/>
        </w:rPr>
        <w:t>”</w:t>
      </w:r>
      <w:r w:rsidRPr="00C15A11">
        <w:rPr>
          <w:rFonts w:cs="Arial"/>
          <w:spacing w:val="7"/>
          <w:szCs w:val="22"/>
        </w:rPr>
        <w:t xml:space="preserve"> </w:t>
      </w:r>
      <w:r w:rsidRPr="00C15A11">
        <w:rPr>
          <w:rFonts w:cs="Arial"/>
          <w:spacing w:val="-2"/>
          <w:szCs w:val="22"/>
        </w:rPr>
        <w:t>na</w:t>
      </w:r>
      <w:r w:rsidRPr="00C15A11">
        <w:rPr>
          <w:rFonts w:cs="Arial"/>
          <w:szCs w:val="22"/>
        </w:rPr>
        <w:t>me</w:t>
      </w:r>
      <w:r w:rsidRPr="00C15A11">
        <w:rPr>
          <w:rFonts w:cs="Arial"/>
          <w:spacing w:val="-5"/>
          <w:szCs w:val="22"/>
        </w:rPr>
        <w:t xml:space="preserve"> </w:t>
      </w:r>
      <w:r w:rsidRPr="00C15A11">
        <w:rPr>
          <w:rFonts w:cs="Arial"/>
          <w:spacing w:val="1"/>
          <w:szCs w:val="22"/>
        </w:rPr>
        <w:t>f</w:t>
      </w:r>
      <w:r w:rsidRPr="00C15A11">
        <w:rPr>
          <w:rFonts w:cs="Arial"/>
          <w:spacing w:val="-2"/>
          <w:szCs w:val="22"/>
        </w:rPr>
        <w:t>o</w:t>
      </w:r>
      <w:r w:rsidRPr="00C15A11">
        <w:rPr>
          <w:rFonts w:cs="Arial"/>
          <w:szCs w:val="22"/>
        </w:rPr>
        <w:t>r</w:t>
      </w:r>
      <w:r w:rsidRPr="00C15A11">
        <w:rPr>
          <w:rFonts w:cs="Arial"/>
          <w:spacing w:val="-3"/>
          <w:szCs w:val="22"/>
        </w:rPr>
        <w:t xml:space="preserve"> </w:t>
      </w:r>
      <w:r w:rsidRPr="00C15A11">
        <w:rPr>
          <w:rFonts w:cs="Arial"/>
          <w:spacing w:val="1"/>
          <w:szCs w:val="22"/>
        </w:rPr>
        <w:t>f</w:t>
      </w:r>
      <w:r w:rsidRPr="00C15A11">
        <w:rPr>
          <w:rFonts w:cs="Arial"/>
          <w:spacing w:val="-2"/>
          <w:szCs w:val="22"/>
        </w:rPr>
        <w:t>ield</w:t>
      </w:r>
      <w:r w:rsidRPr="00C15A11">
        <w:rPr>
          <w:rFonts w:cs="Arial"/>
          <w:szCs w:val="22"/>
        </w:rPr>
        <w:t>s</w:t>
      </w:r>
      <w:r w:rsidRPr="00C15A11">
        <w:rPr>
          <w:rFonts w:cs="Arial"/>
          <w:spacing w:val="1"/>
          <w:szCs w:val="22"/>
        </w:rPr>
        <w:t xml:space="preserve"> t</w:t>
      </w:r>
      <w:r w:rsidRPr="00C15A11">
        <w:rPr>
          <w:rFonts w:cs="Arial"/>
          <w:szCs w:val="22"/>
        </w:rPr>
        <w:t>o c</w:t>
      </w:r>
      <w:r w:rsidRPr="00C15A11">
        <w:rPr>
          <w:rFonts w:cs="Arial"/>
          <w:spacing w:val="-2"/>
          <w:szCs w:val="22"/>
        </w:rPr>
        <w:t>u</w:t>
      </w:r>
      <w:r w:rsidRPr="00C15A11">
        <w:rPr>
          <w:rFonts w:cs="Arial"/>
          <w:spacing w:val="-5"/>
          <w:szCs w:val="22"/>
        </w:rPr>
        <w:t>s</w:t>
      </w:r>
      <w:r w:rsidRPr="00C15A11">
        <w:rPr>
          <w:rFonts w:cs="Arial"/>
          <w:spacing w:val="1"/>
          <w:szCs w:val="22"/>
        </w:rPr>
        <w:t>t</w:t>
      </w:r>
      <w:r w:rsidRPr="00C15A11">
        <w:rPr>
          <w:rFonts w:cs="Arial"/>
          <w:spacing w:val="-2"/>
          <w:szCs w:val="22"/>
        </w:rPr>
        <w:t>o</w:t>
      </w:r>
      <w:r w:rsidRPr="00C15A11">
        <w:rPr>
          <w:rFonts w:cs="Arial"/>
          <w:szCs w:val="22"/>
        </w:rPr>
        <w:t>m</w:t>
      </w:r>
      <w:r w:rsidRPr="00C15A11">
        <w:rPr>
          <w:rFonts w:cs="Arial"/>
          <w:spacing w:val="-2"/>
          <w:szCs w:val="22"/>
        </w:rPr>
        <w:t>i</w:t>
      </w:r>
      <w:r w:rsidRPr="00C15A11">
        <w:rPr>
          <w:rFonts w:cs="Arial"/>
          <w:szCs w:val="22"/>
        </w:rPr>
        <w:t xml:space="preserve">ze </w:t>
      </w:r>
      <w:r w:rsidRPr="00C15A11">
        <w:rPr>
          <w:rFonts w:cs="Arial"/>
          <w:spacing w:val="1"/>
          <w:szCs w:val="22"/>
        </w:rPr>
        <w:t>t</w:t>
      </w:r>
      <w:r w:rsidRPr="00C15A11">
        <w:rPr>
          <w:rFonts w:cs="Arial"/>
          <w:spacing w:val="-2"/>
          <w:szCs w:val="22"/>
        </w:rPr>
        <w:t>h</w:t>
      </w:r>
      <w:r w:rsidRPr="00C15A11">
        <w:rPr>
          <w:rFonts w:cs="Arial"/>
          <w:szCs w:val="22"/>
        </w:rPr>
        <w:t>e</w:t>
      </w:r>
      <w:r w:rsidRPr="00C15A11">
        <w:rPr>
          <w:rFonts w:cs="Arial"/>
          <w:spacing w:val="-5"/>
          <w:szCs w:val="22"/>
        </w:rPr>
        <w:t xml:space="preserve"> </w:t>
      </w:r>
      <w:r w:rsidRPr="00C15A11">
        <w:rPr>
          <w:rFonts w:cs="Arial"/>
          <w:szCs w:val="22"/>
        </w:rPr>
        <w:t>r</w:t>
      </w:r>
      <w:r w:rsidRPr="00C15A11">
        <w:rPr>
          <w:rFonts w:cs="Arial"/>
          <w:spacing w:val="-2"/>
          <w:szCs w:val="22"/>
        </w:rPr>
        <w:t>epo</w:t>
      </w:r>
      <w:r w:rsidRPr="00C15A11">
        <w:rPr>
          <w:rFonts w:cs="Arial"/>
          <w:szCs w:val="22"/>
        </w:rPr>
        <w:t>rt</w:t>
      </w:r>
      <w:r w:rsidRPr="00C15A11">
        <w:rPr>
          <w:rFonts w:cs="Arial"/>
          <w:spacing w:val="3"/>
          <w:szCs w:val="22"/>
        </w:rPr>
        <w:t xml:space="preserve"> </w:t>
      </w:r>
      <w:r w:rsidRPr="00C15A11">
        <w:rPr>
          <w:rFonts w:cs="Arial"/>
          <w:spacing w:val="-2"/>
          <w:szCs w:val="22"/>
        </w:rPr>
        <w:t>ou</w:t>
      </w:r>
      <w:r w:rsidRPr="00C15A11">
        <w:rPr>
          <w:rFonts w:cs="Arial"/>
          <w:spacing w:val="1"/>
          <w:szCs w:val="22"/>
        </w:rPr>
        <w:t>t</w:t>
      </w:r>
      <w:r w:rsidRPr="00C15A11">
        <w:rPr>
          <w:rFonts w:cs="Arial"/>
          <w:spacing w:val="-2"/>
          <w:szCs w:val="22"/>
        </w:rPr>
        <w:t>pu</w:t>
      </w:r>
      <w:r w:rsidRPr="00C15A11">
        <w:rPr>
          <w:rFonts w:cs="Arial"/>
          <w:szCs w:val="22"/>
        </w:rPr>
        <w:t>t</w:t>
      </w:r>
    </w:p>
    <w:p w14:paraId="2B68BAD0" w14:textId="77777777" w:rsidR="000B1185" w:rsidRDefault="000B1185" w:rsidP="005128DD">
      <w:pPr>
        <w:pStyle w:val="Heading60"/>
        <w:keepNext w:val="0"/>
        <w:keepLines w:val="0"/>
        <w:widowControl w:val="0"/>
        <w:suppressAutoHyphens/>
        <w:rPr>
          <w:rFonts w:hint="eastAsia"/>
        </w:rPr>
      </w:pPr>
      <w:r>
        <w:t>Link Analysis Module</w:t>
      </w:r>
    </w:p>
    <w:p w14:paraId="6BD37874" w14:textId="77777777" w:rsidR="000B1185" w:rsidRDefault="000B1185" w:rsidP="005128DD">
      <w:pPr>
        <w:pStyle w:val="BodyText"/>
        <w:widowControl w:val="0"/>
        <w:suppressAutoHyphens/>
      </w:pPr>
      <w:r>
        <w:t xml:space="preserve">The Link Analysis module is the data exploration tool for relationship graphing. This module enables users to explore and visualize connections or relationships among various data points including providers, patients, prescribers, and pharmacies to uncover hidden connections and identify potential collusion schemes for further exploration. </w:t>
      </w:r>
    </w:p>
    <w:p w14:paraId="2AC0F181" w14:textId="77777777" w:rsidR="000B1185" w:rsidRDefault="000B1185" w:rsidP="005128DD">
      <w:pPr>
        <w:pStyle w:val="BodyText"/>
        <w:widowControl w:val="0"/>
        <w:suppressAutoHyphens/>
      </w:pPr>
      <w:r>
        <w:t xml:space="preserve">Link Analysis provides full transparency for users through instant insights into data commonalities without requiring a single pivot table. </w:t>
      </w:r>
    </w:p>
    <w:p w14:paraId="46FDA2FA" w14:textId="77777777" w:rsidR="000B1185" w:rsidRDefault="000B1185" w:rsidP="005128DD">
      <w:pPr>
        <w:pStyle w:val="BodyText"/>
        <w:widowControl w:val="0"/>
        <w:suppressAutoHyphens/>
      </w:pPr>
      <w:r>
        <w:t>The insights gained from this tool enable users to target potential FWA rapidly through analytic findings such as:</w:t>
      </w:r>
    </w:p>
    <w:p w14:paraId="39040C3B" w14:textId="77777777" w:rsidR="00267B0B" w:rsidRPr="00AB2AC0" w:rsidRDefault="00267B0B" w:rsidP="005128DD">
      <w:pPr>
        <w:pStyle w:val="Bullet1Double"/>
        <w:widowControl w:val="0"/>
        <w:numPr>
          <w:ilvl w:val="0"/>
          <w:numId w:val="59"/>
        </w:numPr>
        <w:tabs>
          <w:tab w:val="clear" w:pos="0"/>
          <w:tab w:val="clear" w:pos="288"/>
        </w:tabs>
        <w:suppressAutoHyphens/>
        <w:ind w:left="720" w:hanging="450"/>
      </w:pPr>
      <w:r w:rsidRPr="00AB2AC0">
        <w:t xml:space="preserve">Provider billing patterns </w:t>
      </w:r>
      <w:r>
        <w:t xml:space="preserve">that </w:t>
      </w:r>
      <w:r w:rsidRPr="00AB2AC0">
        <w:t>identify inappropriate patient sharing and duplicate service billing</w:t>
      </w:r>
    </w:p>
    <w:p w14:paraId="6B561044" w14:textId="77777777" w:rsidR="00267B0B" w:rsidRPr="00AB2AC0" w:rsidRDefault="00267B0B" w:rsidP="005128DD">
      <w:pPr>
        <w:pStyle w:val="Bullet1Double"/>
        <w:widowControl w:val="0"/>
        <w:numPr>
          <w:ilvl w:val="0"/>
          <w:numId w:val="59"/>
        </w:numPr>
        <w:tabs>
          <w:tab w:val="clear" w:pos="0"/>
          <w:tab w:val="clear" w:pos="288"/>
        </w:tabs>
        <w:suppressAutoHyphens/>
        <w:ind w:left="720" w:hanging="450"/>
      </w:pPr>
      <w:r w:rsidRPr="00AB2AC0">
        <w:t xml:space="preserve">Temporal analysis </w:t>
      </w:r>
      <w:r>
        <w:t xml:space="preserve">that </w:t>
      </w:r>
      <w:r w:rsidRPr="00AB2AC0">
        <w:t>allows users to visualize how relationships change over time</w:t>
      </w:r>
    </w:p>
    <w:p w14:paraId="5FBB02ED" w14:textId="77777777" w:rsidR="00267B0B" w:rsidRPr="00AB2AC0" w:rsidRDefault="00267B0B" w:rsidP="005128DD">
      <w:pPr>
        <w:pStyle w:val="Bullet1Double"/>
        <w:widowControl w:val="0"/>
        <w:numPr>
          <w:ilvl w:val="0"/>
          <w:numId w:val="59"/>
        </w:numPr>
        <w:tabs>
          <w:tab w:val="clear" w:pos="0"/>
          <w:tab w:val="clear" w:pos="288"/>
        </w:tabs>
        <w:suppressAutoHyphens/>
        <w:ind w:left="720" w:hanging="450"/>
      </w:pPr>
      <w:r w:rsidRPr="00AB2AC0">
        <w:t xml:space="preserve">Geospatial analysis </w:t>
      </w:r>
      <w:r>
        <w:t xml:space="preserve">that </w:t>
      </w:r>
      <w:r w:rsidRPr="00AB2AC0">
        <w:t>may indicate a cluster or concentration of patients or providers, demonstrate distance between locations, and</w:t>
      </w:r>
      <w:r>
        <w:t>/or</w:t>
      </w:r>
      <w:r w:rsidRPr="00AB2AC0">
        <w:t xml:space="preserve"> visually show unlikely relationships, utilization, and patterns</w:t>
      </w:r>
    </w:p>
    <w:p w14:paraId="37894CA6" w14:textId="77777777" w:rsidR="005D31B2" w:rsidRDefault="005D31B2" w:rsidP="005128DD">
      <w:pPr>
        <w:pStyle w:val="Heading60"/>
        <w:keepNext w:val="0"/>
        <w:keepLines w:val="0"/>
        <w:widowControl w:val="0"/>
        <w:suppressAutoHyphens/>
        <w:rPr>
          <w:rFonts w:hint="eastAsia"/>
        </w:rPr>
      </w:pPr>
      <w:r>
        <w:lastRenderedPageBreak/>
        <w:t>Custom Analysis and Reports Module</w:t>
      </w:r>
    </w:p>
    <w:p w14:paraId="294E42D0" w14:textId="77777777" w:rsidR="005D31B2" w:rsidRDefault="005D31B2" w:rsidP="005128DD">
      <w:pPr>
        <w:pStyle w:val="BodyText"/>
        <w:widowControl w:val="0"/>
        <w:suppressAutoHyphens/>
      </w:pPr>
      <w:r>
        <w:t xml:space="preserve">The custom analytics and reports module provides an easy and efficient way for users to obtain specific information based on business needs. Requests may include the development of a new detection model, custom analysis, or assistance in report generation. The system includes </w:t>
      </w:r>
      <w:proofErr w:type="gramStart"/>
      <w:r>
        <w:t>numerous</w:t>
      </w:r>
      <w:proofErr w:type="gramEnd"/>
      <w:r>
        <w:t xml:space="preserve"> report templates for users to enter custom parameters to obtain information quickly and easily with a standardized output that the user does not need to design. </w:t>
      </w:r>
    </w:p>
    <w:p w14:paraId="3A65FC7B" w14:textId="77777777" w:rsidR="005D31B2" w:rsidRDefault="005D31B2" w:rsidP="005128DD">
      <w:pPr>
        <w:pStyle w:val="BodyText"/>
        <w:widowControl w:val="0"/>
        <w:suppressAutoHyphens/>
      </w:pPr>
      <w:r>
        <w:t xml:space="preserve">With the custom analysis and reports module, users can select the appropriate dashboard to perform the following tasks: </w:t>
      </w:r>
    </w:p>
    <w:p w14:paraId="5035F626" w14:textId="77777777" w:rsidR="00BA37E3" w:rsidRDefault="00BA37E3" w:rsidP="005128DD">
      <w:pPr>
        <w:pStyle w:val="Bullet1Double"/>
        <w:widowControl w:val="0"/>
        <w:numPr>
          <w:ilvl w:val="0"/>
          <w:numId w:val="60"/>
        </w:numPr>
        <w:tabs>
          <w:tab w:val="clear" w:pos="0"/>
          <w:tab w:val="clear" w:pos="288"/>
        </w:tabs>
        <w:suppressAutoHyphens/>
        <w:ind w:left="720" w:hanging="450"/>
      </w:pPr>
      <w:r w:rsidRPr="008B4D96">
        <w:rPr>
          <w:b/>
        </w:rPr>
        <w:t>Reports Dashboard</w:t>
      </w:r>
      <w:r>
        <w:t xml:space="preserve">. Leveraging a set of pre-built report templates, users can enter parameters to generate analytic and operational reports on a prompt, on-demand basis. The library of reports is made readily available and if any custom reports are required by a Medicaid and State Agency client, they are located here for ease of access. </w:t>
      </w:r>
    </w:p>
    <w:p w14:paraId="4130E393" w14:textId="77777777" w:rsidR="00BA37E3" w:rsidRDefault="00BA37E3" w:rsidP="005128DD">
      <w:pPr>
        <w:pStyle w:val="Bullet1Double"/>
        <w:widowControl w:val="0"/>
        <w:numPr>
          <w:ilvl w:val="0"/>
          <w:numId w:val="60"/>
        </w:numPr>
        <w:tabs>
          <w:tab w:val="clear" w:pos="0"/>
          <w:tab w:val="clear" w:pos="288"/>
        </w:tabs>
        <w:suppressAutoHyphens/>
        <w:ind w:left="720" w:hanging="450"/>
      </w:pPr>
      <w:r w:rsidRPr="008B4D96">
        <w:rPr>
          <w:b/>
        </w:rPr>
        <w:t>Custom Analysis Dashboard</w:t>
      </w:r>
      <w:r>
        <w:t>. The embedded workflow allows users to submit and track the progress of a request for a custom analysis, study, or report to be completed by the Gainwell business analyst, if support services are included in the scope of work.</w:t>
      </w:r>
    </w:p>
    <w:p w14:paraId="6555F385" w14:textId="77777777" w:rsidR="005E2962" w:rsidRDefault="005E2962" w:rsidP="005128DD">
      <w:pPr>
        <w:pStyle w:val="Heading60"/>
        <w:keepNext w:val="0"/>
        <w:keepLines w:val="0"/>
        <w:widowControl w:val="0"/>
        <w:suppressAutoHyphens/>
        <w:rPr>
          <w:rFonts w:hint="eastAsia"/>
        </w:rPr>
      </w:pPr>
      <w:r>
        <w:t>Case Tracking Module</w:t>
      </w:r>
    </w:p>
    <w:p w14:paraId="2D6C20EA" w14:textId="77777777" w:rsidR="005E2962" w:rsidRDefault="005E2962" w:rsidP="005128DD">
      <w:pPr>
        <w:pStyle w:val="BodyText"/>
        <w:widowControl w:val="0"/>
        <w:suppressAutoHyphens/>
      </w:pPr>
      <w:r>
        <w:t xml:space="preserve">The Case Tracking module serves as a full-service, comprehensive lead tracking and case management function with seamless workflow management capabilities as well as a document repository to store medical records, investigator notes, spreadsheets, case findings, and other documents related to a lead or case. With a simple click, users can create cases and manage them from start to finish. Users can also leverage automated case findings reports as well as chronology and monitoring reports to save time and achieve consistency across case documentation. </w:t>
      </w:r>
    </w:p>
    <w:p w14:paraId="2837848E" w14:textId="77777777" w:rsidR="005E2962" w:rsidRDefault="005E2962" w:rsidP="005128DD">
      <w:pPr>
        <w:pStyle w:val="BodyText"/>
        <w:widowControl w:val="0"/>
        <w:suppressAutoHyphens/>
      </w:pPr>
      <w:r>
        <w:t xml:space="preserve">Designed to specifically support the needs of healthcare fraud audits and investigations, this highly robust module enables investigators to triage suspect leads and convert them into investigative cases as well as effectively manage each aspect of the case. The entire team can work together from a comprehensive, easy-to-read management dashboard that displays </w:t>
      </w:r>
      <w:proofErr w:type="gramStart"/>
      <w:r>
        <w:t>important information</w:t>
      </w:r>
      <w:proofErr w:type="gramEnd"/>
      <w:r>
        <w:t xml:space="preserve"> in one place. This results in complete transparency regarding what work was completed and what tasks are outstanding or coming due. The Case</w:t>
      </w:r>
      <w:r w:rsidDel="00652907">
        <w:t xml:space="preserve"> </w:t>
      </w:r>
      <w:r>
        <w:t xml:space="preserve">and Lead dashboards also offer the ability to filter, search, and sort the reported data. </w:t>
      </w:r>
    </w:p>
    <w:p w14:paraId="74E5035D" w14:textId="77777777" w:rsidR="005E2962" w:rsidRDefault="005E2962" w:rsidP="005128DD">
      <w:pPr>
        <w:pStyle w:val="BodyText"/>
        <w:widowControl w:val="0"/>
        <w:suppressAutoHyphens/>
      </w:pPr>
      <w:r w:rsidRPr="00AE3C89">
        <w:rPr>
          <w:rFonts w:asciiTheme="minorHAnsi" w:eastAsiaTheme="minorEastAsia" w:hAnsiTheme="minorHAnsi" w:cstheme="minorBidi"/>
          <w:b/>
          <w:bCs/>
          <w:noProof/>
          <w:szCs w:val="22"/>
          <w:lang w:eastAsia="ko-KR"/>
        </w:rPr>
        <mc:AlternateContent>
          <mc:Choice Requires="wps">
            <w:drawing>
              <wp:anchor distT="91440" distB="91440" distL="91440" distR="91440" simplePos="0" relativeHeight="251659264" behindDoc="0" locked="1" layoutInCell="1" allowOverlap="0" wp14:anchorId="41662DBC" wp14:editId="07F551A7">
                <wp:simplePos x="0" y="0"/>
                <wp:positionH relativeFrom="margin">
                  <wp:posOffset>3847465</wp:posOffset>
                </wp:positionH>
                <wp:positionV relativeFrom="paragraph">
                  <wp:posOffset>9525</wp:posOffset>
                </wp:positionV>
                <wp:extent cx="2322195" cy="850265"/>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2322195" cy="850265"/>
                        </a:xfrm>
                        <a:prstGeom prst="rect">
                          <a:avLst/>
                        </a:prstGeom>
                        <a:noFill/>
                        <a:ln w="6350">
                          <a:noFill/>
                        </a:ln>
                        <a:effectLst/>
                      </wps:spPr>
                      <wps:txbx>
                        <w:txbxContent>
                          <w:tbl>
                            <w:tblPr>
                              <w:tblStyle w:val="TableGrid10"/>
                              <w:tblOverlap w:val="never"/>
                              <w:tblW w:w="0" w:type="auto"/>
                              <w:tblBorders>
                                <w:top w:val="single" w:sz="18" w:space="0" w:color="265D77"/>
                                <w:left w:val="none" w:sz="0" w:space="0" w:color="auto"/>
                                <w:bottom w:val="single" w:sz="18" w:space="0" w:color="265D77"/>
                                <w:right w:val="none" w:sz="0" w:space="0" w:color="auto"/>
                                <w:insideH w:val="none" w:sz="0" w:space="0" w:color="auto"/>
                                <w:insideV w:val="none" w:sz="0" w:space="0" w:color="auto"/>
                              </w:tblBorders>
                              <w:tblLook w:val="04A0" w:firstRow="1" w:lastRow="0" w:firstColumn="1" w:lastColumn="0" w:noHBand="0" w:noVBand="1"/>
                            </w:tblPr>
                            <w:tblGrid>
                              <w:gridCol w:w="3359"/>
                            </w:tblGrid>
                            <w:tr w:rsidR="005E2962" w14:paraId="076ACB0C" w14:textId="77777777" w:rsidTr="00B6680B">
                              <w:tc>
                                <w:tcPr>
                                  <w:tcW w:w="0" w:type="auto"/>
                                </w:tcPr>
                                <w:p w14:paraId="56C2BA1D" w14:textId="77777777" w:rsidR="005E2962" w:rsidRPr="00077CAC" w:rsidRDefault="005E2962" w:rsidP="00B6680B">
                                  <w:pPr>
                                    <w:pStyle w:val="CallOutBoxText"/>
                                  </w:pPr>
                                  <w:r>
                                    <w:t xml:space="preserve">Medicaid and State Agency clients </w:t>
                                  </w:r>
                                  <w:r w:rsidRPr="00AE3C89">
                                    <w:t>ha</w:t>
                                  </w:r>
                                  <w:r>
                                    <w:t>ve</w:t>
                                  </w:r>
                                  <w:r w:rsidRPr="00AE3C89">
                                    <w:t xml:space="preserve"> the option to pre-build workflows</w:t>
                                  </w:r>
                                  <w:r>
                                    <w:t xml:space="preserve"> within FraudCapture</w:t>
                                  </w:r>
                                  <w:r w:rsidRPr="00AE3C89">
                                    <w:t xml:space="preserve"> specific to each case type that will auto-populate designated activities in sequence and to automatically update the case status when certain tasks occur.</w:t>
                                  </w:r>
                                  <w:r w:rsidRPr="00C72F29">
                                    <w:t xml:space="preserve"> </w:t>
                                  </w:r>
                                </w:p>
                              </w:tc>
                            </w:tr>
                          </w:tbl>
                          <w:p w14:paraId="26FC3D0A" w14:textId="77777777" w:rsidR="005E2962" w:rsidRPr="007E6121" w:rsidRDefault="005E2962" w:rsidP="005E2962">
                            <w:pPr>
                              <w:rPr>
                                <w:sz w:val="8"/>
                                <w:szCs w:val="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1662DBC" id="_x0000_t202" coordsize="21600,21600" o:spt="202" path="m,l,21600r21600,l21600,xe">
                <v:stroke joinstyle="miter"/>
                <v:path gradientshapeok="t" o:connecttype="rect"/>
              </v:shapetype>
              <v:shape id="Text Box 4" o:spid="_x0000_s1026" type="#_x0000_t202" style="position:absolute;margin-left:302.95pt;margin-top:.75pt;width:182.85pt;height:66.95pt;z-index:251659264;visibility:visible;mso-wrap-style:square;mso-width-percent:0;mso-height-percent:0;mso-wrap-distance-left:7.2pt;mso-wrap-distance-top:7.2pt;mso-wrap-distance-right:7.2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" o:allowoverlap="f" filled="f" stroked="f" strokeweight=".5pt">
                <v:textbox style="mso-fit-shape-to-text:t">
                  <w:txbxContent>
                    <w:tbl>
                      <w:tblPr>
                        <w:tblStyle w:val="TableGrid10"/>
                        <w:tblOverlap w:val="never"/>
                        <w:tblW w:w="0" w:type="auto"/>
                        <w:tblBorders>
                          <w:top w:val="single" w:sz="18" w:space="0" w:color="265D77"/>
                          <w:left w:val="none" w:sz="0" w:space="0" w:color="auto"/>
                          <w:bottom w:val="single" w:sz="18" w:space="0" w:color="265D77"/>
                          <w:right w:val="none" w:sz="0" w:space="0" w:color="auto"/>
                          <w:insideH w:val="none" w:sz="0" w:space="0" w:color="auto"/>
                          <w:insideV w:val="none" w:sz="0" w:space="0" w:color="auto"/>
                        </w:tblBorders>
                        <w:tblLook w:val="04A0" w:firstRow="1" w:lastRow="0" w:firstColumn="1" w:lastColumn="0" w:noHBand="0" w:noVBand="1"/>
                      </w:tblPr>
                      <w:tblGrid>
                        <w:gridCol w:w="3359"/>
                      </w:tblGrid>
                      <w:tr w:rsidR="005E2962" w14:paraId="076ACB0C" w14:textId="77777777" w:rsidTr="00B6680B">
                        <w:tc>
                          <w:tcPr>
                            <w:tcW w:w="0" w:type="auto"/>
                          </w:tcPr>
                          <w:p w14:paraId="56C2BA1D" w14:textId="77777777" w:rsidR="005E2962" w:rsidRPr="00077CAC" w:rsidRDefault="005E2962" w:rsidP="00B6680B">
                            <w:pPr>
                              <w:pStyle w:val="CallOutBoxText"/>
                            </w:pPr>
                            <w:r>
                              <w:t xml:space="preserve">Medicaid and State Agency clients </w:t>
                            </w:r>
                            <w:r w:rsidRPr="00AE3C89">
                              <w:t>ha</w:t>
                            </w:r>
                            <w:r>
                              <w:t>ve</w:t>
                            </w:r>
                            <w:r w:rsidRPr="00AE3C89">
                              <w:t xml:space="preserve"> the option to pre-build workflows</w:t>
                            </w:r>
                            <w:r>
                              <w:t xml:space="preserve"> within FraudCapture</w:t>
                            </w:r>
                            <w:r w:rsidRPr="00AE3C89">
                              <w:t xml:space="preserve"> specific to each case type that will auto-populate designated activities in sequence and to automatically update the case status when certain tasks occur.</w:t>
                            </w:r>
                            <w:r w:rsidRPr="00C72F29">
                              <w:t xml:space="preserve"> </w:t>
                            </w:r>
                          </w:p>
                        </w:tc>
                      </w:tr>
                    </w:tbl>
                    <w:p w14:paraId="26FC3D0A" w14:textId="77777777" w:rsidR="005E2962" w:rsidRPr="007E6121" w:rsidRDefault="005E2962" w:rsidP="005E2962">
                      <w:pPr>
                        <w:rPr>
                          <w:sz w:val="8"/>
                          <w:szCs w:val="8"/>
                        </w:rPr>
                      </w:pPr>
                    </w:p>
                  </w:txbxContent>
                </v:textbox>
                <w10:wrap type="square" anchorx="margin"/>
                <w10:anchorlock/>
              </v:shape>
            </w:pict>
          </mc:Fallback>
        </mc:AlternateContent>
      </w:r>
      <w:r>
        <w:t xml:space="preserve">Case Tracking is configurable to accommodate unique  needs and the diverse and fluctuating case types and workflows. Medicaid and State Agency clients can use the system defaults out of the box, but </w:t>
      </w:r>
      <w:proofErr w:type="gramStart"/>
      <w:r>
        <w:t>many</w:t>
      </w:r>
      <w:proofErr w:type="gramEnd"/>
      <w:r>
        <w:t xml:space="preserve"> choose some level of customization such as configurable case types, case activities, status descriptions, finding reason codes, amounts to be tracked, and other drop-down lists to address their unique business and investigative workflow needs. Gainwell will work with Medicaid and State Agency clients during implementation to document the requirements and configurations for launch. We also support the ongoing and changing needs that may result in configuration changes post-launch.</w:t>
      </w:r>
    </w:p>
    <w:p w14:paraId="10BF0771" w14:textId="77777777" w:rsidR="005E2962" w:rsidRDefault="005E2962" w:rsidP="005128DD">
      <w:pPr>
        <w:pStyle w:val="BodyText"/>
        <w:widowControl w:val="0"/>
        <w:suppressAutoHyphens/>
      </w:pPr>
      <w:r>
        <w:t xml:space="preserve">FraudCapture users can customize the landing page defaults in the system settings. Within </w:t>
      </w:r>
      <w:r>
        <w:lastRenderedPageBreak/>
        <w:t xml:space="preserve">each landing page, users can easily change the filtering/view options to drill into the items they want to explore, which may differ from their pre-set defaults. Exporting results on their landing page is as simple as clicking one button. Business intelligence dashboards for Case Tracking contain graphs and visuals of key metrics and insights. </w:t>
      </w:r>
    </w:p>
    <w:p w14:paraId="0B8D28E2" w14:textId="77777777" w:rsidR="005E2962" w:rsidRDefault="005E2962" w:rsidP="005128DD">
      <w:pPr>
        <w:pStyle w:val="BodyText"/>
        <w:widowControl w:val="0"/>
        <w:suppressAutoHyphens/>
      </w:pPr>
      <w:r>
        <w:t>The Case Tracking module includes the following features:</w:t>
      </w:r>
    </w:p>
    <w:p w14:paraId="1337A792" w14:textId="77777777" w:rsidR="00D9342C" w:rsidRDefault="00D9342C" w:rsidP="005128DD">
      <w:pPr>
        <w:pStyle w:val="Bullet1Double"/>
        <w:widowControl w:val="0"/>
        <w:numPr>
          <w:ilvl w:val="0"/>
          <w:numId w:val="61"/>
        </w:numPr>
        <w:tabs>
          <w:tab w:val="clear" w:pos="0"/>
          <w:tab w:val="clear" w:pos="288"/>
        </w:tabs>
        <w:suppressAutoHyphens/>
        <w:ind w:left="720" w:hanging="450"/>
      </w:pPr>
      <w:r>
        <w:t>Configurable lead priority tool for users to respond to questions and generate a priority list to help ensure that the most egregious issues are addressed first.</w:t>
      </w:r>
    </w:p>
    <w:p w14:paraId="59244309" w14:textId="77777777" w:rsidR="00D9342C" w:rsidRDefault="00D9342C" w:rsidP="005128DD">
      <w:pPr>
        <w:pStyle w:val="Bullet1Double"/>
        <w:widowControl w:val="0"/>
        <w:numPr>
          <w:ilvl w:val="0"/>
          <w:numId w:val="61"/>
        </w:numPr>
        <w:tabs>
          <w:tab w:val="clear" w:pos="0"/>
          <w:tab w:val="clear" w:pos="288"/>
        </w:tabs>
        <w:suppressAutoHyphens/>
        <w:ind w:left="720" w:hanging="450"/>
      </w:pPr>
      <w:r>
        <w:t xml:space="preserve">Notes, medical records, and other file attachments stored within the case as part of the case record; the system supports a simple drag-and-drop for easy uploading of </w:t>
      </w:r>
      <w:proofErr w:type="gramStart"/>
      <w:r>
        <w:t>numerous</w:t>
      </w:r>
      <w:proofErr w:type="gramEnd"/>
      <w:r>
        <w:t xml:space="preserve"> records of varying file sizes and types.</w:t>
      </w:r>
    </w:p>
    <w:p w14:paraId="5F2CA20C" w14:textId="77777777" w:rsidR="00D9342C" w:rsidRDefault="00D9342C" w:rsidP="005128DD">
      <w:pPr>
        <w:pStyle w:val="Bullet1Double"/>
        <w:widowControl w:val="0"/>
        <w:numPr>
          <w:ilvl w:val="0"/>
          <w:numId w:val="61"/>
        </w:numPr>
        <w:tabs>
          <w:tab w:val="clear" w:pos="0"/>
          <w:tab w:val="clear" w:pos="288"/>
        </w:tabs>
        <w:suppressAutoHyphens/>
        <w:ind w:left="720" w:hanging="450"/>
      </w:pPr>
      <w:r>
        <w:t>Case notes and documentation (attachments) easily downloaded with a one-button approach to verify exporting the relevant case information into a package for legal counsel or law enforcement referrals is a simple and error-free process.</w:t>
      </w:r>
    </w:p>
    <w:p w14:paraId="4E518C90" w14:textId="77777777" w:rsidR="00D9342C" w:rsidRDefault="00D9342C" w:rsidP="005128DD">
      <w:pPr>
        <w:pStyle w:val="Bullet1Double"/>
        <w:widowControl w:val="0"/>
        <w:numPr>
          <w:ilvl w:val="0"/>
          <w:numId w:val="61"/>
        </w:numPr>
        <w:tabs>
          <w:tab w:val="clear" w:pos="0"/>
          <w:tab w:val="clear" w:pos="288"/>
        </w:tabs>
        <w:suppressAutoHyphens/>
        <w:ind w:left="720" w:hanging="450"/>
      </w:pPr>
      <w:r>
        <w:t>Embedded, efficient, and comprehensive case-related reports generated based on case assignments, activities, statuses, findings, and recoveries; this includes the ability to generate ad hoc queries on Case Tracking details, activities, amounts, and more.</w:t>
      </w:r>
    </w:p>
    <w:p w14:paraId="298A40DD" w14:textId="77777777" w:rsidR="00D9342C" w:rsidRDefault="00D9342C" w:rsidP="005128DD">
      <w:pPr>
        <w:pStyle w:val="Bullet1Double"/>
        <w:widowControl w:val="0"/>
        <w:numPr>
          <w:ilvl w:val="0"/>
          <w:numId w:val="61"/>
        </w:numPr>
        <w:tabs>
          <w:tab w:val="clear" w:pos="0"/>
          <w:tab w:val="clear" w:pos="288"/>
        </w:tabs>
        <w:suppressAutoHyphens/>
        <w:ind w:left="720" w:hanging="450"/>
      </w:pPr>
      <w:r>
        <w:t>Comprehensive audit log that records every action, or status change, as well as every user who viewed a file; sortable and exportable, the detailed audit log helps to provide an accurate record of file access and changes.</w:t>
      </w:r>
    </w:p>
    <w:p w14:paraId="37E71BE1" w14:textId="77777777" w:rsidR="00D9342C" w:rsidRDefault="00D9342C" w:rsidP="005128DD">
      <w:pPr>
        <w:pStyle w:val="Bullet1Double"/>
        <w:widowControl w:val="0"/>
        <w:numPr>
          <w:ilvl w:val="0"/>
          <w:numId w:val="61"/>
        </w:numPr>
        <w:tabs>
          <w:tab w:val="clear" w:pos="0"/>
          <w:tab w:val="clear" w:pos="288"/>
        </w:tabs>
        <w:suppressAutoHyphens/>
        <w:ind w:left="720" w:hanging="450"/>
      </w:pPr>
      <w:r>
        <w:t>Power BI graphical and tabular views within the Case and Lead dashboards to display the most commonly accessed</w:t>
      </w:r>
      <w:r w:rsidDel="00E51EAD">
        <w:t xml:space="preserve"> </w:t>
      </w:r>
      <w:r>
        <w:t>statistics and performance insights for management reviews.</w:t>
      </w:r>
    </w:p>
    <w:p w14:paraId="3825460E" w14:textId="77777777" w:rsidR="00D9342C" w:rsidRDefault="00D9342C" w:rsidP="005128DD">
      <w:pPr>
        <w:pStyle w:val="Bullet1Double"/>
        <w:widowControl w:val="0"/>
        <w:numPr>
          <w:ilvl w:val="0"/>
          <w:numId w:val="61"/>
        </w:numPr>
        <w:tabs>
          <w:tab w:val="clear" w:pos="0"/>
          <w:tab w:val="clear" w:pos="288"/>
        </w:tabs>
        <w:suppressAutoHyphens/>
        <w:ind w:left="720" w:hanging="450"/>
      </w:pPr>
      <w:r>
        <w:t xml:space="preserve">Collaboration and approval steps within Case </w:t>
      </w:r>
      <w:proofErr w:type="gramStart"/>
      <w:r>
        <w:t>Tracking that</w:t>
      </w:r>
      <w:proofErr w:type="gramEnd"/>
      <w:r>
        <w:t xml:space="preserve"> are fully supported through configurable pre-set approval steps as well as the ability to route "on-the-fly" approvals to other users. The request to the other user generates an email outside the system to the designated user’s email address and appears on the user's work queue with the due date and visibility into all assignments/deadlines to manage workloads. Notifications are also supported for users who need visibility into certain checkpoints within a case, but do not need to approve or take specified action. For example, an approval may be required before a case is sent to the MFCU (Medicaid Fraud Control Unit), but additionally management may want an email notification confirming the referral has been delivered.</w:t>
      </w:r>
    </w:p>
    <w:p w14:paraId="08FD4D39" w14:textId="77777777" w:rsidR="00D9342C" w:rsidRDefault="00D9342C" w:rsidP="005128DD">
      <w:pPr>
        <w:pStyle w:val="Bullet1Double"/>
        <w:widowControl w:val="0"/>
        <w:numPr>
          <w:ilvl w:val="0"/>
          <w:numId w:val="61"/>
        </w:numPr>
        <w:tabs>
          <w:tab w:val="clear" w:pos="0"/>
          <w:tab w:val="clear" w:pos="288"/>
        </w:tabs>
        <w:suppressAutoHyphens/>
        <w:ind w:left="720" w:hanging="450"/>
      </w:pPr>
      <w:r>
        <w:t>Ability to perform in-system sampling and audit of the claims, with a cross-check to validate that the same claim is not captured on multiple audits, and ability to automate calculations and findings output.</w:t>
      </w:r>
    </w:p>
    <w:p w14:paraId="788837C7" w14:textId="77777777" w:rsidR="00D9342C" w:rsidRDefault="00D9342C" w:rsidP="005128DD">
      <w:pPr>
        <w:pStyle w:val="Bullet1Double"/>
        <w:widowControl w:val="0"/>
        <w:numPr>
          <w:ilvl w:val="0"/>
          <w:numId w:val="61"/>
        </w:numPr>
        <w:tabs>
          <w:tab w:val="clear" w:pos="0"/>
          <w:tab w:val="clear" w:pos="288"/>
        </w:tabs>
        <w:suppressAutoHyphens/>
        <w:ind w:left="720" w:hanging="450"/>
      </w:pPr>
      <w:r>
        <w:t>Workload reassignment for ease of rebalancing workload or transferring activities and cases when a user leaves the team or is unexpectedly out.</w:t>
      </w:r>
    </w:p>
    <w:p w14:paraId="795E4764" w14:textId="77777777" w:rsidR="00C157E3" w:rsidRDefault="00C157E3" w:rsidP="005128DD">
      <w:pPr>
        <w:pStyle w:val="Heading60"/>
        <w:keepNext w:val="0"/>
        <w:keepLines w:val="0"/>
        <w:widowControl w:val="0"/>
        <w:suppressAutoHyphens/>
        <w:rPr>
          <w:rFonts w:hint="eastAsia"/>
        </w:rPr>
      </w:pPr>
      <w:r>
        <w:t>Integrating with Other FraudCapture Modules</w:t>
      </w:r>
    </w:p>
    <w:p w14:paraId="30E5C3EF" w14:textId="77777777" w:rsidR="00C157E3" w:rsidRDefault="00C157E3" w:rsidP="005128DD">
      <w:pPr>
        <w:pStyle w:val="BodyText"/>
        <w:widowControl w:val="0"/>
        <w:suppressAutoHyphens/>
      </w:pPr>
      <w:r>
        <w:t xml:space="preserve">Case Tracking is fully integrated with the other FraudCapture modules to allow for seamless data flow between them, automatically pulling in case subject and claims data from your underlying data files, eliminating repetitive and error-prone data entry. This integration also creates </w:t>
      </w:r>
      <w:proofErr w:type="gramStart"/>
      <w:r>
        <w:t>many</w:t>
      </w:r>
      <w:proofErr w:type="gramEnd"/>
      <w:r>
        <w:t xml:space="preserve"> other efficiencies throughout the life cycle of a case, including the ability to: </w:t>
      </w:r>
    </w:p>
    <w:p w14:paraId="799A845C" w14:textId="77777777" w:rsidR="00C157E3" w:rsidRDefault="00C157E3" w:rsidP="005128DD">
      <w:pPr>
        <w:pStyle w:val="Bullet1Double"/>
        <w:widowControl w:val="0"/>
        <w:numPr>
          <w:ilvl w:val="0"/>
          <w:numId w:val="62"/>
        </w:numPr>
        <w:tabs>
          <w:tab w:val="clear" w:pos="0"/>
          <w:tab w:val="clear" w:pos="288"/>
        </w:tabs>
        <w:suppressAutoHyphens/>
        <w:ind w:left="720" w:hanging="450"/>
      </w:pPr>
      <w:r>
        <w:t xml:space="preserve">Populate case fields from provider and patient profiles as well as hyperlink navigation to </w:t>
      </w:r>
      <w:r>
        <w:lastRenderedPageBreak/>
        <w:t>those profiles</w:t>
      </w:r>
    </w:p>
    <w:p w14:paraId="37D4A3C6" w14:textId="77777777" w:rsidR="00C157E3" w:rsidRDefault="00C157E3" w:rsidP="005128DD">
      <w:pPr>
        <w:pStyle w:val="Bullet1Double"/>
        <w:widowControl w:val="0"/>
        <w:numPr>
          <w:ilvl w:val="0"/>
          <w:numId w:val="62"/>
        </w:numPr>
        <w:tabs>
          <w:tab w:val="clear" w:pos="0"/>
          <w:tab w:val="clear" w:pos="288"/>
        </w:tabs>
        <w:suppressAutoHyphens/>
        <w:ind w:left="720" w:hanging="450"/>
      </w:pPr>
      <w:r>
        <w:t>Link to the profile to show Case Tracking current and historical actions</w:t>
      </w:r>
    </w:p>
    <w:p w14:paraId="739BC190" w14:textId="77777777" w:rsidR="00C157E3" w:rsidRDefault="00C157E3" w:rsidP="005128DD">
      <w:pPr>
        <w:pStyle w:val="Bullet1Double"/>
        <w:widowControl w:val="0"/>
        <w:numPr>
          <w:ilvl w:val="0"/>
          <w:numId w:val="62"/>
        </w:numPr>
        <w:tabs>
          <w:tab w:val="clear" w:pos="0"/>
          <w:tab w:val="clear" w:pos="288"/>
        </w:tabs>
        <w:suppressAutoHyphens/>
        <w:ind w:left="720" w:hanging="450"/>
      </w:pPr>
      <w:r>
        <w:t xml:space="preserve">Select audit samples and perform claim audits directly within the system </w:t>
      </w:r>
    </w:p>
    <w:p w14:paraId="1E0CBD74" w14:textId="77777777" w:rsidR="001C5814" w:rsidRDefault="001C5814" w:rsidP="005128DD">
      <w:pPr>
        <w:pStyle w:val="Heading40"/>
        <w:keepNext w:val="0"/>
        <w:keepLines w:val="0"/>
        <w:widowControl w:val="0"/>
        <w:suppressAutoHyphens/>
        <w:rPr>
          <w:rFonts w:eastAsiaTheme="minorHAnsi"/>
        </w:rPr>
      </w:pPr>
      <w:r>
        <w:t xml:space="preserve">Advanced Analytics Support </w:t>
      </w:r>
    </w:p>
    <w:p w14:paraId="69CCD2EB" w14:textId="77777777" w:rsidR="001C5814" w:rsidRDefault="001C5814" w:rsidP="005128DD">
      <w:pPr>
        <w:pStyle w:val="BodyText"/>
        <w:widowControl w:val="0"/>
        <w:suppressAutoHyphens/>
      </w:pPr>
      <w:r>
        <w:t>As an optional service, and subject to additional terms and conditions for such SIU services, Gainwell will provide Medicaid and State Agency clients with advanced analytics support for vetted targeting: identifying previously uncovered threats within the population.</w:t>
      </w:r>
      <w:r w:rsidRPr="00084930">
        <w:t xml:space="preserve"> </w:t>
      </w:r>
      <w:r>
        <w:t xml:space="preserve">Gainwell will perform in-depth analysis to identify FWA issues or potential investigative fraud targets from providers, facilities, and patients and to uncover trends and potential policy gaps. </w:t>
      </w:r>
    </w:p>
    <w:p w14:paraId="71C48205" w14:textId="77777777" w:rsidR="001C5814" w:rsidRDefault="001C5814" w:rsidP="005128DD">
      <w:pPr>
        <w:pStyle w:val="BodyText"/>
        <w:widowControl w:val="0"/>
        <w:suppressAutoHyphens/>
      </w:pPr>
      <w:r>
        <w:t xml:space="preserve">Our expert FWA analysts begin with a high-level review of the data. Our global view of data, from across multiple sources, offers unprecedented insight into trends and targets. Analysts will review these findings with the client stakeholders and make recommendations related to focus areas and potential priorities. After this discussion, we will provide a recommended, customized analytics plan. </w:t>
      </w:r>
    </w:p>
    <w:p w14:paraId="1ABCF54D" w14:textId="77777777" w:rsidR="001C5814" w:rsidRDefault="001C5814" w:rsidP="005128DD">
      <w:pPr>
        <w:pStyle w:val="BodyText"/>
        <w:widowControl w:val="0"/>
        <w:suppressAutoHyphens/>
      </w:pPr>
      <w:r w:rsidRPr="00084930" w:rsidDel="00084930">
        <w:t>B</w:t>
      </w:r>
      <w:r w:rsidRPr="00084930">
        <w:t xml:space="preserve">ased on </w:t>
      </w:r>
      <w:r>
        <w:t>agreed-upon</w:t>
      </w:r>
      <w:r w:rsidRPr="00084930">
        <w:t xml:space="preserve"> priorities, our </w:t>
      </w:r>
      <w:r>
        <w:t>A</w:t>
      </w:r>
      <w:r w:rsidRPr="00084930">
        <w:t>nalytics team will begin in-depth analyses to identify subjects with suspect billing behaviors and document their findings. We focus only on the highest quality, validated case leads and will provide our recommendations in suspect briefs</w:t>
      </w:r>
      <w:r>
        <w:t>: PreQL reports</w:t>
      </w:r>
      <w:r w:rsidRPr="00084930">
        <w:t xml:space="preserve">. These reports, unique to </w:t>
      </w:r>
      <w:r>
        <w:t>Gainwell</w:t>
      </w:r>
      <w:r w:rsidRPr="00084930">
        <w:t>, include detailed data findings along with the analyst</w:t>
      </w:r>
      <w:r>
        <w:t>s’</w:t>
      </w:r>
      <w:r w:rsidRPr="00084930">
        <w:t xml:space="preserve"> findings as they conduct other analyses and open source intelligence research. We will also recommend further action including the initiation of an investigation, provider education, monitoring, pre-payment review, or other appropriate actions. </w:t>
      </w:r>
    </w:p>
    <w:p w14:paraId="5E1B4BA2" w14:textId="77777777" w:rsidR="001C5814" w:rsidRDefault="001C5814" w:rsidP="005128DD">
      <w:pPr>
        <w:pStyle w:val="BodyText"/>
        <w:widowControl w:val="0"/>
        <w:suppressAutoHyphens/>
      </w:pPr>
      <w:r>
        <w:t>Our analyses leverage FraudCapture’s analytic results and data exploration tools, and also incorporate artificial intelligence and machine learning to enhance and improve claim selection accuracy, reduce false positives, and target claims that are most likely to result in an improper payment.</w:t>
      </w:r>
    </w:p>
    <w:p w14:paraId="58317CB0" w14:textId="77777777" w:rsidR="001C5814" w:rsidRDefault="001C5814" w:rsidP="005128DD">
      <w:pPr>
        <w:pStyle w:val="BodyText"/>
        <w:widowControl w:val="0"/>
        <w:suppressAutoHyphens/>
      </w:pPr>
      <w:r>
        <w:t xml:space="preserve">Because Gainwell performs FWA services for dozens of clients nationwide, we take that knowledge gained and apply it across all clients to identify any potential exposure, whether that is related to a specific investigative target or a fraud scheme or issue. </w:t>
      </w:r>
    </w:p>
    <w:p w14:paraId="7D8948EC" w14:textId="77777777" w:rsidR="001C5814" w:rsidRDefault="001C5814" w:rsidP="005128DD">
      <w:pPr>
        <w:pStyle w:val="BodyText"/>
        <w:widowControl w:val="0"/>
        <w:suppressAutoHyphens/>
      </w:pPr>
      <w:r>
        <w:t xml:space="preserve">A distinct advantage of our solution is that the Gainwell team provides more than just technology—we provide </w:t>
      </w:r>
      <w:proofErr w:type="gramStart"/>
      <w:r>
        <w:t>hands-on</w:t>
      </w:r>
      <w:proofErr w:type="gramEnd"/>
      <w:r>
        <w:t xml:space="preserve"> investigation and data analyses on behalf of both commercial and government payers. We can quickly translate what we learn about the latest FWA trends into new algorithms and models to identify potential </w:t>
      </w:r>
      <w:r w:rsidDel="00F6049F">
        <w:t>c</w:t>
      </w:r>
      <w:r>
        <w:t>lient issues on a timely basis.</w:t>
      </w:r>
    </w:p>
    <w:p w14:paraId="5437AAD0" w14:textId="3CC15065" w:rsidR="00734A36" w:rsidRDefault="00734A36" w:rsidP="005128DD">
      <w:pPr>
        <w:widowControl w:val="0"/>
        <w:suppressAutoHyphens/>
        <w:spacing w:after="160" w:line="259" w:lineRule="auto"/>
        <w:rPr>
          <w:color w:val="2B3A44"/>
        </w:rPr>
      </w:pPr>
      <w:r>
        <w:br w:type="page"/>
      </w:r>
    </w:p>
    <w:p w14:paraId="39127D7E" w14:textId="6AF86560" w:rsidR="00734A36" w:rsidRPr="00414AC9" w:rsidRDefault="00C302C4" w:rsidP="005128DD">
      <w:pPr>
        <w:pStyle w:val="HeadingManual2"/>
        <w:keepNext w:val="0"/>
        <w:keepLines w:val="0"/>
        <w:widowControl w:val="0"/>
        <w:suppressAutoHyphens/>
        <w:ind w:left="0" w:firstLine="0"/>
        <w:rPr>
          <w:rFonts w:cs="Arial"/>
          <w:b w:val="0"/>
          <w:sz w:val="28"/>
          <w:szCs w:val="28"/>
          <w:highlight w:val="yellow"/>
        </w:rPr>
      </w:pPr>
      <w:r>
        <w:lastRenderedPageBreak/>
        <w:t>FraudCapture Terms &amp; Conditions</w:t>
      </w:r>
    </w:p>
    <w:p w14:paraId="60FE315D" w14:textId="77777777" w:rsidR="002C1915" w:rsidRPr="002C1915" w:rsidRDefault="002C1915" w:rsidP="00C245FC">
      <w:pPr>
        <w:widowControl w:val="0"/>
        <w:suppressAutoHyphens/>
        <w:jc w:val="both"/>
        <w:rPr>
          <w:color w:val="2B3A44"/>
        </w:rPr>
      </w:pPr>
      <w:r w:rsidRPr="002C1915">
        <w:rPr>
          <w:color w:val="2B3A44"/>
        </w:rPr>
        <w:t>The provision and use of the FraudCapture SaaS solution/Platform is subject to the following terms and conditions in addition to those terms and conditions set forth in the Master Agreement (collectively, “Terms”). FraudCapture is provided by Health Management Systems, Inc., a Gainwell Technologies company (HMS) and an affiliate of Gainwell (collectively referred to as “Gainwell”).</w:t>
      </w:r>
    </w:p>
    <w:p w14:paraId="12B8B69F" w14:textId="77777777" w:rsidR="002C1915" w:rsidRDefault="002C1915" w:rsidP="00C245FC">
      <w:pPr>
        <w:widowControl w:val="0"/>
        <w:suppressAutoHyphens/>
        <w:rPr>
          <w:rFonts w:eastAsia="Calibri"/>
          <w:color w:val="auto"/>
          <w:szCs w:val="24"/>
          <w:lang w:bidi="ar-SA"/>
        </w:rPr>
      </w:pPr>
    </w:p>
    <w:p w14:paraId="74267E8B" w14:textId="77777777" w:rsidR="00C245FC" w:rsidRPr="002C1915" w:rsidRDefault="00C245FC" w:rsidP="00C245FC">
      <w:pPr>
        <w:widowControl w:val="0"/>
        <w:suppressAutoHyphens/>
        <w:rPr>
          <w:rFonts w:eastAsia="Calibri"/>
          <w:color w:val="auto"/>
          <w:szCs w:val="24"/>
          <w:lang w:bidi="ar-SA"/>
        </w:rPr>
      </w:pPr>
    </w:p>
    <w:p w14:paraId="5342B293" w14:textId="77777777" w:rsidR="002C1915" w:rsidRPr="002C1915" w:rsidRDefault="002C1915" w:rsidP="00C245FC">
      <w:pPr>
        <w:widowControl w:val="0"/>
        <w:suppressAutoHyphens/>
        <w:jc w:val="both"/>
        <w:outlineLvl w:val="0"/>
        <w:rPr>
          <w:rFonts w:eastAsia="Calibri" w:cs="Arial"/>
          <w:b/>
          <w:bCs/>
          <w:color w:val="auto"/>
          <w:kern w:val="32"/>
          <w:szCs w:val="22"/>
          <w:lang w:bidi="ar-SA"/>
        </w:rPr>
      </w:pPr>
      <w:r w:rsidRPr="002C1915">
        <w:rPr>
          <w:rFonts w:eastAsia="Calibri" w:cs="Arial"/>
          <w:b/>
          <w:bCs/>
          <w:color w:val="auto"/>
          <w:kern w:val="32"/>
          <w:szCs w:val="22"/>
          <w:lang w:bidi="ar-SA"/>
        </w:rPr>
        <w:t xml:space="preserve">SECTION 1. DEFINITIONS </w:t>
      </w:r>
    </w:p>
    <w:p w14:paraId="40C98FD0" w14:textId="77777777" w:rsidR="002C1915" w:rsidRPr="002C1915" w:rsidRDefault="002C1915" w:rsidP="00C245FC">
      <w:pPr>
        <w:widowControl w:val="0"/>
        <w:suppressAutoHyphens/>
        <w:jc w:val="both"/>
        <w:outlineLvl w:val="0"/>
        <w:rPr>
          <w:rFonts w:eastAsia="Calibri" w:cs="Arial"/>
          <w:b/>
          <w:bCs/>
          <w:color w:val="auto"/>
          <w:kern w:val="32"/>
          <w:szCs w:val="22"/>
          <w:lang w:bidi="ar-SA"/>
        </w:rPr>
      </w:pPr>
    </w:p>
    <w:p w14:paraId="0F9EF34F" w14:textId="77777777" w:rsidR="002C1915" w:rsidRPr="002C1915" w:rsidRDefault="002C1915" w:rsidP="00C245FC">
      <w:pPr>
        <w:widowControl w:val="0"/>
        <w:numPr>
          <w:ilvl w:val="1"/>
          <w:numId w:val="65"/>
        </w:numPr>
        <w:suppressAutoHyphens/>
        <w:ind w:left="720" w:hanging="720"/>
        <w:jc w:val="both"/>
        <w:outlineLvl w:val="4"/>
        <w:rPr>
          <w:rFonts w:eastAsia="Times New Roman" w:cs="Arial"/>
          <w:color w:val="auto"/>
          <w:szCs w:val="22"/>
          <w:lang w:bidi="ar-SA"/>
        </w:rPr>
      </w:pPr>
      <w:r w:rsidRPr="002C1915">
        <w:rPr>
          <w:rFonts w:eastAsia="Times New Roman" w:cs="Arial"/>
          <w:b/>
          <w:color w:val="auto"/>
          <w:szCs w:val="22"/>
          <w:lang w:bidi="ar-SA"/>
        </w:rPr>
        <w:t>Participating Entity Data</w:t>
      </w:r>
      <w:r w:rsidRPr="002C1915">
        <w:rPr>
          <w:rFonts w:eastAsia="Times New Roman" w:cs="Arial"/>
          <w:color w:val="auto"/>
          <w:szCs w:val="22"/>
          <w:lang w:bidi="ar-SA"/>
        </w:rPr>
        <w:t xml:space="preserve"> means provider data, claims data and other member related data provided by Participating Entity and used by Gainwell to populate the FraudCapture Platform.</w:t>
      </w:r>
    </w:p>
    <w:p w14:paraId="5FE8E1E2" w14:textId="77777777" w:rsidR="002C1915" w:rsidRPr="002C1915" w:rsidRDefault="002C1915" w:rsidP="00C245FC">
      <w:pPr>
        <w:widowControl w:val="0"/>
        <w:suppressAutoHyphens/>
        <w:ind w:left="720" w:hanging="720"/>
        <w:jc w:val="both"/>
        <w:outlineLvl w:val="4"/>
        <w:rPr>
          <w:rFonts w:eastAsia="Times New Roman" w:cs="Arial"/>
          <w:color w:val="auto"/>
          <w:szCs w:val="22"/>
          <w:lang w:bidi="ar-SA"/>
        </w:rPr>
      </w:pPr>
    </w:p>
    <w:p w14:paraId="042E802F" w14:textId="77777777" w:rsidR="002C1915" w:rsidRPr="002C1915" w:rsidRDefault="002C1915" w:rsidP="00C245FC">
      <w:pPr>
        <w:widowControl w:val="0"/>
        <w:numPr>
          <w:ilvl w:val="1"/>
          <w:numId w:val="65"/>
        </w:numPr>
        <w:suppressAutoHyphens/>
        <w:ind w:left="720" w:hanging="720"/>
        <w:jc w:val="both"/>
        <w:rPr>
          <w:rFonts w:eastAsia="Times New Roman" w:cs="Arial"/>
          <w:color w:val="auto"/>
          <w:szCs w:val="22"/>
          <w:lang w:bidi="ar-SA"/>
        </w:rPr>
      </w:pPr>
      <w:r w:rsidRPr="002C1915">
        <w:rPr>
          <w:rFonts w:eastAsia="Times New Roman" w:cs="Arial"/>
          <w:b/>
          <w:color w:val="auto"/>
          <w:szCs w:val="22"/>
          <w:lang w:bidi="ar-SA"/>
        </w:rPr>
        <w:t>Participating Entity Data Files</w:t>
      </w:r>
      <w:r w:rsidRPr="002C1915">
        <w:rPr>
          <w:rFonts w:eastAsia="Times New Roman" w:cs="Arial"/>
          <w:color w:val="auto"/>
          <w:szCs w:val="22"/>
          <w:lang w:bidi="ar-SA"/>
        </w:rPr>
        <w:t xml:space="preserve"> means the files containing Participating Entity Data that Participating Entity provides to Gainwell further to the Terms. </w:t>
      </w:r>
    </w:p>
    <w:p w14:paraId="06F83FD4" w14:textId="77777777" w:rsidR="002C1915" w:rsidRPr="002C1915" w:rsidRDefault="002C1915" w:rsidP="00C245FC">
      <w:pPr>
        <w:widowControl w:val="0"/>
        <w:suppressAutoHyphens/>
        <w:ind w:left="720" w:hanging="720"/>
        <w:jc w:val="both"/>
        <w:rPr>
          <w:rFonts w:eastAsia="Times New Roman" w:cs="Arial"/>
          <w:color w:val="auto"/>
          <w:szCs w:val="22"/>
          <w:lang w:bidi="ar-SA"/>
        </w:rPr>
      </w:pPr>
    </w:p>
    <w:p w14:paraId="7CB556B1" w14:textId="77777777" w:rsidR="002C1915" w:rsidRPr="002C1915" w:rsidRDefault="002C1915" w:rsidP="00C245FC">
      <w:pPr>
        <w:widowControl w:val="0"/>
        <w:numPr>
          <w:ilvl w:val="1"/>
          <w:numId w:val="65"/>
        </w:numPr>
        <w:suppressAutoHyphens/>
        <w:ind w:left="720" w:hanging="720"/>
        <w:jc w:val="both"/>
        <w:outlineLvl w:val="4"/>
        <w:rPr>
          <w:rFonts w:eastAsia="Times New Roman" w:cs="Arial"/>
          <w:color w:val="auto"/>
          <w:szCs w:val="22"/>
          <w:lang w:bidi="ar-SA"/>
        </w:rPr>
      </w:pPr>
      <w:r w:rsidRPr="002C1915">
        <w:rPr>
          <w:rFonts w:eastAsia="Times New Roman" w:cs="Arial"/>
          <w:b/>
          <w:color w:val="auto"/>
          <w:szCs w:val="22"/>
          <w:lang w:bidi="ar-SA"/>
        </w:rPr>
        <w:t>Documentation</w:t>
      </w:r>
      <w:r w:rsidRPr="002C1915">
        <w:rPr>
          <w:rFonts w:eastAsia="Times New Roman" w:cs="Arial"/>
          <w:color w:val="auto"/>
          <w:szCs w:val="22"/>
          <w:lang w:bidi="ar-SA"/>
        </w:rPr>
        <w:t xml:space="preserve"> means the user guide and release notes regarding use of the FraudCapture Platform that may be published by Gainwell from time to time. </w:t>
      </w:r>
    </w:p>
    <w:p w14:paraId="53CBCAB9" w14:textId="77777777" w:rsidR="002C1915" w:rsidRPr="002C1915" w:rsidRDefault="002C1915" w:rsidP="00C245FC">
      <w:pPr>
        <w:widowControl w:val="0"/>
        <w:suppressAutoHyphens/>
        <w:ind w:left="720" w:hanging="720"/>
        <w:jc w:val="both"/>
        <w:rPr>
          <w:rFonts w:eastAsia="Times New Roman" w:cs="Arial"/>
          <w:color w:val="auto"/>
          <w:szCs w:val="22"/>
          <w:lang w:bidi="ar-SA"/>
        </w:rPr>
      </w:pPr>
    </w:p>
    <w:p w14:paraId="4C2CEFF3" w14:textId="77777777" w:rsidR="002C1915" w:rsidRPr="002C1915" w:rsidRDefault="002C1915" w:rsidP="00C245FC">
      <w:pPr>
        <w:widowControl w:val="0"/>
        <w:numPr>
          <w:ilvl w:val="1"/>
          <w:numId w:val="65"/>
        </w:numPr>
        <w:suppressAutoHyphens/>
        <w:ind w:left="720" w:hanging="720"/>
        <w:jc w:val="both"/>
        <w:rPr>
          <w:rFonts w:eastAsia="Times New Roman" w:cs="Arial"/>
          <w:color w:val="auto"/>
          <w:szCs w:val="22"/>
          <w:lang w:bidi="ar-SA"/>
        </w:rPr>
      </w:pPr>
      <w:r w:rsidRPr="002C1915">
        <w:rPr>
          <w:rFonts w:eastAsia="Times New Roman" w:cs="Arial"/>
          <w:b/>
          <w:color w:val="auto"/>
          <w:szCs w:val="22"/>
          <w:lang w:bidi="ar-SA"/>
        </w:rPr>
        <w:t xml:space="preserve">Feedback </w:t>
      </w:r>
      <w:r w:rsidRPr="002C1915">
        <w:rPr>
          <w:rFonts w:eastAsia="Times New Roman" w:cs="Arial"/>
          <w:color w:val="auto"/>
          <w:szCs w:val="22"/>
          <w:lang w:bidi="ar-SA"/>
        </w:rPr>
        <w:t>means any communication by Participating Entity or its Users to Gainwell regarding the performance of the FraudCapture Platform including issues, suggested changes or modifications concerning the FraudCapture Platform.</w:t>
      </w:r>
    </w:p>
    <w:p w14:paraId="72FE27D3" w14:textId="77777777" w:rsidR="002C1915" w:rsidRPr="002C1915" w:rsidRDefault="002C1915" w:rsidP="00C245FC">
      <w:pPr>
        <w:widowControl w:val="0"/>
        <w:suppressAutoHyphens/>
        <w:ind w:left="720" w:hanging="720"/>
        <w:jc w:val="both"/>
        <w:rPr>
          <w:rFonts w:eastAsia="Times New Roman" w:cs="Arial"/>
          <w:color w:val="auto"/>
          <w:szCs w:val="22"/>
          <w:lang w:bidi="ar-SA"/>
        </w:rPr>
      </w:pPr>
    </w:p>
    <w:p w14:paraId="1B4AAEBC" w14:textId="77777777" w:rsidR="002C1915" w:rsidRPr="002C1915" w:rsidRDefault="002C1915" w:rsidP="00C245FC">
      <w:pPr>
        <w:widowControl w:val="0"/>
        <w:numPr>
          <w:ilvl w:val="1"/>
          <w:numId w:val="65"/>
        </w:numPr>
        <w:suppressAutoHyphens/>
        <w:ind w:left="720" w:hanging="720"/>
        <w:jc w:val="both"/>
        <w:outlineLvl w:val="4"/>
        <w:rPr>
          <w:rFonts w:eastAsia="Times New Roman" w:cs="Arial"/>
          <w:color w:val="auto"/>
          <w:szCs w:val="22"/>
          <w:lang w:bidi="ar-SA"/>
        </w:rPr>
      </w:pPr>
      <w:r w:rsidRPr="002C1915">
        <w:rPr>
          <w:rFonts w:eastAsia="Times New Roman" w:cs="Arial"/>
          <w:b/>
          <w:color w:val="auto"/>
          <w:szCs w:val="22"/>
          <w:lang w:bidi="ar-SA"/>
        </w:rPr>
        <w:t xml:space="preserve">FraudCapture Platform </w:t>
      </w:r>
      <w:r w:rsidRPr="002C1915">
        <w:rPr>
          <w:rFonts w:eastAsia="Times New Roman" w:cs="Arial"/>
          <w:color w:val="auto"/>
          <w:szCs w:val="22"/>
          <w:lang w:bidi="ar-SA"/>
        </w:rPr>
        <w:t>means Gainwell’s modular Web-based proprietary analytics platform designed to provide end-to-end support for special investigative unit operations.</w:t>
      </w:r>
    </w:p>
    <w:p w14:paraId="1B1E1720" w14:textId="77777777" w:rsidR="002C1915" w:rsidRPr="002C1915" w:rsidRDefault="002C1915" w:rsidP="00C245FC">
      <w:pPr>
        <w:widowControl w:val="0"/>
        <w:suppressAutoHyphens/>
        <w:ind w:left="720" w:hanging="720"/>
        <w:jc w:val="both"/>
        <w:outlineLvl w:val="4"/>
        <w:rPr>
          <w:rFonts w:eastAsia="Times New Roman" w:cs="Arial"/>
          <w:color w:val="auto"/>
          <w:szCs w:val="22"/>
          <w:lang w:bidi="ar-SA"/>
        </w:rPr>
      </w:pPr>
    </w:p>
    <w:p w14:paraId="6C69DC45" w14:textId="77777777" w:rsidR="002C1915" w:rsidRPr="002C1915" w:rsidRDefault="002C1915" w:rsidP="00C245FC">
      <w:pPr>
        <w:widowControl w:val="0"/>
        <w:numPr>
          <w:ilvl w:val="1"/>
          <w:numId w:val="65"/>
        </w:numPr>
        <w:suppressAutoHyphens/>
        <w:ind w:left="720" w:hanging="720"/>
        <w:contextualSpacing/>
        <w:rPr>
          <w:rFonts w:eastAsia="Times New Roman" w:cs="Arial"/>
          <w:color w:val="auto"/>
          <w:szCs w:val="22"/>
          <w:lang w:bidi="ar-SA"/>
        </w:rPr>
      </w:pPr>
      <w:r w:rsidRPr="002C1915">
        <w:rPr>
          <w:rFonts w:eastAsia="Times New Roman" w:cs="Arial"/>
          <w:b/>
          <w:bCs/>
          <w:color w:val="auto"/>
          <w:szCs w:val="22"/>
          <w:lang w:bidi="ar-SA"/>
        </w:rPr>
        <w:t>FraudCapture Materials</w:t>
      </w:r>
      <w:r w:rsidRPr="002C1915">
        <w:rPr>
          <w:rFonts w:eastAsia="Times New Roman" w:cs="Arial"/>
          <w:color w:val="auto"/>
          <w:szCs w:val="22"/>
          <w:lang w:bidi="ar-SA"/>
        </w:rPr>
        <w:t xml:space="preserve"> means the FraudCapture Platform and the Documentation.</w:t>
      </w:r>
    </w:p>
    <w:p w14:paraId="3434455E" w14:textId="77777777" w:rsidR="002C1915" w:rsidRPr="002C1915" w:rsidRDefault="002C1915" w:rsidP="00C245FC">
      <w:pPr>
        <w:widowControl w:val="0"/>
        <w:suppressAutoHyphens/>
        <w:ind w:left="720" w:hanging="720"/>
        <w:contextualSpacing/>
        <w:rPr>
          <w:rFonts w:eastAsia="Times New Roman" w:cs="Arial"/>
          <w:color w:val="auto"/>
          <w:szCs w:val="22"/>
          <w:lang w:bidi="ar-SA"/>
        </w:rPr>
      </w:pPr>
    </w:p>
    <w:p w14:paraId="5455FC31" w14:textId="77777777" w:rsidR="002C1915" w:rsidRPr="002C1915" w:rsidRDefault="002C1915" w:rsidP="00C245FC">
      <w:pPr>
        <w:widowControl w:val="0"/>
        <w:numPr>
          <w:ilvl w:val="1"/>
          <w:numId w:val="65"/>
        </w:numPr>
        <w:suppressAutoHyphens/>
        <w:ind w:left="720" w:hanging="720"/>
        <w:jc w:val="both"/>
        <w:rPr>
          <w:rFonts w:eastAsia="Times New Roman" w:cs="Arial"/>
          <w:color w:val="auto"/>
          <w:szCs w:val="22"/>
          <w:lang w:bidi="ar-SA"/>
        </w:rPr>
      </w:pPr>
      <w:r w:rsidRPr="002C1915">
        <w:rPr>
          <w:rFonts w:eastAsia="Times New Roman" w:cs="Arial"/>
          <w:b/>
          <w:color w:val="auto"/>
          <w:szCs w:val="22"/>
          <w:lang w:bidi="ar-SA"/>
        </w:rPr>
        <w:t xml:space="preserve">FraudCapture Services </w:t>
      </w:r>
      <w:r w:rsidRPr="002C1915">
        <w:rPr>
          <w:rFonts w:eastAsia="Times New Roman" w:cs="Arial"/>
          <w:color w:val="auto"/>
          <w:szCs w:val="22"/>
          <w:lang w:bidi="ar-SA"/>
        </w:rPr>
        <w:t>means</w:t>
      </w:r>
      <w:r w:rsidRPr="002C1915">
        <w:rPr>
          <w:rFonts w:eastAsia="Times New Roman" w:cs="Arial"/>
          <w:color w:val="auto"/>
          <w:sz w:val="24"/>
          <w:lang w:bidi="ar-SA"/>
        </w:rPr>
        <w:t xml:space="preserve"> </w:t>
      </w:r>
      <w:r w:rsidRPr="002C1915">
        <w:rPr>
          <w:rFonts w:eastAsia="Times New Roman" w:cs="Arial"/>
          <w:color w:val="auto"/>
          <w:szCs w:val="22"/>
          <w:lang w:bidi="ar-SA"/>
        </w:rPr>
        <w:t>Gainwell’s provision of access to and use of the Documentation, the FraudCapture Platform, and the outputs of the FraudCapture Platform.</w:t>
      </w:r>
    </w:p>
    <w:p w14:paraId="01B8C3DD" w14:textId="77777777" w:rsidR="002C1915" w:rsidRPr="002C1915" w:rsidRDefault="002C1915" w:rsidP="00C245FC">
      <w:pPr>
        <w:widowControl w:val="0"/>
        <w:suppressAutoHyphens/>
        <w:ind w:left="720" w:hanging="720"/>
        <w:jc w:val="both"/>
        <w:rPr>
          <w:rFonts w:eastAsia="Times New Roman" w:cs="Arial"/>
          <w:color w:val="auto"/>
          <w:szCs w:val="22"/>
          <w:lang w:bidi="ar-SA"/>
        </w:rPr>
      </w:pPr>
    </w:p>
    <w:p w14:paraId="283EA385" w14:textId="77777777" w:rsidR="002C1915" w:rsidRPr="002C1915" w:rsidRDefault="002C1915" w:rsidP="00C245FC">
      <w:pPr>
        <w:widowControl w:val="0"/>
        <w:numPr>
          <w:ilvl w:val="1"/>
          <w:numId w:val="65"/>
        </w:numPr>
        <w:suppressAutoHyphens/>
        <w:ind w:left="720" w:hanging="720"/>
        <w:jc w:val="both"/>
        <w:rPr>
          <w:rFonts w:eastAsia="Times New Roman" w:cs="Arial"/>
          <w:color w:val="auto"/>
          <w:szCs w:val="22"/>
          <w:lang w:bidi="ar-SA"/>
        </w:rPr>
      </w:pPr>
      <w:r w:rsidRPr="002C1915">
        <w:rPr>
          <w:rFonts w:eastAsia="Times New Roman" w:cs="Arial"/>
          <w:b/>
          <w:color w:val="auto"/>
          <w:szCs w:val="22"/>
          <w:lang w:bidi="ar-SA"/>
        </w:rPr>
        <w:t>Go-Live Date</w:t>
      </w:r>
      <w:r w:rsidRPr="002C1915">
        <w:rPr>
          <w:rFonts w:eastAsia="Times New Roman" w:cs="Arial"/>
          <w:color w:val="auto"/>
          <w:szCs w:val="22"/>
          <w:lang w:bidi="ar-SA"/>
        </w:rPr>
        <w:t xml:space="preserve"> means the date the FraudCapture Platform is first made available to Participating Entity for use in a production environment to process live data.</w:t>
      </w:r>
    </w:p>
    <w:p w14:paraId="0613DB92" w14:textId="77777777" w:rsidR="002C1915" w:rsidRPr="002C1915" w:rsidRDefault="002C1915" w:rsidP="00C245FC">
      <w:pPr>
        <w:widowControl w:val="0"/>
        <w:suppressAutoHyphens/>
        <w:ind w:left="720" w:hanging="720"/>
        <w:jc w:val="both"/>
        <w:rPr>
          <w:rFonts w:eastAsiaTheme="minorHAnsi" w:cs="Arial"/>
          <w:color w:val="000000" w:themeColor="text1"/>
          <w:szCs w:val="22"/>
          <w:lang w:bidi="ar-SA"/>
        </w:rPr>
      </w:pPr>
    </w:p>
    <w:p w14:paraId="42DB27A3" w14:textId="77777777" w:rsidR="002C1915" w:rsidRPr="002C1915" w:rsidRDefault="002C1915" w:rsidP="00C245FC">
      <w:pPr>
        <w:widowControl w:val="0"/>
        <w:numPr>
          <w:ilvl w:val="1"/>
          <w:numId w:val="65"/>
        </w:numPr>
        <w:suppressAutoHyphens/>
        <w:ind w:left="720" w:hanging="720"/>
        <w:jc w:val="both"/>
        <w:rPr>
          <w:rFonts w:eastAsiaTheme="minorHAnsi" w:cs="Arial"/>
          <w:color w:val="000000" w:themeColor="text1"/>
          <w:szCs w:val="22"/>
          <w:lang w:bidi="ar-SA"/>
        </w:rPr>
      </w:pPr>
      <w:r w:rsidRPr="002C1915">
        <w:rPr>
          <w:rFonts w:eastAsiaTheme="minorHAnsi" w:cs="Arial"/>
          <w:b/>
          <w:bCs/>
          <w:color w:val="000000" w:themeColor="text1"/>
          <w:szCs w:val="22"/>
          <w:lang w:bidi="ar-SA"/>
        </w:rPr>
        <w:t xml:space="preserve">Intellectual Property </w:t>
      </w:r>
      <w:r w:rsidRPr="002C1915">
        <w:rPr>
          <w:rFonts w:eastAsiaTheme="minorHAnsi" w:cs="Arial"/>
          <w:color w:val="000000" w:themeColor="text1"/>
          <w:szCs w:val="22"/>
          <w:lang w:bidi="ar-SA"/>
        </w:rPr>
        <w:t>means any and all worldwide copyrights, patents, moral rights, and all other rights in intellectual property existing now or in the future, and any and all applications and registrations to preserve such rights.</w:t>
      </w:r>
    </w:p>
    <w:p w14:paraId="6C8C6982" w14:textId="77777777" w:rsidR="002C1915" w:rsidRPr="002C1915" w:rsidRDefault="002C1915" w:rsidP="00C245FC">
      <w:pPr>
        <w:widowControl w:val="0"/>
        <w:suppressAutoHyphens/>
        <w:ind w:left="720" w:hanging="720"/>
        <w:jc w:val="both"/>
        <w:rPr>
          <w:rFonts w:eastAsia="Times New Roman" w:cs="Arial"/>
          <w:color w:val="auto"/>
          <w:szCs w:val="22"/>
          <w:lang w:bidi="ar-SA"/>
        </w:rPr>
      </w:pPr>
    </w:p>
    <w:p w14:paraId="61B8A380" w14:textId="77777777" w:rsidR="002C1915" w:rsidRPr="002C1915" w:rsidRDefault="002C1915" w:rsidP="00C245FC">
      <w:pPr>
        <w:widowControl w:val="0"/>
        <w:numPr>
          <w:ilvl w:val="1"/>
          <w:numId w:val="65"/>
        </w:numPr>
        <w:suppressAutoHyphens/>
        <w:ind w:left="720" w:hanging="720"/>
        <w:jc w:val="both"/>
        <w:rPr>
          <w:rFonts w:eastAsia="Times New Roman" w:cs="Arial"/>
          <w:color w:val="auto"/>
          <w:szCs w:val="22"/>
          <w:lang w:bidi="ar-SA"/>
        </w:rPr>
      </w:pPr>
      <w:r w:rsidRPr="002C1915">
        <w:rPr>
          <w:rFonts w:eastAsia="Times New Roman" w:cs="Arial"/>
          <w:b/>
          <w:color w:val="auto"/>
          <w:szCs w:val="22"/>
          <w:lang w:bidi="ar-SA"/>
        </w:rPr>
        <w:t>Member Eligibility File</w:t>
      </w:r>
      <w:r w:rsidRPr="002C1915">
        <w:rPr>
          <w:rFonts w:eastAsia="Times New Roman" w:cs="Arial"/>
          <w:color w:val="auto"/>
          <w:szCs w:val="22"/>
          <w:lang w:bidi="ar-SA"/>
        </w:rPr>
        <w:t xml:space="preserve"> means a Participating Entity Data File that contains demographic information and other healthcare enrollment information of Participating Entity’s active and terminated members. </w:t>
      </w:r>
    </w:p>
    <w:p w14:paraId="03654856" w14:textId="77777777" w:rsidR="002C1915" w:rsidRPr="002C1915" w:rsidRDefault="002C1915" w:rsidP="00C245FC">
      <w:pPr>
        <w:widowControl w:val="0"/>
        <w:suppressAutoHyphens/>
        <w:ind w:left="720" w:hanging="720"/>
        <w:jc w:val="both"/>
        <w:rPr>
          <w:rFonts w:eastAsia="Times New Roman" w:cs="Arial"/>
          <w:color w:val="auto"/>
          <w:szCs w:val="22"/>
          <w:lang w:bidi="ar-SA"/>
        </w:rPr>
      </w:pPr>
    </w:p>
    <w:p w14:paraId="5F94AEC2" w14:textId="77777777" w:rsidR="002C1915" w:rsidRPr="002C1915" w:rsidRDefault="002C1915" w:rsidP="00C245FC">
      <w:pPr>
        <w:widowControl w:val="0"/>
        <w:numPr>
          <w:ilvl w:val="1"/>
          <w:numId w:val="65"/>
        </w:numPr>
        <w:suppressAutoHyphens/>
        <w:ind w:left="720" w:hanging="720"/>
        <w:jc w:val="both"/>
        <w:rPr>
          <w:rFonts w:eastAsia="Times New Roman" w:cs="Arial"/>
          <w:color w:val="auto"/>
          <w:szCs w:val="22"/>
          <w:lang w:bidi="ar-SA"/>
        </w:rPr>
      </w:pPr>
      <w:r w:rsidRPr="002C1915">
        <w:rPr>
          <w:rFonts w:eastAsia="Times New Roman" w:cs="Arial"/>
          <w:b/>
          <w:color w:val="auto"/>
          <w:szCs w:val="22"/>
          <w:lang w:bidi="ar-SA"/>
        </w:rPr>
        <w:t>Profiles</w:t>
      </w:r>
      <w:r w:rsidRPr="002C1915">
        <w:rPr>
          <w:rFonts w:eastAsia="Times New Roman" w:cs="Arial"/>
          <w:color w:val="auto"/>
          <w:szCs w:val="22"/>
          <w:lang w:bidi="ar-SA"/>
        </w:rPr>
        <w:t xml:space="preserve"> means the metrics, data, and other information created and displayed in the FraudCapture Platform for each Provider and patient included in the data provided by the Participating Entity. </w:t>
      </w:r>
    </w:p>
    <w:p w14:paraId="6601260F" w14:textId="77777777" w:rsidR="002C1915" w:rsidRPr="002C1915" w:rsidRDefault="002C1915" w:rsidP="00C245FC">
      <w:pPr>
        <w:widowControl w:val="0"/>
        <w:suppressAutoHyphens/>
        <w:ind w:left="720" w:hanging="720"/>
        <w:jc w:val="both"/>
        <w:rPr>
          <w:rFonts w:eastAsia="Times New Roman" w:cs="Arial"/>
          <w:color w:val="auto"/>
          <w:szCs w:val="22"/>
          <w:lang w:bidi="ar-SA"/>
        </w:rPr>
      </w:pPr>
    </w:p>
    <w:p w14:paraId="551E08A1" w14:textId="77777777" w:rsidR="002C1915" w:rsidRPr="002C1915" w:rsidRDefault="002C1915" w:rsidP="00C245FC">
      <w:pPr>
        <w:widowControl w:val="0"/>
        <w:numPr>
          <w:ilvl w:val="1"/>
          <w:numId w:val="65"/>
        </w:numPr>
        <w:suppressAutoHyphens/>
        <w:ind w:left="720" w:hanging="720"/>
        <w:jc w:val="both"/>
        <w:rPr>
          <w:rFonts w:eastAsia="Times New Roman" w:cs="Arial"/>
          <w:color w:val="auto"/>
          <w:szCs w:val="22"/>
          <w:lang w:bidi="ar-SA"/>
        </w:rPr>
      </w:pPr>
      <w:r w:rsidRPr="002C1915">
        <w:rPr>
          <w:rFonts w:eastAsia="Times New Roman" w:cs="Arial"/>
          <w:b/>
          <w:color w:val="auto"/>
          <w:szCs w:val="22"/>
          <w:lang w:bidi="ar-SA"/>
        </w:rPr>
        <w:t>Provider</w:t>
      </w:r>
      <w:r w:rsidRPr="002C1915">
        <w:rPr>
          <w:rFonts w:eastAsia="Times New Roman" w:cs="Arial"/>
          <w:color w:val="auto"/>
          <w:szCs w:val="22"/>
          <w:lang w:bidi="ar-SA"/>
        </w:rPr>
        <w:t xml:space="preserve"> means the provider of medical services under contract with Participating Entity and whose claims are included for input into the FraudCapture Platform. The term Provider does not include pharmacy benefit managers and retail pharmacies for purposes of the Terms.</w:t>
      </w:r>
    </w:p>
    <w:p w14:paraId="7C3DFA00" w14:textId="77777777" w:rsidR="002C1915" w:rsidRPr="002C1915" w:rsidRDefault="002C1915" w:rsidP="00C245FC">
      <w:pPr>
        <w:widowControl w:val="0"/>
        <w:suppressAutoHyphens/>
        <w:ind w:left="720"/>
        <w:jc w:val="both"/>
        <w:rPr>
          <w:rFonts w:eastAsia="Times New Roman" w:cs="Arial"/>
          <w:color w:val="auto"/>
          <w:szCs w:val="22"/>
          <w:lang w:bidi="ar-SA"/>
        </w:rPr>
      </w:pPr>
    </w:p>
    <w:p w14:paraId="70ACD951" w14:textId="77777777" w:rsidR="002C1915" w:rsidRPr="002C1915" w:rsidRDefault="002C1915" w:rsidP="00C245FC">
      <w:pPr>
        <w:widowControl w:val="0"/>
        <w:numPr>
          <w:ilvl w:val="1"/>
          <w:numId w:val="65"/>
        </w:numPr>
        <w:suppressAutoHyphens/>
        <w:ind w:left="720" w:hanging="720"/>
        <w:jc w:val="both"/>
        <w:rPr>
          <w:rFonts w:eastAsia="Times New Roman" w:cs="Arial"/>
          <w:color w:val="auto"/>
          <w:szCs w:val="22"/>
          <w:lang w:bidi="ar-SA"/>
        </w:rPr>
      </w:pPr>
      <w:r w:rsidRPr="002C1915">
        <w:rPr>
          <w:rFonts w:eastAsia="Times New Roman" w:cs="Arial"/>
          <w:b/>
          <w:color w:val="auto"/>
          <w:szCs w:val="22"/>
          <w:lang w:bidi="ar-SA"/>
        </w:rPr>
        <w:t>Provider File</w:t>
      </w:r>
      <w:r w:rsidRPr="002C1915">
        <w:rPr>
          <w:rFonts w:eastAsia="Times New Roman" w:cs="Arial"/>
          <w:color w:val="auto"/>
          <w:szCs w:val="22"/>
          <w:lang w:bidi="ar-SA"/>
        </w:rPr>
        <w:t xml:space="preserve"> means a Participating Entity Data File containing information required by Gainwell regarding Participating Entity’s active and terminated Providers.</w:t>
      </w:r>
    </w:p>
    <w:p w14:paraId="3219FA6D" w14:textId="77777777" w:rsidR="002C1915" w:rsidRPr="002C1915" w:rsidRDefault="002C1915" w:rsidP="00C245FC">
      <w:pPr>
        <w:widowControl w:val="0"/>
        <w:suppressAutoHyphens/>
        <w:ind w:left="720" w:hanging="720"/>
        <w:jc w:val="both"/>
        <w:outlineLvl w:val="0"/>
        <w:rPr>
          <w:rFonts w:eastAsia="Times New Roman" w:cs="Arial"/>
          <w:color w:val="auto"/>
          <w:szCs w:val="22"/>
          <w:lang w:bidi="ar-SA"/>
        </w:rPr>
      </w:pPr>
    </w:p>
    <w:p w14:paraId="29A90722" w14:textId="77777777" w:rsidR="002C1915" w:rsidRPr="002C1915" w:rsidRDefault="002C1915" w:rsidP="00C245FC">
      <w:pPr>
        <w:widowControl w:val="0"/>
        <w:numPr>
          <w:ilvl w:val="1"/>
          <w:numId w:val="67"/>
        </w:numPr>
        <w:suppressAutoHyphens/>
        <w:ind w:left="720" w:hanging="720"/>
        <w:jc w:val="both"/>
        <w:outlineLvl w:val="0"/>
        <w:rPr>
          <w:rFonts w:eastAsia="Times New Roman" w:cs="Arial"/>
          <w:color w:val="auto"/>
          <w:szCs w:val="22"/>
          <w:lang w:bidi="ar-SA"/>
        </w:rPr>
      </w:pPr>
      <w:r w:rsidRPr="002C1915">
        <w:rPr>
          <w:rFonts w:eastAsia="Times New Roman" w:cs="Arial"/>
          <w:b/>
          <w:color w:val="auto"/>
          <w:szCs w:val="22"/>
          <w:lang w:bidi="ar-SA"/>
        </w:rPr>
        <w:t>User</w:t>
      </w:r>
      <w:r w:rsidRPr="002C1915">
        <w:rPr>
          <w:rFonts w:eastAsia="Times New Roman" w:cs="Arial"/>
          <w:color w:val="auto"/>
          <w:szCs w:val="22"/>
          <w:lang w:bidi="ar-SA"/>
        </w:rPr>
        <w:t xml:space="preserve"> means an individual who: (i) is an employee or contractor of Participating Entity; (ii) is authorized by Participating Entity to access and use the FraudCapture Platform pursuant to the Terms; and (iii) has received User Credentials from Participating Entity or Gainwell. </w:t>
      </w:r>
    </w:p>
    <w:p w14:paraId="54836D88" w14:textId="77777777" w:rsidR="002C1915" w:rsidRPr="002C1915" w:rsidRDefault="002C1915" w:rsidP="00C245FC">
      <w:pPr>
        <w:widowControl w:val="0"/>
        <w:suppressAutoHyphens/>
        <w:ind w:left="720" w:hanging="720"/>
        <w:jc w:val="both"/>
        <w:outlineLvl w:val="0"/>
        <w:rPr>
          <w:rFonts w:eastAsia="Times New Roman" w:cs="Arial"/>
          <w:color w:val="auto"/>
          <w:szCs w:val="22"/>
          <w:lang w:bidi="ar-SA"/>
        </w:rPr>
      </w:pPr>
    </w:p>
    <w:p w14:paraId="510DCD80" w14:textId="77777777" w:rsidR="002C1915" w:rsidRPr="002C1915" w:rsidRDefault="002C1915" w:rsidP="00C245FC">
      <w:pPr>
        <w:widowControl w:val="0"/>
        <w:numPr>
          <w:ilvl w:val="1"/>
          <w:numId w:val="67"/>
        </w:numPr>
        <w:suppressAutoHyphens/>
        <w:ind w:left="720" w:hanging="720"/>
        <w:jc w:val="both"/>
        <w:outlineLvl w:val="0"/>
        <w:rPr>
          <w:rFonts w:eastAsia="Times New Roman" w:cs="Arial"/>
          <w:color w:val="auto"/>
          <w:szCs w:val="22"/>
          <w:lang w:bidi="ar-SA"/>
        </w:rPr>
      </w:pPr>
      <w:r w:rsidRPr="002C1915">
        <w:rPr>
          <w:rFonts w:eastAsia="Times New Roman" w:cs="Arial"/>
          <w:b/>
          <w:color w:val="auto"/>
          <w:szCs w:val="22"/>
          <w:lang w:bidi="ar-SA"/>
        </w:rPr>
        <w:t>User Credentials</w:t>
      </w:r>
      <w:r w:rsidRPr="002C1915">
        <w:rPr>
          <w:rFonts w:eastAsia="Times New Roman" w:cs="Arial"/>
          <w:color w:val="auto"/>
          <w:szCs w:val="22"/>
          <w:lang w:bidi="ar-SA"/>
        </w:rPr>
        <w:t xml:space="preserve"> means the confidential and unique access details issued to a User to access and use the FraudCapture Platform in accordance with the Terms.</w:t>
      </w:r>
    </w:p>
    <w:p w14:paraId="19919233" w14:textId="77777777" w:rsidR="002C1915" w:rsidRPr="002C1915" w:rsidRDefault="002C1915" w:rsidP="00C245FC">
      <w:pPr>
        <w:widowControl w:val="0"/>
        <w:suppressAutoHyphens/>
        <w:jc w:val="both"/>
        <w:outlineLvl w:val="4"/>
        <w:rPr>
          <w:rFonts w:asciiTheme="minorHAnsi" w:eastAsiaTheme="minorHAnsi" w:hAnsiTheme="minorHAnsi" w:cs="Arial"/>
          <w:b/>
          <w:bCs/>
          <w:color w:val="auto"/>
          <w:kern w:val="32"/>
          <w:szCs w:val="22"/>
          <w:lang w:bidi="ar-SA"/>
        </w:rPr>
      </w:pPr>
    </w:p>
    <w:p w14:paraId="6C1A829B" w14:textId="77777777" w:rsidR="00C245FC" w:rsidRDefault="00C245FC" w:rsidP="00C245FC">
      <w:pPr>
        <w:widowControl w:val="0"/>
        <w:suppressAutoHyphens/>
        <w:jc w:val="both"/>
        <w:outlineLvl w:val="4"/>
        <w:rPr>
          <w:rFonts w:eastAsiaTheme="minorHAnsi" w:cs="Arial"/>
          <w:b/>
          <w:bCs/>
          <w:color w:val="auto"/>
          <w:kern w:val="32"/>
          <w:szCs w:val="22"/>
          <w:lang w:bidi="ar-SA"/>
        </w:rPr>
      </w:pPr>
    </w:p>
    <w:p w14:paraId="00A27B2F" w14:textId="6B671195" w:rsidR="002C1915" w:rsidRPr="002C1915" w:rsidRDefault="002C1915" w:rsidP="00C245FC">
      <w:pPr>
        <w:widowControl w:val="0"/>
        <w:suppressAutoHyphens/>
        <w:jc w:val="both"/>
        <w:outlineLvl w:val="4"/>
        <w:rPr>
          <w:rFonts w:eastAsiaTheme="minorHAnsi" w:cs="Arial"/>
          <w:b/>
          <w:bCs/>
          <w:color w:val="auto"/>
          <w:kern w:val="32"/>
          <w:szCs w:val="22"/>
          <w:lang w:bidi="ar-SA"/>
        </w:rPr>
      </w:pPr>
      <w:r w:rsidRPr="002C1915">
        <w:rPr>
          <w:rFonts w:eastAsiaTheme="minorHAnsi" w:cs="Arial"/>
          <w:b/>
          <w:bCs/>
          <w:color w:val="auto"/>
          <w:kern w:val="32"/>
          <w:szCs w:val="22"/>
          <w:lang w:bidi="ar-SA"/>
        </w:rPr>
        <w:t>SECTION 2. FRAUDCAPTURE PLATFORM MATERIALS</w:t>
      </w:r>
    </w:p>
    <w:p w14:paraId="745C6694" w14:textId="77777777" w:rsidR="002C1915" w:rsidRPr="002C1915" w:rsidRDefault="002C1915" w:rsidP="00C245FC">
      <w:pPr>
        <w:widowControl w:val="0"/>
        <w:suppressAutoHyphens/>
        <w:jc w:val="both"/>
        <w:outlineLvl w:val="4"/>
        <w:rPr>
          <w:rFonts w:eastAsiaTheme="minorHAnsi" w:cs="Arial"/>
          <w:b/>
          <w:bCs/>
          <w:color w:val="auto"/>
          <w:kern w:val="32"/>
          <w:szCs w:val="22"/>
          <w:lang w:bidi="ar-SA"/>
        </w:rPr>
      </w:pPr>
    </w:p>
    <w:p w14:paraId="17D837ED" w14:textId="77777777" w:rsidR="002C1915" w:rsidRPr="002C1915" w:rsidRDefault="002C1915" w:rsidP="00C245FC">
      <w:pPr>
        <w:widowControl w:val="0"/>
        <w:numPr>
          <w:ilvl w:val="0"/>
          <w:numId w:val="73"/>
        </w:numPr>
        <w:suppressAutoHyphens/>
        <w:ind w:left="720" w:hanging="720"/>
        <w:jc w:val="both"/>
        <w:rPr>
          <w:rFonts w:eastAsiaTheme="minorHAnsi" w:cs="Arial"/>
          <w:color w:val="auto"/>
          <w:szCs w:val="22"/>
          <w:lang w:bidi="ar-SA"/>
        </w:rPr>
      </w:pPr>
      <w:r w:rsidRPr="002C1915">
        <w:rPr>
          <w:rFonts w:eastAsiaTheme="minorHAnsi" w:cs="Arial"/>
          <w:color w:val="auto"/>
          <w:szCs w:val="22"/>
          <w:u w:val="single"/>
          <w:lang w:bidi="ar-SA"/>
        </w:rPr>
        <w:t>General</w:t>
      </w:r>
      <w:r w:rsidRPr="002C1915">
        <w:rPr>
          <w:rFonts w:eastAsiaTheme="minorHAnsi" w:cs="Arial"/>
          <w:color w:val="auto"/>
          <w:szCs w:val="22"/>
          <w:lang w:bidi="ar-SA"/>
        </w:rPr>
        <w:t xml:space="preserve">. Subject to compliance with the terms of these Terms by Participating Entity and its Users, Gainwell agrees to: (a) provide Participating Entity  and its Users remote access, via inbound Internet connectivity, to use the FraudCapture Platform; (b) provide support services to Participating Entity  as specified in </w:t>
      </w:r>
      <w:r w:rsidRPr="002C1915">
        <w:rPr>
          <w:rFonts w:eastAsiaTheme="minorHAnsi" w:cs="Arial"/>
          <w:color w:val="auto"/>
          <w:szCs w:val="22"/>
          <w:u w:val="single"/>
          <w:lang w:bidi="ar-SA"/>
        </w:rPr>
        <w:t>Exhibit A</w:t>
      </w:r>
      <w:r w:rsidRPr="002C1915">
        <w:rPr>
          <w:rFonts w:eastAsiaTheme="minorHAnsi" w:cs="Arial"/>
          <w:color w:val="auto"/>
          <w:szCs w:val="22"/>
          <w:lang w:bidi="ar-SA"/>
        </w:rPr>
        <w:t xml:space="preserve"> attached; (c) use commercially reasonable efforts to make the FraudCapture Platform available for access and use by Participating Entity  and its Users in accordance with the service levels specified in </w:t>
      </w:r>
      <w:r w:rsidRPr="002C1915">
        <w:rPr>
          <w:rFonts w:eastAsiaTheme="minorHAnsi" w:cs="Arial"/>
          <w:color w:val="auto"/>
          <w:szCs w:val="22"/>
          <w:u w:val="single"/>
          <w:lang w:bidi="ar-SA"/>
        </w:rPr>
        <w:t>Exhibit B</w:t>
      </w:r>
      <w:r w:rsidRPr="002C1915">
        <w:rPr>
          <w:rFonts w:eastAsiaTheme="minorHAnsi" w:cs="Arial"/>
          <w:color w:val="auto"/>
          <w:szCs w:val="22"/>
          <w:lang w:bidi="ar-SA"/>
        </w:rPr>
        <w:t xml:space="preserve"> attached; and (d) if requested by Participating Entity, provide training on the use of the FraudCapture Platform to Participating Entity  and its Users in accordance with the fees and scope as agreed to by the Parties in writing.</w:t>
      </w:r>
    </w:p>
    <w:p w14:paraId="5CE63D5D" w14:textId="77777777" w:rsidR="002C1915" w:rsidRPr="002C1915" w:rsidRDefault="002C1915" w:rsidP="00C245FC">
      <w:pPr>
        <w:widowControl w:val="0"/>
        <w:suppressAutoHyphens/>
        <w:ind w:left="720" w:hanging="720"/>
        <w:jc w:val="both"/>
        <w:outlineLvl w:val="4"/>
        <w:rPr>
          <w:rFonts w:eastAsiaTheme="minorHAnsi" w:cs="Arial"/>
          <w:color w:val="auto"/>
          <w:szCs w:val="22"/>
          <w:lang w:bidi="ar-SA"/>
        </w:rPr>
      </w:pPr>
    </w:p>
    <w:p w14:paraId="07CCF074" w14:textId="77777777" w:rsidR="002C1915" w:rsidRPr="002C1915" w:rsidRDefault="002C1915" w:rsidP="00C245FC">
      <w:pPr>
        <w:widowControl w:val="0"/>
        <w:numPr>
          <w:ilvl w:val="0"/>
          <w:numId w:val="73"/>
        </w:numPr>
        <w:suppressAutoHyphens/>
        <w:ind w:left="720" w:hanging="720"/>
        <w:jc w:val="both"/>
        <w:outlineLvl w:val="4"/>
        <w:rPr>
          <w:rFonts w:eastAsiaTheme="minorHAnsi" w:cs="Arial"/>
          <w:color w:val="auto"/>
          <w:szCs w:val="22"/>
          <w:lang w:bidi="ar-SA"/>
        </w:rPr>
      </w:pPr>
      <w:r w:rsidRPr="002C1915">
        <w:rPr>
          <w:rFonts w:eastAsiaTheme="minorHAnsi" w:cs="Arial"/>
          <w:color w:val="auto"/>
          <w:szCs w:val="22"/>
          <w:u w:val="single"/>
          <w:lang w:bidi="ar-SA"/>
        </w:rPr>
        <w:t>Use of Documentation</w:t>
      </w:r>
      <w:r w:rsidRPr="002C1915">
        <w:rPr>
          <w:rFonts w:eastAsiaTheme="minorHAnsi" w:cs="Arial"/>
          <w:color w:val="auto"/>
          <w:szCs w:val="22"/>
          <w:lang w:bidi="ar-SA"/>
        </w:rPr>
        <w:t xml:space="preserve">. As reasonably necessary, Participating Entity  may make and distribute copies of the Documentation in connection with its use of the FraudCapture Platform and must include all copyright and other proprietary notices as presented in the original Documentation. </w:t>
      </w:r>
    </w:p>
    <w:p w14:paraId="5C31598C" w14:textId="77777777" w:rsidR="002C1915" w:rsidRPr="002C1915" w:rsidRDefault="002C1915" w:rsidP="00C245FC">
      <w:pPr>
        <w:widowControl w:val="0"/>
        <w:suppressAutoHyphens/>
        <w:ind w:left="720" w:hanging="720"/>
        <w:jc w:val="both"/>
        <w:outlineLvl w:val="4"/>
        <w:rPr>
          <w:rFonts w:eastAsiaTheme="minorHAnsi" w:cs="Arial"/>
          <w:color w:val="auto"/>
          <w:szCs w:val="22"/>
          <w:lang w:bidi="ar-SA"/>
        </w:rPr>
      </w:pPr>
    </w:p>
    <w:p w14:paraId="6C452DAB" w14:textId="77777777" w:rsidR="002C1915" w:rsidRPr="002C1915" w:rsidRDefault="002C1915" w:rsidP="00C245FC">
      <w:pPr>
        <w:widowControl w:val="0"/>
        <w:numPr>
          <w:ilvl w:val="0"/>
          <w:numId w:val="73"/>
        </w:numPr>
        <w:suppressAutoHyphens/>
        <w:ind w:left="720" w:hanging="720"/>
        <w:jc w:val="both"/>
        <w:outlineLvl w:val="4"/>
        <w:rPr>
          <w:rFonts w:eastAsiaTheme="minorHAnsi" w:cs="Arial"/>
          <w:color w:val="auto"/>
          <w:szCs w:val="22"/>
          <w:lang w:bidi="ar-SA"/>
        </w:rPr>
      </w:pPr>
      <w:r w:rsidRPr="002C1915">
        <w:rPr>
          <w:rFonts w:eastAsiaTheme="minorHAnsi" w:cs="Arial"/>
          <w:color w:val="auto"/>
          <w:szCs w:val="22"/>
          <w:u w:val="single"/>
          <w:lang w:bidi="ar-SA"/>
        </w:rPr>
        <w:t>Restrictions</w:t>
      </w:r>
      <w:r w:rsidRPr="002C1915">
        <w:rPr>
          <w:rFonts w:eastAsiaTheme="minorHAnsi" w:cs="Arial"/>
          <w:color w:val="auto"/>
          <w:szCs w:val="22"/>
          <w:lang w:bidi="ar-SA"/>
        </w:rPr>
        <w:t xml:space="preserve">. Participating Entity acknowledges that the FraudCapture Platform Materials are the Intellectual Property of Gainwell and its licensors, and contain valuable trade secrets of Gainwell and its licensors. Participating Entity  and its Users shall not: (a) use the FraudCapture Platform Materials in violation of any applicable law including U.S. export, import and sanctions regulations; (b) sell or provide access to, distribute, copy or republish the FraudCapture Platform Materials except as otherwise expressly permitted under the Terms; (c) use or allow the use of the FraudCapture Platform in a computer service business, third-party outsourcing service, on a membership or subscription basis, on a service bureau basis, on a time-sharing basis, or on behalf of any third party; (d) modify, create derivative works of, adapt, translate, reverse engineer, decompile, or otherwise attempt to discover the source code in the FraudCapture Platform; or (e) remove, obscure or alter any copyright or proprietary notices associated with the Documentation. </w:t>
      </w:r>
    </w:p>
    <w:p w14:paraId="34F5E2D9" w14:textId="77777777" w:rsidR="002C1915" w:rsidRPr="002C1915" w:rsidRDefault="002C1915" w:rsidP="00C245FC">
      <w:pPr>
        <w:widowControl w:val="0"/>
        <w:suppressAutoHyphens/>
        <w:ind w:left="720" w:hanging="720"/>
        <w:jc w:val="both"/>
        <w:outlineLvl w:val="4"/>
        <w:rPr>
          <w:rFonts w:eastAsiaTheme="minorHAnsi" w:cs="Arial"/>
          <w:color w:val="auto"/>
          <w:szCs w:val="22"/>
          <w:lang w:bidi="ar-SA"/>
        </w:rPr>
      </w:pPr>
    </w:p>
    <w:p w14:paraId="580C5DB2" w14:textId="77777777" w:rsidR="002C1915" w:rsidRPr="002C1915" w:rsidRDefault="002C1915" w:rsidP="00C245FC">
      <w:pPr>
        <w:widowControl w:val="0"/>
        <w:numPr>
          <w:ilvl w:val="0"/>
          <w:numId w:val="73"/>
        </w:numPr>
        <w:suppressAutoHyphens/>
        <w:ind w:left="720" w:hanging="720"/>
        <w:jc w:val="both"/>
        <w:outlineLvl w:val="4"/>
        <w:rPr>
          <w:rFonts w:eastAsiaTheme="minorHAnsi" w:cs="Arial"/>
          <w:color w:val="auto"/>
          <w:szCs w:val="22"/>
          <w:lang w:bidi="ar-SA"/>
        </w:rPr>
      </w:pPr>
      <w:r w:rsidRPr="002C1915">
        <w:rPr>
          <w:rFonts w:eastAsiaTheme="minorHAnsi" w:cs="Arial"/>
          <w:color w:val="auto"/>
          <w:szCs w:val="22"/>
          <w:u w:val="single"/>
          <w:lang w:bidi="ar-SA"/>
        </w:rPr>
        <w:lastRenderedPageBreak/>
        <w:t>Reservation of Rights; Ownership</w:t>
      </w:r>
      <w:r w:rsidRPr="002C1915">
        <w:rPr>
          <w:rFonts w:eastAsiaTheme="minorHAnsi" w:cs="Arial"/>
          <w:color w:val="auto"/>
          <w:szCs w:val="22"/>
          <w:lang w:bidi="ar-SA"/>
        </w:rPr>
        <w:t xml:space="preserve">. Gainwell and its licensors reserve all rights (including Intellectual Property Rights) to the FraudCapture Platform Materials. The FraudCapture Platform Materials (including their copies, improvements, enhancements, updates, revisions, modifications, and derivative works) are and shall remain the sole and exclusive property of Gainwell, and as applicable, its licensors. </w:t>
      </w:r>
    </w:p>
    <w:p w14:paraId="6D735EB6" w14:textId="77777777" w:rsidR="002C1915" w:rsidRPr="002C1915" w:rsidRDefault="002C1915" w:rsidP="00C245FC">
      <w:pPr>
        <w:widowControl w:val="0"/>
        <w:suppressAutoHyphens/>
        <w:ind w:left="720" w:hanging="720"/>
        <w:jc w:val="both"/>
        <w:outlineLvl w:val="4"/>
        <w:rPr>
          <w:rFonts w:eastAsiaTheme="minorHAnsi" w:cs="Arial"/>
          <w:color w:val="auto"/>
          <w:szCs w:val="22"/>
          <w:lang w:bidi="ar-SA"/>
        </w:rPr>
      </w:pPr>
    </w:p>
    <w:p w14:paraId="7E055F47" w14:textId="77777777" w:rsidR="002C1915" w:rsidRPr="002C1915" w:rsidRDefault="002C1915" w:rsidP="00C245FC">
      <w:pPr>
        <w:widowControl w:val="0"/>
        <w:numPr>
          <w:ilvl w:val="0"/>
          <w:numId w:val="73"/>
        </w:numPr>
        <w:suppressAutoHyphens/>
        <w:ind w:left="720" w:hanging="720"/>
        <w:jc w:val="both"/>
        <w:outlineLvl w:val="4"/>
        <w:rPr>
          <w:rFonts w:eastAsiaTheme="minorHAnsi" w:cs="Arial"/>
          <w:color w:val="auto"/>
          <w:szCs w:val="22"/>
          <w:lang w:bidi="ar-SA"/>
        </w:rPr>
      </w:pPr>
      <w:r w:rsidRPr="002C1915">
        <w:rPr>
          <w:rFonts w:eastAsiaTheme="minorHAnsi" w:cs="Arial"/>
          <w:color w:val="auto"/>
          <w:szCs w:val="22"/>
          <w:u w:val="single"/>
          <w:lang w:bidi="ar-SA"/>
        </w:rPr>
        <w:t>Feedback</w:t>
      </w:r>
      <w:r w:rsidRPr="002C1915">
        <w:rPr>
          <w:rFonts w:eastAsiaTheme="minorHAnsi" w:cs="Arial"/>
          <w:color w:val="auto"/>
          <w:szCs w:val="22"/>
          <w:lang w:bidi="ar-SA"/>
        </w:rPr>
        <w:t xml:space="preserve">. If Participating Entity or any of its Users provide Feedback, Participating Entity hereby assigns and transfers to Gainwell, without further consideration, all right, title and interest in and to such Feedback automatically upon the creation or disclosure of the same. For clarity, nothing in these Terms or otherwise will: (a) restrict the right of Gainwell and its Affiliates to use or disclose Feedback; (b) obligate Gainwell to credit Participating Entity or a User as the source of the Feedback; or (c) require Gainwell to provide any compensation to Participating Entity  or any User with respect to the Feedback. </w:t>
      </w:r>
    </w:p>
    <w:p w14:paraId="2F252E0A" w14:textId="77777777" w:rsidR="002C1915" w:rsidRPr="002C1915" w:rsidRDefault="002C1915" w:rsidP="00C245FC">
      <w:pPr>
        <w:widowControl w:val="0"/>
        <w:suppressAutoHyphens/>
        <w:ind w:left="720" w:hanging="720"/>
        <w:jc w:val="both"/>
        <w:rPr>
          <w:rFonts w:eastAsiaTheme="minorHAnsi" w:cs="Arial"/>
          <w:color w:val="auto"/>
          <w:szCs w:val="22"/>
          <w:lang w:bidi="ar-SA"/>
        </w:rPr>
      </w:pPr>
    </w:p>
    <w:p w14:paraId="40640A3A" w14:textId="77777777" w:rsidR="002C1915" w:rsidRPr="002C1915" w:rsidRDefault="002C1915" w:rsidP="00C245FC">
      <w:pPr>
        <w:widowControl w:val="0"/>
        <w:numPr>
          <w:ilvl w:val="0"/>
          <w:numId w:val="73"/>
        </w:numPr>
        <w:suppressAutoHyphens/>
        <w:ind w:left="720" w:hanging="720"/>
        <w:jc w:val="both"/>
        <w:rPr>
          <w:rFonts w:eastAsiaTheme="minorHAnsi" w:cs="Arial"/>
          <w:color w:val="auto"/>
          <w:szCs w:val="22"/>
          <w:lang w:bidi="ar-SA"/>
        </w:rPr>
      </w:pPr>
      <w:r w:rsidRPr="002C1915">
        <w:rPr>
          <w:rFonts w:eastAsiaTheme="minorHAnsi" w:cs="Arial"/>
          <w:color w:val="auto"/>
          <w:szCs w:val="22"/>
          <w:u w:val="single"/>
          <w:lang w:bidi="ar-SA"/>
        </w:rPr>
        <w:t>Modifications and Enhancements</w:t>
      </w:r>
      <w:r w:rsidRPr="002C1915">
        <w:rPr>
          <w:rFonts w:eastAsiaTheme="minorHAnsi" w:cs="Arial"/>
          <w:color w:val="auto"/>
          <w:szCs w:val="22"/>
          <w:lang w:bidi="ar-SA"/>
        </w:rPr>
        <w:t xml:space="preserve">. Gainwell reserves the right to modify or enhance the Care Management Platform provided that no such modification or enhancement affects the functionality of the Care Management Platform in a materially adverse manner. Gainwell agrees to make available to Participating Entity any associated updates to the Documentation resulting from such modifications or enhancements. </w:t>
      </w:r>
    </w:p>
    <w:p w14:paraId="58E92FAE" w14:textId="77777777" w:rsidR="002C1915" w:rsidRPr="002C1915" w:rsidRDefault="002C1915" w:rsidP="00C245FC">
      <w:pPr>
        <w:widowControl w:val="0"/>
        <w:suppressAutoHyphens/>
        <w:ind w:left="720" w:hanging="720"/>
        <w:jc w:val="both"/>
        <w:outlineLvl w:val="4"/>
        <w:rPr>
          <w:rFonts w:eastAsiaTheme="minorHAnsi" w:cs="Arial"/>
          <w:color w:val="auto"/>
          <w:szCs w:val="22"/>
          <w:u w:val="single"/>
          <w:lang w:bidi="ar-SA"/>
        </w:rPr>
      </w:pPr>
    </w:p>
    <w:p w14:paraId="04D71389" w14:textId="77777777" w:rsidR="002C1915" w:rsidRPr="002C1915" w:rsidRDefault="002C1915" w:rsidP="00C245FC">
      <w:pPr>
        <w:widowControl w:val="0"/>
        <w:numPr>
          <w:ilvl w:val="0"/>
          <w:numId w:val="73"/>
        </w:numPr>
        <w:suppressAutoHyphens/>
        <w:ind w:left="720" w:hanging="720"/>
        <w:jc w:val="both"/>
        <w:outlineLvl w:val="4"/>
        <w:rPr>
          <w:rFonts w:eastAsiaTheme="minorHAnsi" w:cs="Arial"/>
          <w:color w:val="auto"/>
          <w:szCs w:val="22"/>
          <w:u w:val="single"/>
          <w:lang w:bidi="ar-SA"/>
        </w:rPr>
      </w:pPr>
      <w:r w:rsidRPr="002C1915">
        <w:rPr>
          <w:rFonts w:eastAsiaTheme="minorHAnsi" w:cs="Arial"/>
          <w:color w:val="auto"/>
          <w:szCs w:val="22"/>
          <w:u w:val="single"/>
          <w:lang w:bidi="ar-SA"/>
        </w:rPr>
        <w:t>Government Restrictions</w:t>
      </w:r>
      <w:r w:rsidRPr="002C1915">
        <w:rPr>
          <w:rFonts w:eastAsiaTheme="minorHAnsi" w:cs="Arial"/>
          <w:color w:val="auto"/>
          <w:szCs w:val="22"/>
          <w:lang w:bidi="ar-SA"/>
        </w:rPr>
        <w:t>. The Services consist of “commercial items,” as defined at FAR 2.101. In accordance with FAR 12.211-12.212 and DFARS 227.7102-4 and 227.7202-4, as applicable, the rights of the U.S. Government to use, modify, reproduce, release, perform, display, or disclose commercial computer software, commercial computer software documentation, and technical data furnished in connection with the Services shall be as provided in these Terms.</w:t>
      </w:r>
    </w:p>
    <w:p w14:paraId="4A1522C5" w14:textId="77777777" w:rsidR="002C1915" w:rsidRPr="002C1915" w:rsidRDefault="002C1915" w:rsidP="00C245FC">
      <w:pPr>
        <w:widowControl w:val="0"/>
        <w:suppressAutoHyphens/>
        <w:contextualSpacing/>
        <w:jc w:val="both"/>
        <w:outlineLvl w:val="0"/>
        <w:rPr>
          <w:rFonts w:eastAsia="Calibri" w:cs="Arial"/>
          <w:b/>
          <w:bCs/>
          <w:color w:val="auto"/>
          <w:kern w:val="32"/>
          <w:szCs w:val="22"/>
          <w:lang w:bidi="ar-SA"/>
        </w:rPr>
      </w:pPr>
    </w:p>
    <w:p w14:paraId="45AD39FF" w14:textId="77777777" w:rsidR="00C245FC" w:rsidRDefault="00C245FC" w:rsidP="00C245FC">
      <w:pPr>
        <w:widowControl w:val="0"/>
        <w:suppressAutoHyphens/>
        <w:contextualSpacing/>
        <w:jc w:val="both"/>
        <w:outlineLvl w:val="0"/>
        <w:rPr>
          <w:rFonts w:eastAsia="Calibri" w:cs="Arial"/>
          <w:b/>
          <w:bCs/>
          <w:color w:val="auto"/>
          <w:kern w:val="32"/>
          <w:szCs w:val="22"/>
          <w:lang w:bidi="ar-SA"/>
        </w:rPr>
      </w:pPr>
    </w:p>
    <w:p w14:paraId="27E3BBA8" w14:textId="5011606E" w:rsidR="002C1915" w:rsidRPr="002C1915" w:rsidRDefault="002C1915" w:rsidP="00C245FC">
      <w:pPr>
        <w:widowControl w:val="0"/>
        <w:suppressAutoHyphens/>
        <w:contextualSpacing/>
        <w:jc w:val="both"/>
        <w:outlineLvl w:val="0"/>
        <w:rPr>
          <w:rFonts w:eastAsia="Calibri" w:cs="Arial"/>
          <w:b/>
          <w:bCs/>
          <w:color w:val="auto"/>
          <w:kern w:val="32"/>
          <w:szCs w:val="22"/>
          <w:lang w:bidi="ar-SA"/>
        </w:rPr>
      </w:pPr>
      <w:r w:rsidRPr="002C1915">
        <w:rPr>
          <w:rFonts w:eastAsia="Calibri" w:cs="Arial"/>
          <w:b/>
          <w:bCs/>
          <w:color w:val="auto"/>
          <w:kern w:val="32"/>
          <w:szCs w:val="22"/>
          <w:lang w:bidi="ar-SA"/>
        </w:rPr>
        <w:t>SECTION 3. ACCESS AND USE</w:t>
      </w:r>
    </w:p>
    <w:p w14:paraId="66A2D892" w14:textId="77777777" w:rsidR="002C1915" w:rsidRPr="002C1915" w:rsidRDefault="002C1915" w:rsidP="00C245FC">
      <w:pPr>
        <w:widowControl w:val="0"/>
        <w:suppressAutoHyphens/>
        <w:contextualSpacing/>
        <w:jc w:val="both"/>
        <w:outlineLvl w:val="0"/>
        <w:rPr>
          <w:rFonts w:eastAsia="Calibri" w:cs="Arial"/>
          <w:b/>
          <w:bCs/>
          <w:color w:val="auto"/>
          <w:kern w:val="32"/>
          <w:szCs w:val="22"/>
          <w:lang w:bidi="ar-SA"/>
        </w:rPr>
      </w:pPr>
    </w:p>
    <w:p w14:paraId="105B5041" w14:textId="77777777" w:rsidR="002C1915" w:rsidRPr="002C1915" w:rsidRDefault="002C1915" w:rsidP="00C245FC">
      <w:pPr>
        <w:widowControl w:val="0"/>
        <w:numPr>
          <w:ilvl w:val="0"/>
          <w:numId w:val="74"/>
        </w:numPr>
        <w:suppressAutoHyphens/>
        <w:ind w:left="720" w:hanging="720"/>
        <w:jc w:val="both"/>
        <w:outlineLvl w:val="0"/>
        <w:rPr>
          <w:rFonts w:eastAsia="Calibri" w:cs="Arial"/>
          <w:bCs/>
          <w:color w:val="000000" w:themeColor="text1"/>
          <w:kern w:val="32"/>
          <w:szCs w:val="22"/>
          <w:lang w:bidi="ar-SA"/>
        </w:rPr>
      </w:pPr>
      <w:r w:rsidRPr="002C1915">
        <w:rPr>
          <w:rFonts w:eastAsia="Calibri" w:cs="Arial"/>
          <w:bCs/>
          <w:color w:val="000000" w:themeColor="text1"/>
          <w:kern w:val="32"/>
          <w:szCs w:val="22"/>
          <w:u w:val="single"/>
          <w:lang w:bidi="ar-SA"/>
        </w:rPr>
        <w:t>General</w:t>
      </w:r>
      <w:r w:rsidRPr="002C1915">
        <w:rPr>
          <w:rFonts w:eastAsia="Calibri" w:cs="Arial"/>
          <w:bCs/>
          <w:color w:val="000000" w:themeColor="text1"/>
          <w:kern w:val="32"/>
          <w:szCs w:val="22"/>
          <w:lang w:bidi="ar-SA"/>
        </w:rPr>
        <w:t xml:space="preserve">. Participating Entity  is responsible, at its own expense, to procure and operate such hardware, software, </w:t>
      </w:r>
      <w:proofErr w:type="gramStart"/>
      <w:r w:rsidRPr="002C1915">
        <w:rPr>
          <w:rFonts w:eastAsia="Calibri" w:cs="Arial"/>
          <w:bCs/>
          <w:color w:val="000000" w:themeColor="text1"/>
          <w:kern w:val="32"/>
          <w:szCs w:val="22"/>
          <w:lang w:bidi="ar-SA"/>
        </w:rPr>
        <w:t>equipment</w:t>
      </w:r>
      <w:proofErr w:type="gramEnd"/>
      <w:r w:rsidRPr="002C1915">
        <w:rPr>
          <w:rFonts w:eastAsia="Calibri" w:cs="Arial"/>
          <w:bCs/>
          <w:color w:val="000000" w:themeColor="text1"/>
          <w:kern w:val="32"/>
          <w:szCs w:val="22"/>
          <w:lang w:bidi="ar-SA"/>
        </w:rPr>
        <w:t xml:space="preserve"> and communications services as necessary for Participating Entity to access and use the FraudCapture Platform via the Internet.</w:t>
      </w:r>
      <w:r w:rsidRPr="002C1915">
        <w:rPr>
          <w:rFonts w:eastAsiaTheme="minorHAnsi" w:cs="Arial"/>
          <w:color w:val="auto"/>
          <w:szCs w:val="22"/>
          <w:lang w:bidi="ar-SA"/>
        </w:rPr>
        <w:t xml:space="preserve"> Participating Entity agrees to comply with all applicable laws and regulations in connection with its access to and use of the FraudCapture Platform. </w:t>
      </w:r>
    </w:p>
    <w:p w14:paraId="1A2280B8" w14:textId="77777777" w:rsidR="002C1915" w:rsidRPr="002C1915" w:rsidRDefault="002C1915" w:rsidP="00C245FC">
      <w:pPr>
        <w:widowControl w:val="0"/>
        <w:suppressAutoHyphens/>
        <w:jc w:val="both"/>
        <w:outlineLvl w:val="0"/>
        <w:rPr>
          <w:rFonts w:eastAsia="Calibri" w:cs="Arial"/>
          <w:bCs/>
          <w:color w:val="000000" w:themeColor="text1"/>
          <w:kern w:val="32"/>
          <w:szCs w:val="22"/>
          <w:lang w:bidi="ar-SA"/>
        </w:rPr>
      </w:pPr>
    </w:p>
    <w:p w14:paraId="38B0C1AD" w14:textId="77777777" w:rsidR="002C1915" w:rsidRPr="002C1915" w:rsidRDefault="002C1915" w:rsidP="00C245FC">
      <w:pPr>
        <w:widowControl w:val="0"/>
        <w:numPr>
          <w:ilvl w:val="0"/>
          <w:numId w:val="74"/>
        </w:numPr>
        <w:suppressAutoHyphens/>
        <w:ind w:left="0" w:firstLine="0"/>
        <w:jc w:val="both"/>
        <w:outlineLvl w:val="0"/>
        <w:rPr>
          <w:rFonts w:eastAsia="Calibri" w:cs="Arial"/>
          <w:bCs/>
          <w:color w:val="000000" w:themeColor="text1"/>
          <w:kern w:val="32"/>
          <w:szCs w:val="22"/>
          <w:lang w:bidi="ar-SA"/>
        </w:rPr>
      </w:pPr>
      <w:r w:rsidRPr="002C1915">
        <w:rPr>
          <w:rFonts w:eastAsia="Calibri" w:cs="Arial"/>
          <w:bCs/>
          <w:color w:val="000000" w:themeColor="text1"/>
          <w:kern w:val="32"/>
          <w:szCs w:val="22"/>
          <w:u w:val="single"/>
          <w:lang w:bidi="ar-SA"/>
        </w:rPr>
        <w:t>Access/Use</w:t>
      </w:r>
      <w:r w:rsidRPr="002C1915">
        <w:rPr>
          <w:rFonts w:eastAsia="Calibri" w:cs="Arial"/>
          <w:bCs/>
          <w:color w:val="000000" w:themeColor="text1"/>
          <w:kern w:val="32"/>
          <w:szCs w:val="22"/>
          <w:lang w:bidi="ar-SA"/>
        </w:rPr>
        <w:t xml:space="preserve">. </w:t>
      </w:r>
    </w:p>
    <w:p w14:paraId="7002D17A" w14:textId="77777777" w:rsidR="002C1915" w:rsidRPr="002C1915" w:rsidRDefault="002C1915" w:rsidP="00C245FC">
      <w:pPr>
        <w:widowControl w:val="0"/>
        <w:suppressAutoHyphens/>
        <w:jc w:val="both"/>
        <w:outlineLvl w:val="0"/>
        <w:rPr>
          <w:rFonts w:eastAsia="Calibri" w:cs="Arial"/>
          <w:bCs/>
          <w:color w:val="000000" w:themeColor="text1"/>
          <w:kern w:val="32"/>
          <w:szCs w:val="22"/>
          <w:lang w:bidi="ar-SA"/>
        </w:rPr>
      </w:pPr>
    </w:p>
    <w:p w14:paraId="372B2809" w14:textId="77777777" w:rsidR="002C1915" w:rsidRPr="002C1915" w:rsidRDefault="002C1915" w:rsidP="00C245FC">
      <w:pPr>
        <w:widowControl w:val="0"/>
        <w:numPr>
          <w:ilvl w:val="2"/>
          <w:numId w:val="75"/>
        </w:numPr>
        <w:suppressAutoHyphens/>
        <w:ind w:left="1440" w:hanging="720"/>
        <w:jc w:val="both"/>
        <w:outlineLvl w:val="0"/>
        <w:rPr>
          <w:rFonts w:eastAsia="Calibri" w:cs="Arial"/>
          <w:bCs/>
          <w:color w:val="000000" w:themeColor="text1"/>
          <w:kern w:val="32"/>
          <w:szCs w:val="22"/>
          <w:lang w:bidi="ar-SA"/>
        </w:rPr>
      </w:pPr>
      <w:r w:rsidRPr="002C1915">
        <w:rPr>
          <w:rFonts w:eastAsia="Calibri" w:cs="Arial"/>
          <w:bCs/>
          <w:color w:val="000000" w:themeColor="text1"/>
          <w:kern w:val="32"/>
          <w:szCs w:val="22"/>
          <w:lang w:bidi="ar-SA"/>
        </w:rPr>
        <w:t>Access to and use of the FraudCapture Platform is limited to Participating Entity and its Users for Participating Entity ’s internal business purposes only during the Subscription Term.</w:t>
      </w:r>
    </w:p>
    <w:p w14:paraId="0DABBEB5" w14:textId="77777777" w:rsidR="002C1915" w:rsidRPr="002C1915" w:rsidRDefault="002C1915" w:rsidP="00C245FC">
      <w:pPr>
        <w:widowControl w:val="0"/>
        <w:suppressAutoHyphens/>
        <w:ind w:left="1440"/>
        <w:jc w:val="both"/>
        <w:outlineLvl w:val="0"/>
        <w:rPr>
          <w:rFonts w:eastAsia="Calibri" w:cs="Arial"/>
          <w:bCs/>
          <w:color w:val="000000" w:themeColor="text1"/>
          <w:kern w:val="32"/>
          <w:szCs w:val="22"/>
          <w:lang w:bidi="ar-SA"/>
        </w:rPr>
      </w:pPr>
    </w:p>
    <w:p w14:paraId="10BFECA4" w14:textId="77777777" w:rsidR="002C1915" w:rsidRPr="002C1915" w:rsidRDefault="002C1915" w:rsidP="00C245FC">
      <w:pPr>
        <w:widowControl w:val="0"/>
        <w:numPr>
          <w:ilvl w:val="2"/>
          <w:numId w:val="75"/>
        </w:numPr>
        <w:suppressAutoHyphens/>
        <w:ind w:left="1440" w:hanging="720"/>
        <w:jc w:val="both"/>
        <w:outlineLvl w:val="0"/>
        <w:rPr>
          <w:rFonts w:eastAsia="Calibri" w:cs="Arial"/>
          <w:bCs/>
          <w:color w:val="000000" w:themeColor="text1"/>
          <w:kern w:val="32"/>
          <w:szCs w:val="22"/>
          <w:lang w:bidi="ar-SA"/>
        </w:rPr>
      </w:pPr>
      <w:r w:rsidRPr="002C1915">
        <w:rPr>
          <w:rFonts w:eastAsia="Calibri" w:cs="Arial"/>
          <w:bCs/>
          <w:color w:val="000000" w:themeColor="text1"/>
          <w:kern w:val="32"/>
          <w:szCs w:val="22"/>
          <w:lang w:bidi="ar-SA"/>
        </w:rPr>
        <w:t>Participating Entity is fully responsible for maintaining the confidentiality of the User Credentials and the security of its account, and all activities that occur regarding a User, including a User’s breach of these Terms.</w:t>
      </w:r>
    </w:p>
    <w:p w14:paraId="2DE5FC9D" w14:textId="77777777" w:rsidR="002C1915" w:rsidRPr="002C1915" w:rsidRDefault="002C1915" w:rsidP="00C245FC">
      <w:pPr>
        <w:widowControl w:val="0"/>
        <w:suppressAutoHyphens/>
        <w:ind w:left="1440"/>
        <w:jc w:val="both"/>
        <w:outlineLvl w:val="0"/>
        <w:rPr>
          <w:rFonts w:eastAsia="Calibri" w:cs="Arial"/>
          <w:bCs/>
          <w:color w:val="000000" w:themeColor="text1"/>
          <w:kern w:val="32"/>
          <w:szCs w:val="22"/>
          <w:lang w:bidi="ar-SA"/>
        </w:rPr>
      </w:pPr>
    </w:p>
    <w:p w14:paraId="6B18CCE1" w14:textId="77777777" w:rsidR="002C1915" w:rsidRPr="002C1915" w:rsidRDefault="002C1915" w:rsidP="00C245FC">
      <w:pPr>
        <w:widowControl w:val="0"/>
        <w:numPr>
          <w:ilvl w:val="2"/>
          <w:numId w:val="75"/>
        </w:numPr>
        <w:suppressAutoHyphens/>
        <w:ind w:left="1440" w:hanging="720"/>
        <w:jc w:val="both"/>
        <w:outlineLvl w:val="0"/>
        <w:rPr>
          <w:rFonts w:eastAsia="Calibri" w:cs="Arial"/>
          <w:bCs/>
          <w:color w:val="000000" w:themeColor="text1"/>
          <w:kern w:val="32"/>
          <w:szCs w:val="22"/>
          <w:lang w:bidi="ar-SA"/>
        </w:rPr>
      </w:pPr>
      <w:r w:rsidRPr="002C1915">
        <w:rPr>
          <w:rFonts w:eastAsia="Calibri" w:cs="Arial"/>
          <w:bCs/>
          <w:color w:val="000000" w:themeColor="text1"/>
          <w:kern w:val="32"/>
          <w:szCs w:val="22"/>
          <w:lang w:bidi="ar-SA"/>
        </w:rPr>
        <w:t>User Credentials cannot be shared or used by more than one individual.</w:t>
      </w:r>
    </w:p>
    <w:p w14:paraId="3178B645" w14:textId="77777777" w:rsidR="002C1915" w:rsidRPr="002C1915" w:rsidRDefault="002C1915" w:rsidP="00C245FC">
      <w:pPr>
        <w:widowControl w:val="0"/>
        <w:suppressAutoHyphens/>
        <w:ind w:left="1440"/>
        <w:jc w:val="both"/>
        <w:outlineLvl w:val="0"/>
        <w:rPr>
          <w:rFonts w:eastAsia="Calibri" w:cs="Arial"/>
          <w:bCs/>
          <w:color w:val="000000" w:themeColor="text1"/>
          <w:kern w:val="32"/>
          <w:szCs w:val="22"/>
          <w:lang w:bidi="ar-SA"/>
        </w:rPr>
      </w:pPr>
    </w:p>
    <w:p w14:paraId="7EF54982" w14:textId="77777777" w:rsidR="002C1915" w:rsidRPr="002C1915" w:rsidRDefault="002C1915" w:rsidP="00C245FC">
      <w:pPr>
        <w:widowControl w:val="0"/>
        <w:numPr>
          <w:ilvl w:val="2"/>
          <w:numId w:val="75"/>
        </w:numPr>
        <w:suppressAutoHyphens/>
        <w:ind w:left="1440" w:hanging="720"/>
        <w:jc w:val="both"/>
        <w:outlineLvl w:val="0"/>
        <w:rPr>
          <w:rFonts w:eastAsia="Calibri" w:cs="Arial"/>
          <w:bCs/>
          <w:color w:val="000000" w:themeColor="text1"/>
          <w:kern w:val="32"/>
          <w:szCs w:val="22"/>
          <w:lang w:bidi="ar-SA"/>
        </w:rPr>
      </w:pPr>
      <w:r w:rsidRPr="002C1915">
        <w:rPr>
          <w:rFonts w:eastAsiaTheme="minorHAnsi" w:cs="Arial"/>
          <w:bCs/>
          <w:color w:val="000000" w:themeColor="text1"/>
          <w:kern w:val="32"/>
          <w:szCs w:val="22"/>
          <w:lang w:bidi="ar-SA"/>
        </w:rPr>
        <w:t xml:space="preserve">Participating Entity  agrees to promptly notify Gainwell regarding any User that no </w:t>
      </w:r>
      <w:r w:rsidRPr="002C1915">
        <w:rPr>
          <w:rFonts w:eastAsiaTheme="minorHAnsi" w:cs="Arial"/>
          <w:bCs/>
          <w:color w:val="000000" w:themeColor="text1"/>
          <w:kern w:val="32"/>
          <w:szCs w:val="22"/>
          <w:lang w:bidi="ar-SA"/>
        </w:rPr>
        <w:lastRenderedPageBreak/>
        <w:t>longer needs to access the FraudCapture Platform due to termination of employment or otherwise.</w:t>
      </w:r>
    </w:p>
    <w:p w14:paraId="2311F544" w14:textId="77777777" w:rsidR="002C1915" w:rsidRPr="002C1915" w:rsidRDefault="002C1915" w:rsidP="00C245FC">
      <w:pPr>
        <w:widowControl w:val="0"/>
        <w:suppressAutoHyphens/>
        <w:ind w:left="1440"/>
        <w:jc w:val="both"/>
        <w:outlineLvl w:val="0"/>
        <w:rPr>
          <w:rFonts w:eastAsia="Calibri" w:cs="Arial"/>
          <w:bCs/>
          <w:color w:val="000000" w:themeColor="text1"/>
          <w:kern w:val="32"/>
          <w:szCs w:val="22"/>
          <w:lang w:bidi="ar-SA"/>
        </w:rPr>
      </w:pPr>
    </w:p>
    <w:p w14:paraId="02FB010E" w14:textId="77777777" w:rsidR="002C1915" w:rsidRPr="002C1915" w:rsidRDefault="002C1915" w:rsidP="00C245FC">
      <w:pPr>
        <w:widowControl w:val="0"/>
        <w:numPr>
          <w:ilvl w:val="2"/>
          <w:numId w:val="75"/>
        </w:numPr>
        <w:suppressAutoHyphens/>
        <w:ind w:left="1440" w:hanging="720"/>
        <w:jc w:val="both"/>
        <w:rPr>
          <w:rFonts w:eastAsia="Calibri" w:cs="Arial"/>
          <w:bCs/>
          <w:color w:val="000000" w:themeColor="text1"/>
          <w:kern w:val="32"/>
          <w:szCs w:val="22"/>
          <w:lang w:bidi="ar-SA"/>
        </w:rPr>
      </w:pPr>
      <w:r w:rsidRPr="002C1915">
        <w:rPr>
          <w:rFonts w:eastAsia="Calibri" w:cs="Arial"/>
          <w:bCs/>
          <w:color w:val="000000" w:themeColor="text1"/>
          <w:kern w:val="32"/>
          <w:szCs w:val="22"/>
          <w:lang w:bidi="ar-SA"/>
        </w:rPr>
        <w:t xml:space="preserve">Participating Entity may allow a contractor to access and use the FraudCapture Platform solely on Participating Entity ’s behalf for Participating Entity ’s internal business purposes provided the contractor: (a) accesses the FraudCapture Platform strictly for Participating Entity ’s direct beneficial business purposes; (b) is not a competitor of Gainwell or any of Gainwell’s Affiliates; and (c) complies with the terms and conditions of the Terms. </w:t>
      </w:r>
    </w:p>
    <w:p w14:paraId="72643745" w14:textId="77777777" w:rsidR="002C1915" w:rsidRPr="002C1915" w:rsidRDefault="002C1915" w:rsidP="00C245FC">
      <w:pPr>
        <w:widowControl w:val="0"/>
        <w:suppressAutoHyphens/>
        <w:ind w:left="1440"/>
        <w:jc w:val="both"/>
        <w:rPr>
          <w:rFonts w:eastAsia="Calibri" w:cs="Arial"/>
          <w:bCs/>
          <w:color w:val="000000" w:themeColor="text1"/>
          <w:kern w:val="32"/>
          <w:szCs w:val="22"/>
          <w:lang w:bidi="ar-SA"/>
        </w:rPr>
      </w:pPr>
    </w:p>
    <w:p w14:paraId="09A95353" w14:textId="77777777" w:rsidR="002C1915" w:rsidRPr="002C1915" w:rsidRDefault="002C1915" w:rsidP="00C245FC">
      <w:pPr>
        <w:widowControl w:val="0"/>
        <w:numPr>
          <w:ilvl w:val="2"/>
          <w:numId w:val="75"/>
        </w:numPr>
        <w:suppressAutoHyphens/>
        <w:ind w:left="1440" w:hanging="720"/>
        <w:jc w:val="both"/>
        <w:outlineLvl w:val="0"/>
        <w:rPr>
          <w:rFonts w:eastAsiaTheme="minorHAnsi" w:cs="Arial"/>
          <w:bCs/>
          <w:color w:val="000000" w:themeColor="text1"/>
          <w:kern w:val="32"/>
          <w:szCs w:val="22"/>
          <w:lang w:bidi="ar-SA"/>
        </w:rPr>
      </w:pPr>
      <w:r w:rsidRPr="002C1915">
        <w:rPr>
          <w:rFonts w:eastAsiaTheme="minorHAnsi" w:cs="Arial"/>
          <w:bCs/>
          <w:color w:val="000000" w:themeColor="text1"/>
          <w:kern w:val="32"/>
          <w:szCs w:val="22"/>
          <w:lang w:bidi="ar-SA"/>
        </w:rPr>
        <w:t>Without limiting any of Gainwell’s termination rights under these Terms, if use of the FraudCapture Platform by Participating Entity and/or any User reasonably threatens the security or integrity of the FraudCapture Platform or Gainwell’s information systems, Gainwell: (a) may suspend access to the FraudCapture Platform by Participating Entity  and its Users until such time as the threat is eliminated; and (b) will use commercially reasonable efforts to notify Participating Entity  promptly before such suspension.</w:t>
      </w:r>
    </w:p>
    <w:p w14:paraId="3FEE47EE" w14:textId="77777777" w:rsidR="002C1915" w:rsidRPr="002C1915" w:rsidRDefault="002C1915" w:rsidP="00C245FC">
      <w:pPr>
        <w:widowControl w:val="0"/>
        <w:suppressAutoHyphens/>
        <w:ind w:left="1440"/>
        <w:jc w:val="both"/>
        <w:outlineLvl w:val="0"/>
        <w:rPr>
          <w:rFonts w:eastAsiaTheme="minorHAnsi" w:cs="Arial"/>
          <w:bCs/>
          <w:color w:val="000000" w:themeColor="text1"/>
          <w:kern w:val="32"/>
          <w:szCs w:val="22"/>
          <w:lang w:bidi="ar-SA"/>
        </w:rPr>
      </w:pPr>
    </w:p>
    <w:p w14:paraId="334A58D1" w14:textId="77777777" w:rsidR="002C1915" w:rsidRPr="002C1915" w:rsidRDefault="002C1915" w:rsidP="00C245FC">
      <w:pPr>
        <w:widowControl w:val="0"/>
        <w:suppressAutoHyphens/>
        <w:ind w:left="1440" w:hanging="720"/>
        <w:contextualSpacing/>
        <w:jc w:val="both"/>
        <w:rPr>
          <w:rFonts w:eastAsiaTheme="minorHAnsi" w:cs="Arial"/>
          <w:color w:val="auto"/>
          <w:szCs w:val="22"/>
          <w:lang w:bidi="ar-SA"/>
        </w:rPr>
      </w:pPr>
      <w:r w:rsidRPr="002C1915">
        <w:rPr>
          <w:rFonts w:eastAsiaTheme="minorHAnsi" w:cs="Arial"/>
          <w:bCs/>
          <w:color w:val="000000" w:themeColor="text1"/>
          <w:kern w:val="32"/>
          <w:szCs w:val="22"/>
          <w:lang w:bidi="ar-SA"/>
        </w:rPr>
        <w:t xml:space="preserve">3.2.7 </w:t>
      </w:r>
      <w:r w:rsidRPr="002C1915">
        <w:rPr>
          <w:rFonts w:eastAsiaTheme="minorHAnsi" w:cs="Arial"/>
          <w:bCs/>
          <w:color w:val="000000" w:themeColor="text1"/>
          <w:kern w:val="32"/>
          <w:szCs w:val="22"/>
          <w:lang w:bidi="ar-SA"/>
        </w:rPr>
        <w:tab/>
      </w:r>
      <w:r w:rsidRPr="002C1915">
        <w:rPr>
          <w:rFonts w:eastAsiaTheme="minorHAnsi" w:cs="Arial"/>
          <w:color w:val="auto"/>
          <w:szCs w:val="22"/>
          <w:lang w:bidi="ar-SA"/>
        </w:rPr>
        <w:t>Participating Entity  and its Users shall not: (a) use the FraudCapture Platform for any invasive, infringing, defamatory, or fraudulent purpose; (b) use the FraudCapture Platform in any manner that could damage, disable, overburden, or impair the FraudCapture Platform or interfere with any other party's use of the FraudCapture Platform; (c) alter, disable, interfere with or circumvent any aspect of the FraudCapture Platform; (d) use or permit the use of data mining, robots, scraping, or similar data-gathering and extraction tools, applications or other devices or processes to retrieve, index or data-mine the content and the outputs of the FraudCapture Platform; (e) mirror or frame any part of the FraudCapture Platform or its contents; (f) access the FraudCapture Platform to build a competitive product or service; or (g) use the FraudCapture Platform or any component of the FraudCapture Platform in a manner not authorized by Gainwell.</w:t>
      </w:r>
    </w:p>
    <w:p w14:paraId="463E1E38" w14:textId="77777777" w:rsidR="002C1915" w:rsidRPr="002C1915" w:rsidRDefault="002C1915" w:rsidP="00C245FC">
      <w:pPr>
        <w:widowControl w:val="0"/>
        <w:suppressAutoHyphens/>
        <w:ind w:left="1440" w:hanging="720"/>
        <w:contextualSpacing/>
        <w:jc w:val="both"/>
        <w:rPr>
          <w:rFonts w:eastAsia="Calibri" w:cs="Arial"/>
          <w:color w:val="auto"/>
          <w:szCs w:val="22"/>
          <w:lang w:bidi="ar-SA"/>
        </w:rPr>
      </w:pPr>
    </w:p>
    <w:p w14:paraId="581A3172" w14:textId="77777777" w:rsidR="002C1915" w:rsidRPr="002C1915" w:rsidRDefault="002C1915" w:rsidP="00C245FC">
      <w:pPr>
        <w:widowControl w:val="0"/>
        <w:suppressAutoHyphens/>
        <w:ind w:left="1440" w:hanging="720"/>
        <w:contextualSpacing/>
        <w:jc w:val="both"/>
        <w:outlineLvl w:val="0"/>
        <w:rPr>
          <w:rFonts w:eastAsia="Calibri" w:cs="Arial"/>
          <w:bCs/>
          <w:color w:val="000000" w:themeColor="text1"/>
          <w:kern w:val="32"/>
          <w:szCs w:val="22"/>
          <w:lang w:bidi="ar-SA"/>
        </w:rPr>
      </w:pPr>
      <w:r w:rsidRPr="002C1915">
        <w:rPr>
          <w:rFonts w:eastAsia="Calibri" w:cs="Arial"/>
          <w:bCs/>
          <w:color w:val="000000" w:themeColor="text1"/>
          <w:kern w:val="32"/>
          <w:szCs w:val="22"/>
          <w:lang w:bidi="ar-SA"/>
        </w:rPr>
        <w:t xml:space="preserve">3.2.8 </w:t>
      </w:r>
      <w:r w:rsidRPr="002C1915">
        <w:rPr>
          <w:rFonts w:eastAsia="Calibri" w:cs="Arial"/>
          <w:bCs/>
          <w:color w:val="000000" w:themeColor="text1"/>
          <w:kern w:val="32"/>
          <w:szCs w:val="22"/>
          <w:lang w:bidi="ar-SA"/>
        </w:rPr>
        <w:tab/>
        <w:t>Participating Entity is responsible and liable for misuse of the FraudCapture Platform by its Users, including any use that violates these Terms.</w:t>
      </w:r>
    </w:p>
    <w:p w14:paraId="7FE7B9DA" w14:textId="77777777" w:rsidR="002C1915" w:rsidRPr="002C1915" w:rsidRDefault="002C1915" w:rsidP="00C245FC">
      <w:pPr>
        <w:widowControl w:val="0"/>
        <w:suppressAutoHyphens/>
        <w:contextualSpacing/>
        <w:jc w:val="both"/>
        <w:outlineLvl w:val="0"/>
        <w:rPr>
          <w:rFonts w:eastAsia="Calibri" w:cs="Arial"/>
          <w:bCs/>
          <w:color w:val="000000" w:themeColor="text1"/>
          <w:kern w:val="32"/>
          <w:szCs w:val="22"/>
          <w:lang w:bidi="ar-SA"/>
        </w:rPr>
      </w:pPr>
    </w:p>
    <w:p w14:paraId="77D1DF6C" w14:textId="77777777" w:rsidR="002C1915" w:rsidRPr="002C1915" w:rsidRDefault="002C1915" w:rsidP="00C245FC">
      <w:pPr>
        <w:widowControl w:val="0"/>
        <w:suppressAutoHyphens/>
        <w:ind w:left="720" w:hanging="720"/>
        <w:contextualSpacing/>
        <w:jc w:val="both"/>
        <w:outlineLvl w:val="0"/>
        <w:rPr>
          <w:rFonts w:eastAsia="Calibri" w:cs="Arial"/>
          <w:bCs/>
          <w:color w:val="000000" w:themeColor="text1"/>
          <w:kern w:val="32"/>
          <w:szCs w:val="22"/>
          <w:lang w:bidi="ar-SA"/>
        </w:rPr>
      </w:pPr>
      <w:r w:rsidRPr="002C1915">
        <w:rPr>
          <w:rFonts w:eastAsia="Calibri" w:cs="Arial"/>
          <w:bCs/>
          <w:color w:val="000000" w:themeColor="text1"/>
          <w:kern w:val="32"/>
          <w:szCs w:val="22"/>
          <w:lang w:bidi="ar-SA"/>
        </w:rPr>
        <w:t>3.3</w:t>
      </w:r>
      <w:r w:rsidRPr="002C1915">
        <w:rPr>
          <w:rFonts w:eastAsia="Calibri" w:cs="Arial"/>
          <w:bCs/>
          <w:color w:val="000000" w:themeColor="text1"/>
          <w:kern w:val="32"/>
          <w:szCs w:val="22"/>
          <w:lang w:bidi="ar-SA"/>
        </w:rPr>
        <w:tab/>
      </w:r>
      <w:r w:rsidRPr="002C1915">
        <w:rPr>
          <w:rFonts w:eastAsia="Calibri" w:cs="Arial"/>
          <w:bCs/>
          <w:color w:val="000000" w:themeColor="text1"/>
          <w:kern w:val="32"/>
          <w:szCs w:val="22"/>
          <w:u w:val="single"/>
          <w:lang w:bidi="ar-SA"/>
        </w:rPr>
        <w:t>Effect of Termination</w:t>
      </w:r>
      <w:r w:rsidRPr="002C1915">
        <w:rPr>
          <w:rFonts w:eastAsia="Calibri" w:cs="Arial"/>
          <w:bCs/>
          <w:color w:val="000000" w:themeColor="text1"/>
          <w:kern w:val="32"/>
          <w:szCs w:val="22"/>
          <w:lang w:bidi="ar-SA"/>
        </w:rPr>
        <w:t>. Upon termination of Participating Entity ’s receipt of the FraudCapture Services: (a) all rights granted to Participating Entity under these Terms will immediately terminate; (b) Participating Entity  and its Users must cease access to the FraudCapture Platform; and (c) Participating Entity must destroy all copies of the Documentation in the possession of Participating Entity and any User.</w:t>
      </w:r>
    </w:p>
    <w:p w14:paraId="49751C8F" w14:textId="77777777" w:rsidR="002C1915" w:rsidRPr="002C1915" w:rsidRDefault="002C1915" w:rsidP="00C245FC">
      <w:pPr>
        <w:widowControl w:val="0"/>
        <w:suppressAutoHyphens/>
        <w:jc w:val="both"/>
        <w:outlineLvl w:val="0"/>
        <w:rPr>
          <w:rFonts w:eastAsia="Calibri" w:cs="Arial"/>
          <w:b/>
          <w:bCs/>
          <w:color w:val="auto"/>
          <w:kern w:val="32"/>
          <w:szCs w:val="22"/>
          <w:lang w:bidi="ar-SA"/>
        </w:rPr>
      </w:pPr>
    </w:p>
    <w:p w14:paraId="2FE64DB6" w14:textId="77777777" w:rsidR="00C245FC" w:rsidRDefault="00C245FC" w:rsidP="00C245FC">
      <w:pPr>
        <w:widowControl w:val="0"/>
        <w:suppressAutoHyphens/>
        <w:jc w:val="both"/>
        <w:outlineLvl w:val="0"/>
        <w:rPr>
          <w:rFonts w:eastAsia="Calibri" w:cs="Arial"/>
          <w:b/>
          <w:bCs/>
          <w:color w:val="auto"/>
          <w:kern w:val="32"/>
          <w:szCs w:val="22"/>
          <w:lang w:bidi="ar-SA"/>
        </w:rPr>
      </w:pPr>
    </w:p>
    <w:p w14:paraId="2CD56A33" w14:textId="2196C3E8" w:rsidR="002C1915" w:rsidRPr="002C1915" w:rsidRDefault="002C1915" w:rsidP="00C245FC">
      <w:pPr>
        <w:widowControl w:val="0"/>
        <w:suppressAutoHyphens/>
        <w:jc w:val="both"/>
        <w:outlineLvl w:val="0"/>
        <w:rPr>
          <w:rFonts w:eastAsia="Calibri" w:cs="Arial"/>
          <w:b/>
          <w:bCs/>
          <w:color w:val="auto"/>
          <w:kern w:val="32"/>
          <w:szCs w:val="22"/>
          <w:lang w:bidi="ar-SA"/>
        </w:rPr>
      </w:pPr>
      <w:r w:rsidRPr="002C1915">
        <w:rPr>
          <w:rFonts w:eastAsia="Calibri" w:cs="Arial"/>
          <w:b/>
          <w:bCs/>
          <w:color w:val="auto"/>
          <w:kern w:val="32"/>
          <w:szCs w:val="22"/>
          <w:lang w:bidi="ar-SA"/>
        </w:rPr>
        <w:t>SECTION 4. INFORMATION SECURITY</w:t>
      </w:r>
    </w:p>
    <w:p w14:paraId="1257EE9D" w14:textId="77777777" w:rsidR="002C1915" w:rsidRPr="002C1915" w:rsidRDefault="002C1915" w:rsidP="00C245FC">
      <w:pPr>
        <w:widowControl w:val="0"/>
        <w:suppressAutoHyphens/>
        <w:jc w:val="both"/>
        <w:outlineLvl w:val="0"/>
        <w:rPr>
          <w:rFonts w:eastAsia="Calibri" w:cs="Arial"/>
          <w:bCs/>
          <w:color w:val="auto"/>
          <w:kern w:val="32"/>
          <w:szCs w:val="22"/>
          <w:lang w:bidi="ar-SA"/>
        </w:rPr>
      </w:pPr>
    </w:p>
    <w:p w14:paraId="5269A678" w14:textId="77777777" w:rsidR="002C1915" w:rsidRPr="002C1915" w:rsidRDefault="002C1915" w:rsidP="00C245FC">
      <w:pPr>
        <w:widowControl w:val="0"/>
        <w:suppressAutoHyphens/>
        <w:ind w:left="720" w:hanging="720"/>
        <w:jc w:val="both"/>
        <w:outlineLvl w:val="0"/>
        <w:rPr>
          <w:rFonts w:eastAsia="Calibri" w:cs="Arial"/>
          <w:bCs/>
          <w:color w:val="auto"/>
          <w:kern w:val="32"/>
          <w:szCs w:val="22"/>
          <w:lang w:bidi="ar-SA"/>
        </w:rPr>
      </w:pPr>
      <w:r w:rsidRPr="002C1915">
        <w:rPr>
          <w:rFonts w:eastAsia="Calibri" w:cs="Arial"/>
          <w:bCs/>
          <w:color w:val="auto"/>
          <w:kern w:val="32"/>
          <w:szCs w:val="22"/>
          <w:lang w:bidi="ar-SA"/>
        </w:rPr>
        <w:t>4.1</w:t>
      </w:r>
      <w:r w:rsidRPr="002C1915">
        <w:rPr>
          <w:rFonts w:eastAsia="Calibri" w:cs="Arial"/>
          <w:bCs/>
          <w:color w:val="auto"/>
          <w:kern w:val="32"/>
          <w:szCs w:val="22"/>
          <w:lang w:bidi="ar-SA"/>
        </w:rPr>
        <w:tab/>
        <w:t xml:space="preserve">Participating Entity shall maintain and implement commercially reasonable security policies and procedures directed at: (i) detecting, preventing, and containing the infection of their systems by harmful or malicious code; and (ii) preventing improper access to their respective systems and the Participating Entity Data. </w:t>
      </w:r>
    </w:p>
    <w:p w14:paraId="3A243498" w14:textId="77777777" w:rsidR="002C1915" w:rsidRPr="002C1915" w:rsidRDefault="002C1915" w:rsidP="00C245FC">
      <w:pPr>
        <w:widowControl w:val="0"/>
        <w:suppressAutoHyphens/>
        <w:jc w:val="both"/>
        <w:outlineLvl w:val="0"/>
        <w:rPr>
          <w:rFonts w:eastAsia="Calibri" w:cs="Arial"/>
          <w:b/>
          <w:bCs/>
          <w:color w:val="auto"/>
          <w:kern w:val="32"/>
          <w:szCs w:val="22"/>
          <w:lang w:bidi="ar-SA"/>
        </w:rPr>
      </w:pPr>
    </w:p>
    <w:p w14:paraId="7EB1D2B9" w14:textId="77777777" w:rsidR="00C245FC" w:rsidRDefault="00C245FC" w:rsidP="00C245FC">
      <w:pPr>
        <w:widowControl w:val="0"/>
        <w:suppressAutoHyphens/>
        <w:jc w:val="both"/>
        <w:outlineLvl w:val="0"/>
        <w:rPr>
          <w:rFonts w:eastAsia="Calibri" w:cs="Arial"/>
          <w:b/>
          <w:bCs/>
          <w:color w:val="auto"/>
          <w:kern w:val="32"/>
          <w:szCs w:val="22"/>
          <w:lang w:bidi="ar-SA"/>
        </w:rPr>
      </w:pPr>
    </w:p>
    <w:p w14:paraId="1A026D62" w14:textId="313FFBF6" w:rsidR="002C1915" w:rsidRPr="002C1915" w:rsidRDefault="002C1915" w:rsidP="00C245FC">
      <w:pPr>
        <w:widowControl w:val="0"/>
        <w:suppressAutoHyphens/>
        <w:jc w:val="both"/>
        <w:outlineLvl w:val="0"/>
        <w:rPr>
          <w:rFonts w:eastAsia="Calibri" w:cs="Arial"/>
          <w:b/>
          <w:bCs/>
          <w:color w:val="auto"/>
          <w:kern w:val="32"/>
          <w:szCs w:val="22"/>
          <w:lang w:bidi="ar-SA"/>
        </w:rPr>
      </w:pPr>
      <w:r w:rsidRPr="002C1915">
        <w:rPr>
          <w:rFonts w:eastAsia="Calibri" w:cs="Arial"/>
          <w:b/>
          <w:bCs/>
          <w:color w:val="auto"/>
          <w:kern w:val="32"/>
          <w:szCs w:val="22"/>
          <w:lang w:bidi="ar-SA"/>
        </w:rPr>
        <w:lastRenderedPageBreak/>
        <w:t xml:space="preserve">SECTION 5. PARTICIPATING ENTITY DATA </w:t>
      </w:r>
    </w:p>
    <w:p w14:paraId="6A2B0AFC" w14:textId="77777777" w:rsidR="002C1915" w:rsidRPr="002C1915" w:rsidRDefault="002C1915" w:rsidP="00C245FC">
      <w:pPr>
        <w:widowControl w:val="0"/>
        <w:suppressAutoHyphens/>
        <w:overflowPunct w:val="0"/>
        <w:autoSpaceDE w:val="0"/>
        <w:autoSpaceDN w:val="0"/>
        <w:adjustRightInd w:val="0"/>
        <w:jc w:val="both"/>
        <w:textAlignment w:val="baseline"/>
        <w:rPr>
          <w:rFonts w:eastAsia="Times New Roman" w:cs="Arial"/>
          <w:color w:val="auto"/>
          <w:szCs w:val="22"/>
          <w:lang w:bidi="ar-SA"/>
        </w:rPr>
      </w:pPr>
    </w:p>
    <w:p w14:paraId="10516334" w14:textId="77777777" w:rsidR="002C1915" w:rsidRPr="002C1915" w:rsidRDefault="002C1915" w:rsidP="00C245FC">
      <w:pPr>
        <w:widowControl w:val="0"/>
        <w:numPr>
          <w:ilvl w:val="1"/>
          <w:numId w:val="66"/>
        </w:numPr>
        <w:suppressAutoHyphens/>
        <w:overflowPunct w:val="0"/>
        <w:autoSpaceDE w:val="0"/>
        <w:autoSpaceDN w:val="0"/>
        <w:adjustRightInd w:val="0"/>
        <w:ind w:left="720" w:hanging="720"/>
        <w:jc w:val="both"/>
        <w:textAlignment w:val="baseline"/>
        <w:rPr>
          <w:rFonts w:eastAsia="Times New Roman" w:cs="Arial"/>
          <w:color w:val="auto"/>
          <w:szCs w:val="22"/>
          <w:lang w:bidi="ar-SA"/>
        </w:rPr>
      </w:pPr>
      <w:r w:rsidRPr="002C1915">
        <w:rPr>
          <w:rFonts w:eastAsia="Times New Roman" w:cs="Arial"/>
          <w:b/>
          <w:color w:val="auto"/>
          <w:szCs w:val="22"/>
          <w:u w:val="single"/>
          <w:lang w:bidi="ar-SA"/>
        </w:rPr>
        <w:t>General</w:t>
      </w:r>
      <w:r w:rsidRPr="002C1915">
        <w:rPr>
          <w:rFonts w:eastAsia="Times New Roman" w:cs="Arial"/>
          <w:color w:val="auto"/>
          <w:szCs w:val="22"/>
          <w:lang w:bidi="ar-SA"/>
        </w:rPr>
        <w:t>.</w:t>
      </w:r>
      <w:r w:rsidRPr="002C1915">
        <w:rPr>
          <w:rFonts w:eastAsia="Times New Roman" w:cs="Arial"/>
          <w:color w:val="auto"/>
          <w:szCs w:val="22"/>
          <w:u w:val="single"/>
          <w:lang w:bidi="ar-SA"/>
        </w:rPr>
        <w:t xml:space="preserve"> </w:t>
      </w:r>
    </w:p>
    <w:p w14:paraId="1D578CD2" w14:textId="77777777" w:rsidR="002C1915" w:rsidRPr="002C1915" w:rsidRDefault="002C1915" w:rsidP="00C245FC">
      <w:pPr>
        <w:widowControl w:val="0"/>
        <w:suppressAutoHyphens/>
        <w:ind w:left="1440"/>
        <w:contextualSpacing/>
        <w:rPr>
          <w:rFonts w:eastAsia="Times New Roman" w:cs="Arial"/>
          <w:color w:val="auto"/>
          <w:szCs w:val="22"/>
          <w:lang w:bidi="ar-SA"/>
        </w:rPr>
      </w:pPr>
    </w:p>
    <w:p w14:paraId="42C22057" w14:textId="77777777" w:rsidR="002C1915" w:rsidRPr="002C1915" w:rsidRDefault="002C1915" w:rsidP="00C245FC">
      <w:pPr>
        <w:widowControl w:val="0"/>
        <w:numPr>
          <w:ilvl w:val="2"/>
          <w:numId w:val="66"/>
        </w:numPr>
        <w:suppressAutoHyphens/>
        <w:ind w:left="1440"/>
        <w:contextualSpacing/>
        <w:rPr>
          <w:rFonts w:eastAsia="Times New Roman" w:cs="Arial"/>
          <w:color w:val="auto"/>
          <w:szCs w:val="22"/>
          <w:lang w:bidi="ar-SA"/>
        </w:rPr>
      </w:pPr>
      <w:r w:rsidRPr="002C1915">
        <w:rPr>
          <w:rFonts w:eastAsia="Times New Roman" w:cs="Arial"/>
          <w:color w:val="auto"/>
          <w:szCs w:val="22"/>
          <w:lang w:bidi="ar-SA"/>
        </w:rPr>
        <w:t>Gainwell is not responsible for the accuracy and quality of the Participating Entity data used to populate the FraudCapture Platform.</w:t>
      </w:r>
    </w:p>
    <w:p w14:paraId="2C5F9175" w14:textId="77777777" w:rsidR="002C1915" w:rsidRPr="002C1915" w:rsidRDefault="002C1915" w:rsidP="00C245FC">
      <w:pPr>
        <w:widowControl w:val="0"/>
        <w:suppressAutoHyphens/>
        <w:overflowPunct w:val="0"/>
        <w:autoSpaceDE w:val="0"/>
        <w:autoSpaceDN w:val="0"/>
        <w:adjustRightInd w:val="0"/>
        <w:ind w:left="1440"/>
        <w:jc w:val="both"/>
        <w:textAlignment w:val="baseline"/>
        <w:rPr>
          <w:rFonts w:eastAsia="Times New Roman" w:cs="Arial"/>
          <w:color w:val="auto"/>
          <w:szCs w:val="22"/>
          <w:lang w:bidi="ar-SA"/>
        </w:rPr>
      </w:pPr>
    </w:p>
    <w:p w14:paraId="695C05E6" w14:textId="77777777" w:rsidR="002C1915" w:rsidRPr="002C1915" w:rsidRDefault="002C1915" w:rsidP="00C245FC">
      <w:pPr>
        <w:widowControl w:val="0"/>
        <w:numPr>
          <w:ilvl w:val="2"/>
          <w:numId w:val="66"/>
        </w:numPr>
        <w:suppressAutoHyphens/>
        <w:overflowPunct w:val="0"/>
        <w:autoSpaceDE w:val="0"/>
        <w:autoSpaceDN w:val="0"/>
        <w:adjustRightInd w:val="0"/>
        <w:ind w:left="1440"/>
        <w:jc w:val="both"/>
        <w:textAlignment w:val="baseline"/>
        <w:rPr>
          <w:rFonts w:eastAsia="Times New Roman" w:cs="Arial"/>
          <w:color w:val="auto"/>
          <w:szCs w:val="22"/>
          <w:lang w:bidi="ar-SA"/>
        </w:rPr>
      </w:pPr>
      <w:r w:rsidRPr="002C1915">
        <w:rPr>
          <w:rFonts w:eastAsia="Times New Roman" w:cs="Arial"/>
          <w:color w:val="auto"/>
          <w:szCs w:val="22"/>
          <w:lang w:bidi="ar-SA"/>
        </w:rPr>
        <w:t xml:space="preserve">Subject to Gainwell’s receipt of the Participating Entity Data in accordance with these Terms, Gainwell will populate the FraudCapture Platform with such data. Participating Entity agrees to promptly provide Gainwell with the Participating Entity Data so that Gainwell can implement the FraudCapture Platform in accordance with implementation plan. Following implementation, and unless otherwise noted below, Participating Entity shall timely provide the Participating Entity Data to Gainwell on a monthly basis via Secure File Transfer Protocol (sFTP) pursuant to an agreed upon schedule so that Gainwell can continue to deliver the FraudCapture Services to Participating Entity. </w:t>
      </w:r>
    </w:p>
    <w:p w14:paraId="0A5B44F0" w14:textId="77777777" w:rsidR="002C1915" w:rsidRPr="002C1915" w:rsidRDefault="002C1915" w:rsidP="00C245FC">
      <w:pPr>
        <w:widowControl w:val="0"/>
        <w:suppressAutoHyphens/>
        <w:overflowPunct w:val="0"/>
        <w:autoSpaceDE w:val="0"/>
        <w:autoSpaceDN w:val="0"/>
        <w:adjustRightInd w:val="0"/>
        <w:jc w:val="both"/>
        <w:textAlignment w:val="baseline"/>
        <w:rPr>
          <w:rFonts w:eastAsia="Times New Roman" w:cs="Arial"/>
          <w:color w:val="auto"/>
          <w:szCs w:val="22"/>
          <w:lang w:bidi="ar-SA"/>
        </w:rPr>
      </w:pPr>
    </w:p>
    <w:p w14:paraId="6A7072BE" w14:textId="77777777" w:rsidR="002C1915" w:rsidRPr="002C1915" w:rsidRDefault="002C1915" w:rsidP="00C245FC">
      <w:pPr>
        <w:widowControl w:val="0"/>
        <w:numPr>
          <w:ilvl w:val="2"/>
          <w:numId w:val="66"/>
        </w:numPr>
        <w:suppressAutoHyphens/>
        <w:overflowPunct w:val="0"/>
        <w:autoSpaceDE w:val="0"/>
        <w:autoSpaceDN w:val="0"/>
        <w:adjustRightInd w:val="0"/>
        <w:ind w:left="1440"/>
        <w:jc w:val="both"/>
        <w:textAlignment w:val="baseline"/>
        <w:rPr>
          <w:rFonts w:eastAsia="Times New Roman" w:cs="Arial"/>
          <w:color w:val="auto"/>
          <w:szCs w:val="22"/>
          <w:lang w:bidi="ar-SA"/>
        </w:rPr>
      </w:pPr>
      <w:r w:rsidRPr="002C1915">
        <w:rPr>
          <w:rFonts w:eastAsia="Times New Roman" w:cs="Arial"/>
          <w:color w:val="auto"/>
          <w:szCs w:val="22"/>
          <w:lang w:bidi="ar-SA"/>
        </w:rPr>
        <w:t>Gainwell and Participating Entity shall confirm agreed upon naming conventions of all Participating Entity Data Files prior to the first file transmission. If Participating Entity would like any changes to the format and/or layouts of any Participating Entity Data File, Participating Entity must submit a written request to Gainwell at least 60 calendar days prior to the desired change date and must include details of the revised format and/or layout. Within 30 days from the date of Gainwell’s receipt any such Participating Entity request, Gainwell will provide Participating Entity with Gainwell’s written approval or denial of the Participating Entity request. If approved by Gainwell, the approval will include a target date for completion and any additional fees to be charged.</w:t>
      </w:r>
    </w:p>
    <w:p w14:paraId="76EECEC4" w14:textId="77777777" w:rsidR="002C1915" w:rsidRPr="002C1915" w:rsidRDefault="002C1915" w:rsidP="00C245FC">
      <w:pPr>
        <w:widowControl w:val="0"/>
        <w:suppressAutoHyphens/>
        <w:overflowPunct w:val="0"/>
        <w:autoSpaceDE w:val="0"/>
        <w:autoSpaceDN w:val="0"/>
        <w:adjustRightInd w:val="0"/>
        <w:ind w:left="1440"/>
        <w:jc w:val="both"/>
        <w:textAlignment w:val="baseline"/>
        <w:rPr>
          <w:rFonts w:eastAsia="Times New Roman" w:cs="Arial"/>
          <w:color w:val="auto"/>
          <w:szCs w:val="22"/>
          <w:lang w:bidi="ar-SA"/>
        </w:rPr>
      </w:pPr>
    </w:p>
    <w:p w14:paraId="427F3D0C" w14:textId="77777777" w:rsidR="002C1915" w:rsidRPr="002C1915" w:rsidRDefault="002C1915" w:rsidP="00C245FC">
      <w:pPr>
        <w:widowControl w:val="0"/>
        <w:numPr>
          <w:ilvl w:val="2"/>
          <w:numId w:val="66"/>
        </w:numPr>
        <w:suppressAutoHyphens/>
        <w:overflowPunct w:val="0"/>
        <w:autoSpaceDE w:val="0"/>
        <w:autoSpaceDN w:val="0"/>
        <w:adjustRightInd w:val="0"/>
        <w:ind w:left="1440"/>
        <w:jc w:val="both"/>
        <w:textAlignment w:val="baseline"/>
        <w:rPr>
          <w:rFonts w:eastAsia="Times New Roman" w:cs="Arial"/>
          <w:color w:val="auto"/>
          <w:szCs w:val="22"/>
          <w:lang w:bidi="ar-SA"/>
        </w:rPr>
      </w:pPr>
      <w:r w:rsidRPr="002C1915">
        <w:rPr>
          <w:rFonts w:eastAsia="Times New Roman" w:cs="Arial"/>
          <w:color w:val="auto"/>
          <w:szCs w:val="22"/>
          <w:lang w:bidi="ar-SA"/>
        </w:rPr>
        <w:t>For each of the Participating Entity Data Files, Participating Entity shall provide the following information: field descriptions, data dictionaries, and look-up tables. Participating Entity will identify key links/relationships between tables and identify unique claim identifications, and respond to Gainwell’s questions regarding the tables and/or unique claim identifications or other related items.</w:t>
      </w:r>
    </w:p>
    <w:p w14:paraId="2655DB57" w14:textId="77777777" w:rsidR="002C1915" w:rsidRPr="002C1915" w:rsidRDefault="002C1915" w:rsidP="00C245FC">
      <w:pPr>
        <w:widowControl w:val="0"/>
        <w:suppressAutoHyphens/>
        <w:overflowPunct w:val="0"/>
        <w:autoSpaceDE w:val="0"/>
        <w:autoSpaceDN w:val="0"/>
        <w:adjustRightInd w:val="0"/>
        <w:jc w:val="both"/>
        <w:textAlignment w:val="baseline"/>
        <w:rPr>
          <w:rFonts w:eastAsia="Times New Roman" w:cs="Arial"/>
          <w:color w:val="auto"/>
          <w:szCs w:val="22"/>
          <w:lang w:bidi="ar-SA"/>
        </w:rPr>
      </w:pPr>
    </w:p>
    <w:p w14:paraId="46CC5440" w14:textId="77777777" w:rsidR="002C1915" w:rsidRPr="002C1915" w:rsidRDefault="002C1915" w:rsidP="00C245FC">
      <w:pPr>
        <w:widowControl w:val="0"/>
        <w:numPr>
          <w:ilvl w:val="1"/>
          <w:numId w:val="70"/>
        </w:numPr>
        <w:suppressAutoHyphens/>
        <w:overflowPunct w:val="0"/>
        <w:autoSpaceDE w:val="0"/>
        <w:autoSpaceDN w:val="0"/>
        <w:adjustRightInd w:val="0"/>
        <w:ind w:left="0" w:firstLine="0"/>
        <w:jc w:val="both"/>
        <w:textAlignment w:val="baseline"/>
        <w:rPr>
          <w:rFonts w:eastAsia="Times New Roman" w:cs="Arial"/>
          <w:color w:val="auto"/>
          <w:szCs w:val="22"/>
          <w:u w:val="single"/>
          <w:lang w:bidi="ar-SA"/>
        </w:rPr>
      </w:pPr>
      <w:r w:rsidRPr="002C1915">
        <w:rPr>
          <w:rFonts w:eastAsia="Times New Roman" w:cs="Arial"/>
          <w:b/>
          <w:color w:val="auto"/>
          <w:szCs w:val="22"/>
          <w:u w:val="single"/>
          <w:lang w:bidi="ar-SA"/>
        </w:rPr>
        <w:t>Data File Delivery</w:t>
      </w:r>
      <w:r w:rsidRPr="002C1915">
        <w:rPr>
          <w:rFonts w:eastAsia="Times New Roman" w:cs="Arial"/>
          <w:color w:val="auto"/>
          <w:szCs w:val="22"/>
          <w:lang w:bidi="ar-SA"/>
        </w:rPr>
        <w:t>.</w:t>
      </w:r>
    </w:p>
    <w:p w14:paraId="27C8E535" w14:textId="77777777" w:rsidR="002C1915" w:rsidRPr="002C1915" w:rsidRDefault="002C1915" w:rsidP="00C245FC">
      <w:pPr>
        <w:widowControl w:val="0"/>
        <w:suppressAutoHyphens/>
        <w:overflowPunct w:val="0"/>
        <w:autoSpaceDE w:val="0"/>
        <w:autoSpaceDN w:val="0"/>
        <w:adjustRightInd w:val="0"/>
        <w:ind w:left="1440" w:hanging="720"/>
        <w:jc w:val="both"/>
        <w:textAlignment w:val="baseline"/>
        <w:rPr>
          <w:rFonts w:eastAsia="Times New Roman" w:cs="Arial"/>
          <w:color w:val="auto"/>
          <w:szCs w:val="22"/>
          <w:lang w:bidi="ar-SA"/>
        </w:rPr>
      </w:pPr>
    </w:p>
    <w:p w14:paraId="610DE071" w14:textId="77777777" w:rsidR="002C1915" w:rsidRPr="002C1915" w:rsidRDefault="002C1915" w:rsidP="00C245FC">
      <w:pPr>
        <w:widowControl w:val="0"/>
        <w:suppressAutoHyphens/>
        <w:overflowPunct w:val="0"/>
        <w:autoSpaceDE w:val="0"/>
        <w:autoSpaceDN w:val="0"/>
        <w:adjustRightInd w:val="0"/>
        <w:ind w:left="1440" w:hanging="720"/>
        <w:jc w:val="both"/>
        <w:textAlignment w:val="baseline"/>
        <w:rPr>
          <w:rFonts w:eastAsia="Times New Roman" w:cs="Arial"/>
          <w:color w:val="auto"/>
          <w:szCs w:val="22"/>
          <w:lang w:bidi="ar-SA"/>
        </w:rPr>
      </w:pPr>
      <w:r w:rsidRPr="002C1915">
        <w:rPr>
          <w:rFonts w:eastAsia="Times New Roman" w:cs="Arial"/>
          <w:color w:val="auto"/>
          <w:szCs w:val="22"/>
          <w:lang w:bidi="ar-SA"/>
        </w:rPr>
        <w:t>5.2.1</w:t>
      </w:r>
      <w:r w:rsidRPr="002C1915">
        <w:rPr>
          <w:rFonts w:eastAsia="Times New Roman" w:cs="Arial"/>
          <w:color w:val="auto"/>
          <w:szCs w:val="22"/>
          <w:lang w:bidi="ar-SA"/>
        </w:rPr>
        <w:tab/>
      </w:r>
      <w:r w:rsidRPr="002C1915">
        <w:rPr>
          <w:rFonts w:eastAsia="Times New Roman" w:cs="Arial"/>
          <w:b/>
          <w:color w:val="auto"/>
          <w:szCs w:val="22"/>
          <w:u w:val="single"/>
          <w:lang w:bidi="ar-SA"/>
        </w:rPr>
        <w:t>Three Year Historical Paid Claims File</w:t>
      </w:r>
      <w:r w:rsidRPr="002C1915">
        <w:rPr>
          <w:rFonts w:eastAsia="Times New Roman" w:cs="Arial"/>
          <w:color w:val="auto"/>
          <w:szCs w:val="22"/>
          <w:lang w:bidi="ar-SA"/>
        </w:rPr>
        <w:t>. Within 60 days after the signature of the applicable Service Level Agreement by both Parties, and in a mutually agreed upon data layout and format, Participating Entity will provide Gainwell with an initial historical paid claims dataset covering the most recent three years (the “</w:t>
      </w:r>
      <w:r w:rsidRPr="002C1915">
        <w:rPr>
          <w:rFonts w:eastAsia="Times New Roman" w:cs="Arial"/>
          <w:b/>
          <w:color w:val="auto"/>
          <w:szCs w:val="22"/>
          <w:lang w:bidi="ar-SA"/>
        </w:rPr>
        <w:t>Three Year Historical Paid Claims File</w:t>
      </w:r>
      <w:r w:rsidRPr="002C1915">
        <w:rPr>
          <w:rFonts w:eastAsia="Times New Roman" w:cs="Arial"/>
          <w:color w:val="auto"/>
          <w:szCs w:val="22"/>
          <w:lang w:bidi="ar-SA"/>
        </w:rPr>
        <w:t xml:space="preserve">”), which includes all claim types (i.e., facility, skilled nursing, professional, durable medical equipment, hospice, home health, pharmacy, encounter, </w:t>
      </w:r>
      <w:proofErr w:type="gramStart"/>
      <w:r w:rsidRPr="002C1915">
        <w:rPr>
          <w:rFonts w:eastAsia="Times New Roman" w:cs="Arial"/>
          <w:color w:val="auto"/>
          <w:szCs w:val="22"/>
          <w:lang w:bidi="ar-SA"/>
        </w:rPr>
        <w:t>etc.</w:t>
      </w:r>
      <w:proofErr w:type="gramEnd"/>
      <w:r w:rsidRPr="002C1915">
        <w:rPr>
          <w:rFonts w:eastAsia="Times New Roman" w:cs="Arial"/>
          <w:color w:val="auto"/>
          <w:szCs w:val="22"/>
          <w:lang w:bidi="ar-SA"/>
        </w:rPr>
        <w:t xml:space="preserve">). After Participating Entity’s initial delivery of the Three Year Historical Paid Claims File, Participating Entity will provide Gainwell with monthly updates to such file(s). Participating Entity will include the payment methodology indicator (e.g., per diem, DRG, percentage billed, </w:t>
      </w:r>
      <w:proofErr w:type="gramStart"/>
      <w:r w:rsidRPr="002C1915">
        <w:rPr>
          <w:rFonts w:eastAsia="Times New Roman" w:cs="Arial"/>
          <w:color w:val="auto"/>
          <w:szCs w:val="22"/>
          <w:lang w:bidi="ar-SA"/>
        </w:rPr>
        <w:t>etc.</w:t>
      </w:r>
      <w:proofErr w:type="gramEnd"/>
      <w:r w:rsidRPr="002C1915">
        <w:rPr>
          <w:rFonts w:eastAsia="Times New Roman" w:cs="Arial"/>
          <w:color w:val="auto"/>
          <w:szCs w:val="22"/>
          <w:lang w:bidi="ar-SA"/>
        </w:rPr>
        <w:t xml:space="preserve">) for each applicable claim on the claim data file. Pharmacy claims data required under the Terms are required to provide holistic insight into the Providers and patients as part of the medical claim/Provider analysis conducted in the FraudCapture </w:t>
      </w:r>
      <w:r w:rsidRPr="002C1915">
        <w:rPr>
          <w:rFonts w:eastAsia="Times New Roman" w:cs="Arial"/>
          <w:color w:val="auto"/>
          <w:szCs w:val="22"/>
          <w:lang w:bidi="ar-SA"/>
        </w:rPr>
        <w:lastRenderedPageBreak/>
        <w:t>Platform. For clarity, the pharmacy claims themselves will not be analyzed by the FraudCapture Platform for fraud, waste and abuse purposes or otherwise.</w:t>
      </w:r>
      <w:r w:rsidRPr="002C1915">
        <w:rPr>
          <w:rFonts w:eastAsiaTheme="minorHAnsi" w:cs="Arial"/>
          <w:color w:val="auto"/>
          <w:szCs w:val="22"/>
          <w:lang w:bidi="ar-SA"/>
        </w:rPr>
        <w:t xml:space="preserve"> </w:t>
      </w:r>
    </w:p>
    <w:p w14:paraId="6C68461C" w14:textId="77777777" w:rsidR="002C1915" w:rsidRPr="002C1915" w:rsidRDefault="002C1915" w:rsidP="00C245FC">
      <w:pPr>
        <w:widowControl w:val="0"/>
        <w:suppressAutoHyphens/>
        <w:overflowPunct w:val="0"/>
        <w:autoSpaceDE w:val="0"/>
        <w:autoSpaceDN w:val="0"/>
        <w:adjustRightInd w:val="0"/>
        <w:ind w:left="1440" w:hanging="720"/>
        <w:jc w:val="both"/>
        <w:textAlignment w:val="baseline"/>
        <w:rPr>
          <w:rFonts w:eastAsia="Times New Roman" w:cs="Arial"/>
          <w:color w:val="auto"/>
          <w:szCs w:val="22"/>
          <w:lang w:bidi="ar-SA"/>
        </w:rPr>
      </w:pPr>
    </w:p>
    <w:p w14:paraId="7756920F" w14:textId="77777777" w:rsidR="002C1915" w:rsidRPr="002C1915" w:rsidRDefault="002C1915" w:rsidP="00C245FC">
      <w:pPr>
        <w:widowControl w:val="0"/>
        <w:suppressAutoHyphens/>
        <w:overflowPunct w:val="0"/>
        <w:autoSpaceDE w:val="0"/>
        <w:autoSpaceDN w:val="0"/>
        <w:adjustRightInd w:val="0"/>
        <w:ind w:left="1440" w:hanging="720"/>
        <w:jc w:val="both"/>
        <w:textAlignment w:val="baseline"/>
        <w:rPr>
          <w:rFonts w:eastAsia="Times New Roman" w:cs="Arial"/>
          <w:color w:val="auto"/>
          <w:szCs w:val="22"/>
          <w:lang w:bidi="ar-SA"/>
        </w:rPr>
      </w:pPr>
      <w:r w:rsidRPr="002C1915">
        <w:rPr>
          <w:rFonts w:eastAsia="Times New Roman" w:cs="Arial"/>
          <w:color w:val="auto"/>
          <w:szCs w:val="22"/>
          <w:lang w:bidi="ar-SA"/>
        </w:rPr>
        <w:t>5.2.2</w:t>
      </w:r>
      <w:r w:rsidRPr="002C1915">
        <w:rPr>
          <w:rFonts w:eastAsia="Times New Roman" w:cs="Arial"/>
          <w:color w:val="auto"/>
          <w:szCs w:val="22"/>
          <w:lang w:bidi="ar-SA"/>
        </w:rPr>
        <w:tab/>
      </w:r>
      <w:r w:rsidRPr="002C1915">
        <w:rPr>
          <w:rFonts w:eastAsia="Times New Roman" w:cs="Arial"/>
          <w:b/>
          <w:color w:val="auto"/>
          <w:szCs w:val="22"/>
          <w:u w:val="single"/>
          <w:lang w:bidi="ar-SA"/>
        </w:rPr>
        <w:t>Participating Entity Member Eligibility Data Files</w:t>
      </w:r>
      <w:r w:rsidRPr="002C1915">
        <w:rPr>
          <w:rFonts w:eastAsia="Times New Roman" w:cs="Arial"/>
          <w:color w:val="auto"/>
          <w:szCs w:val="22"/>
          <w:lang w:bidi="ar-SA"/>
        </w:rPr>
        <w:t xml:space="preserve">. Commencing with the delivery of the Three Year Historical Paid Claims File, and on a monthly basis thereafter (or such other frequency as agreed to in writing by the Parties), Participating Entity will deliver a Member Eligibility File to Gainwell. Participating Entity will also provide information regarding data elements in the file, </w:t>
      </w:r>
      <w:proofErr w:type="gramStart"/>
      <w:r w:rsidRPr="002C1915">
        <w:rPr>
          <w:rFonts w:eastAsia="Times New Roman" w:cs="Arial"/>
          <w:color w:val="auto"/>
          <w:szCs w:val="22"/>
          <w:lang w:bidi="ar-SA"/>
        </w:rPr>
        <w:t>including but not limited to</w:t>
      </w:r>
      <w:proofErr w:type="gramEnd"/>
      <w:r w:rsidRPr="002C1915">
        <w:rPr>
          <w:rFonts w:eastAsia="Times New Roman" w:cs="Arial"/>
          <w:color w:val="auto"/>
          <w:szCs w:val="22"/>
          <w:lang w:bidi="ar-SA"/>
        </w:rPr>
        <w:t xml:space="preserve"> member eligibility confirmation, key links to claims data, and member identifier information.</w:t>
      </w:r>
    </w:p>
    <w:p w14:paraId="4F2E4D3F" w14:textId="77777777" w:rsidR="002C1915" w:rsidRPr="002C1915" w:rsidRDefault="002C1915" w:rsidP="00C245FC">
      <w:pPr>
        <w:widowControl w:val="0"/>
        <w:suppressAutoHyphens/>
        <w:overflowPunct w:val="0"/>
        <w:autoSpaceDE w:val="0"/>
        <w:autoSpaceDN w:val="0"/>
        <w:adjustRightInd w:val="0"/>
        <w:ind w:left="1440" w:hanging="720"/>
        <w:jc w:val="both"/>
        <w:textAlignment w:val="baseline"/>
        <w:rPr>
          <w:rFonts w:eastAsia="Times New Roman" w:cs="Arial"/>
          <w:color w:val="auto"/>
          <w:szCs w:val="22"/>
          <w:lang w:bidi="ar-SA"/>
        </w:rPr>
      </w:pPr>
    </w:p>
    <w:p w14:paraId="3E565735" w14:textId="77777777" w:rsidR="002C1915" w:rsidRPr="002C1915" w:rsidRDefault="002C1915" w:rsidP="00C245FC">
      <w:pPr>
        <w:widowControl w:val="0"/>
        <w:suppressAutoHyphens/>
        <w:overflowPunct w:val="0"/>
        <w:autoSpaceDE w:val="0"/>
        <w:autoSpaceDN w:val="0"/>
        <w:adjustRightInd w:val="0"/>
        <w:ind w:left="1440" w:hanging="720"/>
        <w:jc w:val="both"/>
        <w:textAlignment w:val="baseline"/>
        <w:rPr>
          <w:rFonts w:eastAsia="Times New Roman" w:cs="Arial"/>
          <w:color w:val="auto"/>
          <w:szCs w:val="22"/>
          <w:lang w:bidi="ar-SA"/>
        </w:rPr>
      </w:pPr>
      <w:r w:rsidRPr="002C1915">
        <w:rPr>
          <w:rFonts w:eastAsia="Times New Roman" w:cs="Arial"/>
          <w:color w:val="auto"/>
          <w:szCs w:val="22"/>
          <w:lang w:bidi="ar-SA"/>
        </w:rPr>
        <w:t>5.2.3</w:t>
      </w:r>
      <w:r w:rsidRPr="002C1915">
        <w:rPr>
          <w:rFonts w:eastAsia="Times New Roman" w:cs="Arial"/>
          <w:color w:val="auto"/>
          <w:szCs w:val="22"/>
          <w:lang w:bidi="ar-SA"/>
        </w:rPr>
        <w:tab/>
      </w:r>
      <w:r w:rsidRPr="002C1915">
        <w:rPr>
          <w:rFonts w:eastAsia="Times New Roman" w:cs="Arial"/>
          <w:b/>
          <w:color w:val="auto"/>
          <w:szCs w:val="22"/>
          <w:u w:val="single"/>
          <w:lang w:bidi="ar-SA"/>
        </w:rPr>
        <w:t>Provider Data Files</w:t>
      </w:r>
      <w:r w:rsidRPr="002C1915">
        <w:rPr>
          <w:rFonts w:eastAsia="Times New Roman" w:cs="Arial"/>
          <w:color w:val="auto"/>
          <w:szCs w:val="22"/>
          <w:lang w:bidi="ar-SA"/>
        </w:rPr>
        <w:t xml:space="preserve">. Commencing with the delivery of the Three Year Historical Paid Claims File, and on a monthly basis thereafter (or such other frequency as agreed to in writing by the Parties), Participating Entity will deliver a Provider File to Gainwell. Participating Entity will also provide information regarding data elements in the file, </w:t>
      </w:r>
      <w:proofErr w:type="gramStart"/>
      <w:r w:rsidRPr="002C1915">
        <w:rPr>
          <w:rFonts w:eastAsia="Times New Roman" w:cs="Arial"/>
          <w:color w:val="auto"/>
          <w:szCs w:val="22"/>
          <w:lang w:bidi="ar-SA"/>
        </w:rPr>
        <w:t>including but not limited to</w:t>
      </w:r>
      <w:proofErr w:type="gramEnd"/>
      <w:r w:rsidRPr="002C1915">
        <w:rPr>
          <w:rFonts w:eastAsia="Times New Roman" w:cs="Arial"/>
          <w:color w:val="auto"/>
          <w:szCs w:val="22"/>
          <w:lang w:bidi="ar-SA"/>
        </w:rPr>
        <w:t xml:space="preserve"> Provider address confirmation, key links to claims data, and Provider identifier information.</w:t>
      </w:r>
    </w:p>
    <w:p w14:paraId="115C669F" w14:textId="77777777" w:rsidR="002C1915" w:rsidRPr="002C1915" w:rsidRDefault="002C1915" w:rsidP="00C245FC">
      <w:pPr>
        <w:widowControl w:val="0"/>
        <w:suppressAutoHyphens/>
        <w:overflowPunct w:val="0"/>
        <w:autoSpaceDE w:val="0"/>
        <w:autoSpaceDN w:val="0"/>
        <w:adjustRightInd w:val="0"/>
        <w:ind w:left="720" w:hanging="720"/>
        <w:jc w:val="both"/>
        <w:textAlignment w:val="baseline"/>
        <w:rPr>
          <w:rFonts w:eastAsia="Times New Roman" w:cs="Arial"/>
          <w:color w:val="auto"/>
          <w:szCs w:val="22"/>
          <w:lang w:bidi="ar-SA"/>
        </w:rPr>
      </w:pPr>
    </w:p>
    <w:p w14:paraId="20D9977D" w14:textId="51074409" w:rsidR="002C1915" w:rsidRDefault="002C1915" w:rsidP="00C245FC">
      <w:pPr>
        <w:widowControl w:val="0"/>
        <w:numPr>
          <w:ilvl w:val="1"/>
          <w:numId w:val="71"/>
        </w:numPr>
        <w:suppressAutoHyphens/>
        <w:overflowPunct w:val="0"/>
        <w:autoSpaceDE w:val="0"/>
        <w:autoSpaceDN w:val="0"/>
        <w:adjustRightInd w:val="0"/>
        <w:ind w:left="720" w:hanging="720"/>
        <w:jc w:val="both"/>
        <w:textAlignment w:val="baseline"/>
        <w:rPr>
          <w:rFonts w:eastAsia="Times New Roman" w:cs="Arial"/>
          <w:color w:val="auto"/>
          <w:szCs w:val="22"/>
          <w:lang w:bidi="ar-SA"/>
        </w:rPr>
      </w:pPr>
      <w:r w:rsidRPr="002C1915">
        <w:rPr>
          <w:rFonts w:eastAsia="Times New Roman" w:cs="Arial"/>
          <w:b/>
          <w:color w:val="auto"/>
          <w:szCs w:val="22"/>
          <w:u w:val="single"/>
          <w:lang w:bidi="ar-SA"/>
        </w:rPr>
        <w:t>Additional Programming of Participating Entity Data</w:t>
      </w:r>
      <w:r w:rsidR="0048606B" w:rsidRPr="002C1915">
        <w:rPr>
          <w:rFonts w:eastAsia="Times New Roman" w:cs="Arial"/>
          <w:color w:val="auto"/>
          <w:szCs w:val="22"/>
          <w:lang w:bidi="ar-SA"/>
        </w:rPr>
        <w:t xml:space="preserve">. </w:t>
      </w:r>
      <w:r w:rsidRPr="002C1915">
        <w:rPr>
          <w:rFonts w:eastAsia="Times New Roman" w:cs="Arial"/>
          <w:color w:val="auto"/>
          <w:szCs w:val="22"/>
          <w:lang w:bidi="ar-SA"/>
        </w:rPr>
        <w:t>There will be no initial data programming fees associated with Gainwell’s receipt and programming of the Data Files specified above in Section 5.2 (Data File Delivery) sourced from Participating Entity’s primary/core system. However, if Participating Entity wishes for Gainwell to program Participating Entity Data into the FraudCapture Platform from any other system used by Participating Entity, or Participating Entity changes its primary/core system, a non-recurring data programming fee of $75,000 shall be payable by Participating Entity with respect to Participating Entity Data sourced from each such additional, changed or new system. Subsequent data programming by Gainwell attributable to changes to Participating Entity’s primary/core system are subject to a programming charge of $175.00 per hour payable by Participating Entity.</w:t>
      </w:r>
      <w:r w:rsidRPr="002C1915">
        <w:rPr>
          <w:rFonts w:eastAsia="Times New Roman" w:cs="Arial"/>
          <w:color w:val="auto"/>
          <w:sz w:val="24"/>
          <w:lang w:bidi="ar-SA"/>
        </w:rPr>
        <w:t xml:space="preserve"> </w:t>
      </w:r>
      <w:r w:rsidRPr="002C1915">
        <w:rPr>
          <w:rFonts w:eastAsia="Times New Roman" w:cs="Arial"/>
          <w:color w:val="auto"/>
          <w:szCs w:val="22"/>
          <w:lang w:bidi="ar-SA"/>
        </w:rPr>
        <w:t>Following Participating Entity’s written request, Gainwell will load Participating Entity’s historical case files into the FraudCapture Platform subject to a charge of $175.00 per hour payable by Participating Entity to Gainwell.</w:t>
      </w:r>
    </w:p>
    <w:p w14:paraId="717EE210" w14:textId="77777777" w:rsidR="00C245FC" w:rsidRPr="002C1915" w:rsidRDefault="00C245FC" w:rsidP="00C245FC">
      <w:pPr>
        <w:widowControl w:val="0"/>
        <w:suppressAutoHyphens/>
        <w:overflowPunct w:val="0"/>
        <w:autoSpaceDE w:val="0"/>
        <w:autoSpaceDN w:val="0"/>
        <w:adjustRightInd w:val="0"/>
        <w:ind w:left="720"/>
        <w:jc w:val="both"/>
        <w:textAlignment w:val="baseline"/>
        <w:rPr>
          <w:rFonts w:eastAsia="Times New Roman" w:cs="Arial"/>
          <w:color w:val="auto"/>
          <w:szCs w:val="22"/>
          <w:lang w:bidi="ar-SA"/>
        </w:rPr>
      </w:pPr>
    </w:p>
    <w:p w14:paraId="569552F3" w14:textId="77777777" w:rsidR="002C1915" w:rsidRPr="002C1915" w:rsidRDefault="002C1915" w:rsidP="00C245FC">
      <w:pPr>
        <w:widowControl w:val="0"/>
        <w:numPr>
          <w:ilvl w:val="1"/>
          <w:numId w:val="71"/>
        </w:numPr>
        <w:suppressAutoHyphens/>
        <w:overflowPunct w:val="0"/>
        <w:autoSpaceDE w:val="0"/>
        <w:autoSpaceDN w:val="0"/>
        <w:adjustRightInd w:val="0"/>
        <w:ind w:left="720" w:hanging="720"/>
        <w:jc w:val="both"/>
        <w:textAlignment w:val="baseline"/>
        <w:rPr>
          <w:rFonts w:eastAsia="Times New Roman" w:cs="Arial"/>
          <w:color w:val="auto"/>
          <w:szCs w:val="22"/>
          <w:lang w:bidi="ar-SA"/>
        </w:rPr>
      </w:pPr>
      <w:r w:rsidRPr="002C1915">
        <w:rPr>
          <w:rFonts w:eastAsia="Times New Roman" w:cs="Arial"/>
          <w:b/>
          <w:color w:val="auto"/>
          <w:szCs w:val="22"/>
          <w:u w:val="single"/>
          <w:lang w:bidi="ar-SA"/>
        </w:rPr>
        <w:t>Accuracy and Quality of Participating Entity Data</w:t>
      </w:r>
      <w:r w:rsidRPr="002C1915">
        <w:rPr>
          <w:rFonts w:eastAsia="Times New Roman" w:cs="Arial"/>
          <w:color w:val="auto"/>
          <w:szCs w:val="22"/>
          <w:lang w:bidi="ar-SA"/>
        </w:rPr>
        <w:t xml:space="preserve">. Gainwell is not responsible for the accuracy and quality of the Participating Entity Data used to populate the FraudCapture Platform. Upon Participating Entity’s receipt of test data and a validation outline from Gainwell, Participating Entity shall validate all data values that are loaded into the FraudCapture Platform against the Participating Entity source system(s). If, after Participating Entity’s validation sign-off, Participating Entity determines that the Participating Entity Data provided to Gainwell is inaccurate or insufficient in </w:t>
      </w:r>
      <w:proofErr w:type="gramStart"/>
      <w:r w:rsidRPr="002C1915">
        <w:rPr>
          <w:rFonts w:eastAsia="Times New Roman" w:cs="Arial"/>
          <w:color w:val="auto"/>
          <w:szCs w:val="22"/>
          <w:lang w:bidi="ar-SA"/>
        </w:rPr>
        <w:t>some</w:t>
      </w:r>
      <w:proofErr w:type="gramEnd"/>
      <w:r w:rsidRPr="002C1915">
        <w:rPr>
          <w:rFonts w:eastAsia="Times New Roman" w:cs="Arial"/>
          <w:color w:val="auto"/>
          <w:szCs w:val="22"/>
          <w:lang w:bidi="ar-SA"/>
        </w:rPr>
        <w:t xml:space="preserve"> manner (due to no fault of Gainwell) and Participating Entity requires Gainwell to re-load the Participating Entity Data, Participating Entity agrees to pay a fee of $25,000 for the re-load.</w:t>
      </w:r>
    </w:p>
    <w:p w14:paraId="399C2B7D" w14:textId="77777777" w:rsidR="002C1915" w:rsidRPr="002C1915" w:rsidRDefault="002C1915" w:rsidP="00C245FC">
      <w:pPr>
        <w:widowControl w:val="0"/>
        <w:suppressAutoHyphens/>
        <w:overflowPunct w:val="0"/>
        <w:autoSpaceDE w:val="0"/>
        <w:autoSpaceDN w:val="0"/>
        <w:adjustRightInd w:val="0"/>
        <w:ind w:left="720"/>
        <w:jc w:val="both"/>
        <w:textAlignment w:val="baseline"/>
        <w:rPr>
          <w:rFonts w:eastAsia="Times New Roman" w:cs="Arial"/>
          <w:color w:val="auto"/>
          <w:szCs w:val="22"/>
          <w:lang w:bidi="ar-SA"/>
        </w:rPr>
      </w:pPr>
    </w:p>
    <w:p w14:paraId="373D33E0" w14:textId="77777777" w:rsidR="002C1915" w:rsidRPr="002C1915" w:rsidRDefault="002C1915" w:rsidP="00C245FC">
      <w:pPr>
        <w:widowControl w:val="0"/>
        <w:numPr>
          <w:ilvl w:val="1"/>
          <w:numId w:val="71"/>
        </w:numPr>
        <w:suppressAutoHyphens/>
        <w:overflowPunct w:val="0"/>
        <w:autoSpaceDE w:val="0"/>
        <w:autoSpaceDN w:val="0"/>
        <w:adjustRightInd w:val="0"/>
        <w:ind w:left="720" w:hanging="720"/>
        <w:jc w:val="both"/>
        <w:textAlignment w:val="baseline"/>
        <w:rPr>
          <w:rFonts w:eastAsia="Times New Roman" w:cs="Arial"/>
          <w:color w:val="auto"/>
          <w:szCs w:val="22"/>
          <w:lang w:bidi="ar-SA"/>
        </w:rPr>
      </w:pPr>
      <w:r w:rsidRPr="002C1915">
        <w:rPr>
          <w:rFonts w:eastAsia="Times New Roman" w:cs="Arial"/>
          <w:b/>
          <w:color w:val="auto"/>
          <w:szCs w:val="22"/>
          <w:u w:val="single"/>
          <w:lang w:bidi="ar-SA"/>
        </w:rPr>
        <w:t>Delay</w:t>
      </w:r>
      <w:r w:rsidRPr="002C1915">
        <w:rPr>
          <w:rFonts w:eastAsia="Times New Roman" w:cs="Arial"/>
          <w:color w:val="auto"/>
          <w:szCs w:val="22"/>
          <w:lang w:bidi="ar-SA"/>
        </w:rPr>
        <w:t xml:space="preserve">. Participating Entity acknowledges that: (i) delay on Participating Entity’s part in delivering the accurate Participating Entity Data Files specified above in Section 5.2 (Data File Delivery) is detrimental to Gainwell’s ability to perform its obligations; and (ii) repeated processing by Gainwell without the required and accurate Participating Entity Data Files is costly to Gainwell. Subject to events beyond the control of Participating Entity, Gainwell will begin charging the monthly subscription fee for the FraudCapture Platform effective </w:t>
      </w:r>
      <w:r w:rsidRPr="002C1915">
        <w:rPr>
          <w:rFonts w:eastAsia="Times New Roman" w:cs="Arial"/>
          <w:bCs/>
          <w:color w:val="auto"/>
          <w:kern w:val="28"/>
          <w:szCs w:val="22"/>
          <w:lang w:bidi="ar-SA"/>
        </w:rPr>
        <w:lastRenderedPageBreak/>
        <w:t xml:space="preserve">one hundred and eighty (180) </w:t>
      </w:r>
      <w:r w:rsidRPr="002C1915">
        <w:rPr>
          <w:rFonts w:eastAsia="Times New Roman" w:cs="Arial"/>
          <w:color w:val="auto"/>
          <w:szCs w:val="22"/>
          <w:lang w:bidi="ar-SA"/>
        </w:rPr>
        <w:t xml:space="preserve">days from the Service Level Agreement Effective Date regardless if implementation is complete unless such implementation delay is attributable to Gainwell and not due to any act or omission by Participating Entity. </w:t>
      </w:r>
    </w:p>
    <w:p w14:paraId="41FBED92" w14:textId="77777777" w:rsidR="002C1915" w:rsidRPr="002C1915" w:rsidRDefault="002C1915" w:rsidP="00C245FC">
      <w:pPr>
        <w:widowControl w:val="0"/>
        <w:suppressAutoHyphens/>
        <w:overflowPunct w:val="0"/>
        <w:autoSpaceDE w:val="0"/>
        <w:autoSpaceDN w:val="0"/>
        <w:adjustRightInd w:val="0"/>
        <w:ind w:left="720"/>
        <w:jc w:val="both"/>
        <w:textAlignment w:val="baseline"/>
        <w:rPr>
          <w:rFonts w:eastAsia="Times New Roman" w:cs="Arial"/>
          <w:color w:val="auto"/>
          <w:szCs w:val="22"/>
          <w:lang w:bidi="ar-SA"/>
        </w:rPr>
      </w:pPr>
    </w:p>
    <w:p w14:paraId="78D5C1AB" w14:textId="77777777" w:rsidR="002C1915" w:rsidRPr="002C1915" w:rsidRDefault="002C1915" w:rsidP="00C245FC">
      <w:pPr>
        <w:widowControl w:val="0"/>
        <w:numPr>
          <w:ilvl w:val="1"/>
          <w:numId w:val="71"/>
        </w:numPr>
        <w:suppressAutoHyphens/>
        <w:overflowPunct w:val="0"/>
        <w:autoSpaceDE w:val="0"/>
        <w:autoSpaceDN w:val="0"/>
        <w:adjustRightInd w:val="0"/>
        <w:ind w:left="720" w:hanging="720"/>
        <w:jc w:val="both"/>
        <w:textAlignment w:val="baseline"/>
        <w:rPr>
          <w:rFonts w:eastAsia="Times New Roman" w:cs="Arial"/>
          <w:color w:val="auto"/>
          <w:szCs w:val="22"/>
          <w:lang w:bidi="ar-SA"/>
        </w:rPr>
      </w:pPr>
      <w:r w:rsidRPr="002C1915">
        <w:rPr>
          <w:rFonts w:eastAsia="Times New Roman" w:cs="Arial"/>
          <w:b/>
          <w:color w:val="auto"/>
          <w:szCs w:val="22"/>
          <w:u w:val="single"/>
          <w:lang w:bidi="ar-SA"/>
        </w:rPr>
        <w:t>Use of Participating Entity Data</w:t>
      </w:r>
      <w:r w:rsidRPr="002C1915">
        <w:rPr>
          <w:rFonts w:eastAsia="Times New Roman" w:cs="Arial"/>
          <w:color w:val="auto"/>
          <w:szCs w:val="22"/>
          <w:lang w:bidi="ar-SA"/>
        </w:rPr>
        <w:t xml:space="preserve">. The Parties agree that Gainwell’s use of Participating Entity Data in accordance with the Terms shall constitute a permissible use of Participating Entity Data under the Master Agreement, Participating Addendum, Service Level Agreement, and any Business Associate Agreement between the Parties. Gainwell may, notwithstanding anything to the contrary: </w:t>
      </w:r>
    </w:p>
    <w:p w14:paraId="3B73AFD6" w14:textId="77777777" w:rsidR="002C1915" w:rsidRPr="002C1915" w:rsidRDefault="002C1915" w:rsidP="00C245FC">
      <w:pPr>
        <w:widowControl w:val="0"/>
        <w:suppressAutoHyphens/>
        <w:overflowPunct w:val="0"/>
        <w:autoSpaceDE w:val="0"/>
        <w:autoSpaceDN w:val="0"/>
        <w:adjustRightInd w:val="0"/>
        <w:jc w:val="both"/>
        <w:textAlignment w:val="baseline"/>
        <w:rPr>
          <w:rFonts w:eastAsia="Times New Roman" w:cs="Arial"/>
          <w:color w:val="auto"/>
          <w:szCs w:val="22"/>
          <w:lang w:bidi="ar-SA"/>
        </w:rPr>
      </w:pPr>
    </w:p>
    <w:p w14:paraId="602D822D" w14:textId="77777777" w:rsidR="002C1915" w:rsidRPr="002C1915" w:rsidRDefault="002C1915" w:rsidP="00C245FC">
      <w:pPr>
        <w:widowControl w:val="0"/>
        <w:numPr>
          <w:ilvl w:val="2"/>
          <w:numId w:val="71"/>
        </w:numPr>
        <w:suppressAutoHyphens/>
        <w:overflowPunct w:val="0"/>
        <w:autoSpaceDE w:val="0"/>
        <w:autoSpaceDN w:val="0"/>
        <w:adjustRightInd w:val="0"/>
        <w:jc w:val="both"/>
        <w:textAlignment w:val="baseline"/>
        <w:rPr>
          <w:rFonts w:eastAsia="Times New Roman" w:cs="Arial"/>
          <w:color w:val="auto"/>
          <w:szCs w:val="22"/>
          <w:lang w:bidi="ar-SA"/>
        </w:rPr>
      </w:pPr>
      <w:r w:rsidRPr="002C1915">
        <w:rPr>
          <w:rFonts w:eastAsia="Times New Roman" w:cs="Arial"/>
          <w:color w:val="auto"/>
          <w:szCs w:val="22"/>
          <w:lang w:bidi="ar-SA"/>
        </w:rPr>
        <w:t>(a) use Participating Entity Data to populate the FraudCapture Platform and; (b) use PHI (provided as part of the Participating Entity Data) to provide Data Aggregation services relating to, or for the benefit of, the health care operation purposes of Participating Entity as permitted by 45 C.F.R. § 164.504(e)(2)(i)(B); and (c) de-identify such PHI in accordance with the standards set forth in 45 C.F.R. § 164.514(b) and use or aggregate such de-identified information for any purpose not prohibited by HIPAA; and</w:t>
      </w:r>
    </w:p>
    <w:p w14:paraId="4CE7E598" w14:textId="77777777" w:rsidR="002C1915" w:rsidRPr="002C1915" w:rsidRDefault="002C1915" w:rsidP="00C245FC">
      <w:pPr>
        <w:widowControl w:val="0"/>
        <w:suppressAutoHyphens/>
        <w:overflowPunct w:val="0"/>
        <w:autoSpaceDE w:val="0"/>
        <w:autoSpaceDN w:val="0"/>
        <w:adjustRightInd w:val="0"/>
        <w:ind w:left="1440"/>
        <w:jc w:val="both"/>
        <w:textAlignment w:val="baseline"/>
        <w:rPr>
          <w:rFonts w:eastAsia="Times New Roman" w:cs="Arial"/>
          <w:color w:val="auto"/>
          <w:szCs w:val="22"/>
          <w:lang w:bidi="ar-SA"/>
        </w:rPr>
      </w:pPr>
    </w:p>
    <w:p w14:paraId="775FCB9C" w14:textId="77777777" w:rsidR="002C1915" w:rsidRPr="002C1915" w:rsidRDefault="002C1915" w:rsidP="00C245FC">
      <w:pPr>
        <w:widowControl w:val="0"/>
        <w:numPr>
          <w:ilvl w:val="2"/>
          <w:numId w:val="71"/>
        </w:numPr>
        <w:suppressAutoHyphens/>
        <w:overflowPunct w:val="0"/>
        <w:autoSpaceDE w:val="0"/>
        <w:autoSpaceDN w:val="0"/>
        <w:adjustRightInd w:val="0"/>
        <w:jc w:val="both"/>
        <w:textAlignment w:val="baseline"/>
        <w:rPr>
          <w:rFonts w:eastAsia="Times New Roman" w:cs="Arial"/>
          <w:color w:val="auto"/>
          <w:szCs w:val="22"/>
          <w:lang w:bidi="ar-SA"/>
        </w:rPr>
      </w:pPr>
      <w:r w:rsidRPr="002C1915">
        <w:rPr>
          <w:rFonts w:eastAsia="Times New Roman" w:cs="Arial"/>
          <w:color w:val="auto"/>
          <w:szCs w:val="22"/>
          <w:lang w:bidi="ar-SA"/>
        </w:rPr>
        <w:t>use and disclose Participating Entity Data for the proper management and administration of Gainwell, and Gainwell may also use its affiliates and service partners to support the operation and enhancement of the FraudCapture Services (and Gainwell may provide Participating Entity Data to such parties provided that they are bound by use and disclosure restrictions that are substantially similar to the obligations of Gainwell with respect to its delivery of services to Participating Entity).</w:t>
      </w:r>
    </w:p>
    <w:p w14:paraId="3113263F" w14:textId="77777777" w:rsidR="002C1915" w:rsidRPr="002C1915" w:rsidRDefault="002C1915" w:rsidP="00C245FC">
      <w:pPr>
        <w:widowControl w:val="0"/>
        <w:suppressAutoHyphens/>
        <w:jc w:val="both"/>
        <w:outlineLvl w:val="0"/>
        <w:rPr>
          <w:rFonts w:eastAsia="Calibri" w:cs="Arial"/>
          <w:b/>
          <w:bCs/>
          <w:color w:val="auto"/>
          <w:kern w:val="32"/>
          <w:szCs w:val="22"/>
          <w:lang w:bidi="ar-SA"/>
        </w:rPr>
      </w:pPr>
    </w:p>
    <w:p w14:paraId="1D82AAF6" w14:textId="77777777" w:rsidR="00C245FC" w:rsidRDefault="00C245FC" w:rsidP="00C245FC">
      <w:pPr>
        <w:widowControl w:val="0"/>
        <w:suppressAutoHyphens/>
        <w:jc w:val="both"/>
        <w:outlineLvl w:val="0"/>
        <w:rPr>
          <w:rFonts w:eastAsia="Calibri" w:cs="Arial"/>
          <w:b/>
          <w:bCs/>
          <w:color w:val="auto"/>
          <w:kern w:val="32"/>
          <w:szCs w:val="22"/>
          <w:lang w:bidi="ar-SA"/>
        </w:rPr>
      </w:pPr>
    </w:p>
    <w:p w14:paraId="46AEFB0E" w14:textId="2BB36DA9" w:rsidR="002C1915" w:rsidRPr="002C1915" w:rsidRDefault="002C1915" w:rsidP="00C245FC">
      <w:pPr>
        <w:widowControl w:val="0"/>
        <w:suppressAutoHyphens/>
        <w:jc w:val="both"/>
        <w:outlineLvl w:val="0"/>
        <w:rPr>
          <w:rFonts w:eastAsia="Calibri" w:cs="Arial"/>
          <w:b/>
          <w:bCs/>
          <w:color w:val="auto"/>
          <w:kern w:val="32"/>
          <w:szCs w:val="22"/>
          <w:lang w:bidi="ar-SA"/>
        </w:rPr>
      </w:pPr>
      <w:r w:rsidRPr="002C1915">
        <w:rPr>
          <w:rFonts w:eastAsia="Calibri" w:cs="Arial"/>
          <w:b/>
          <w:bCs/>
          <w:color w:val="auto"/>
          <w:kern w:val="32"/>
          <w:szCs w:val="22"/>
          <w:lang w:bidi="ar-SA"/>
        </w:rPr>
        <w:t>SECTION 6. FRAUDCAPTURE PLATFORM END USER ACCESS AND USE LANGUAGE</w:t>
      </w:r>
    </w:p>
    <w:p w14:paraId="41E21C75" w14:textId="77777777" w:rsidR="002C1915" w:rsidRPr="002C1915" w:rsidRDefault="002C1915" w:rsidP="00C245FC">
      <w:pPr>
        <w:widowControl w:val="0"/>
        <w:suppressAutoHyphens/>
        <w:jc w:val="both"/>
        <w:outlineLvl w:val="0"/>
        <w:rPr>
          <w:rFonts w:eastAsia="Calibri" w:cs="Arial"/>
          <w:bCs/>
          <w:color w:val="auto"/>
          <w:kern w:val="32"/>
          <w:szCs w:val="22"/>
          <w:lang w:bidi="ar-SA"/>
        </w:rPr>
      </w:pPr>
    </w:p>
    <w:p w14:paraId="1A6A7C37" w14:textId="77777777" w:rsidR="002C1915" w:rsidRPr="002C1915" w:rsidRDefault="002C1915" w:rsidP="00C245FC">
      <w:pPr>
        <w:widowControl w:val="0"/>
        <w:suppressAutoHyphens/>
        <w:ind w:left="720" w:hanging="720"/>
        <w:jc w:val="both"/>
        <w:outlineLvl w:val="0"/>
        <w:rPr>
          <w:rFonts w:eastAsia="Calibri" w:cs="Arial"/>
          <w:bCs/>
          <w:color w:val="auto"/>
          <w:kern w:val="32"/>
          <w:szCs w:val="22"/>
          <w:lang w:bidi="ar-SA"/>
        </w:rPr>
      </w:pPr>
      <w:r w:rsidRPr="002C1915">
        <w:rPr>
          <w:rFonts w:eastAsia="Calibri" w:cs="Arial"/>
          <w:bCs/>
          <w:color w:val="auto"/>
          <w:kern w:val="32"/>
          <w:szCs w:val="22"/>
          <w:lang w:bidi="ar-SA"/>
        </w:rPr>
        <w:t>6.1</w:t>
      </w:r>
      <w:r w:rsidRPr="002C1915">
        <w:rPr>
          <w:rFonts w:eastAsia="Calibri" w:cs="Arial"/>
          <w:bCs/>
          <w:color w:val="auto"/>
          <w:kern w:val="32"/>
          <w:szCs w:val="22"/>
          <w:lang w:bidi="ar-SA"/>
        </w:rPr>
        <w:tab/>
        <w:t xml:space="preserve">If there is a conflict between the online end-user access and use license language that is included as part of the FraudCapture Platform login screen or any content page of the FraudCapture Platform, the language of the Terms shall control. </w:t>
      </w:r>
    </w:p>
    <w:p w14:paraId="022BF6F1" w14:textId="77777777" w:rsidR="002C1915" w:rsidRPr="002C1915" w:rsidRDefault="002C1915" w:rsidP="00C245FC">
      <w:pPr>
        <w:widowControl w:val="0"/>
        <w:suppressAutoHyphens/>
        <w:jc w:val="both"/>
        <w:outlineLvl w:val="0"/>
        <w:rPr>
          <w:rFonts w:eastAsia="Calibri" w:cs="Arial"/>
          <w:b/>
          <w:bCs/>
          <w:color w:val="auto"/>
          <w:kern w:val="32"/>
          <w:szCs w:val="22"/>
          <w:lang w:bidi="ar-SA"/>
        </w:rPr>
      </w:pPr>
    </w:p>
    <w:p w14:paraId="5481EDC8" w14:textId="77777777" w:rsidR="00C245FC" w:rsidRDefault="00C245FC" w:rsidP="00C245FC">
      <w:pPr>
        <w:widowControl w:val="0"/>
        <w:suppressAutoHyphens/>
        <w:jc w:val="both"/>
        <w:outlineLvl w:val="0"/>
        <w:rPr>
          <w:rFonts w:eastAsia="Calibri" w:cs="Arial"/>
          <w:b/>
          <w:bCs/>
          <w:color w:val="auto"/>
          <w:kern w:val="32"/>
          <w:szCs w:val="22"/>
          <w:lang w:bidi="ar-SA"/>
        </w:rPr>
      </w:pPr>
    </w:p>
    <w:p w14:paraId="6BAD2E6D" w14:textId="38E56C8B" w:rsidR="002C1915" w:rsidRPr="002C1915" w:rsidRDefault="002C1915" w:rsidP="00C245FC">
      <w:pPr>
        <w:widowControl w:val="0"/>
        <w:suppressAutoHyphens/>
        <w:jc w:val="both"/>
        <w:outlineLvl w:val="0"/>
        <w:rPr>
          <w:rFonts w:eastAsia="Calibri" w:cs="Arial"/>
          <w:b/>
          <w:bCs/>
          <w:color w:val="auto"/>
          <w:kern w:val="32"/>
          <w:szCs w:val="22"/>
          <w:lang w:bidi="ar-SA"/>
        </w:rPr>
      </w:pPr>
      <w:r w:rsidRPr="002C1915">
        <w:rPr>
          <w:rFonts w:eastAsia="Calibri" w:cs="Arial"/>
          <w:b/>
          <w:bCs/>
          <w:color w:val="auto"/>
          <w:kern w:val="32"/>
          <w:szCs w:val="22"/>
          <w:lang w:bidi="ar-SA"/>
        </w:rPr>
        <w:t>SECTION 7.</w:t>
      </w:r>
      <w:r w:rsidRPr="002C1915">
        <w:rPr>
          <w:rFonts w:eastAsia="Calibri" w:cs="Arial"/>
          <w:bCs/>
          <w:color w:val="auto"/>
          <w:kern w:val="32"/>
          <w:szCs w:val="22"/>
          <w:lang w:bidi="ar-SA"/>
        </w:rPr>
        <w:t xml:space="preserve"> </w:t>
      </w:r>
      <w:r w:rsidRPr="002C1915">
        <w:rPr>
          <w:rFonts w:eastAsia="Calibri" w:cs="Arial"/>
          <w:b/>
          <w:bCs/>
          <w:color w:val="auto"/>
          <w:kern w:val="32"/>
          <w:szCs w:val="22"/>
          <w:lang w:bidi="ar-SA"/>
        </w:rPr>
        <w:t>THIRD PARTY TERMS AND CONDITIONS</w:t>
      </w:r>
    </w:p>
    <w:p w14:paraId="6DDAF240" w14:textId="77777777" w:rsidR="002C1915" w:rsidRPr="002C1915" w:rsidRDefault="002C1915" w:rsidP="00C245FC">
      <w:pPr>
        <w:widowControl w:val="0"/>
        <w:suppressAutoHyphens/>
        <w:jc w:val="both"/>
        <w:outlineLvl w:val="0"/>
        <w:rPr>
          <w:rFonts w:eastAsia="Calibri" w:cs="Arial"/>
          <w:bCs/>
          <w:color w:val="auto"/>
          <w:kern w:val="32"/>
          <w:szCs w:val="22"/>
          <w:lang w:bidi="ar-SA"/>
        </w:rPr>
      </w:pPr>
    </w:p>
    <w:p w14:paraId="038C6C54" w14:textId="77777777" w:rsidR="002C1915" w:rsidRPr="002C1915" w:rsidRDefault="002C1915" w:rsidP="00C245FC">
      <w:pPr>
        <w:widowControl w:val="0"/>
        <w:suppressAutoHyphens/>
        <w:jc w:val="both"/>
        <w:outlineLvl w:val="0"/>
        <w:rPr>
          <w:rFonts w:eastAsia="Calibri" w:cs="Arial"/>
          <w:bCs/>
          <w:color w:val="auto"/>
          <w:kern w:val="32"/>
          <w:szCs w:val="22"/>
          <w:lang w:bidi="ar-SA"/>
        </w:rPr>
      </w:pPr>
      <w:r w:rsidRPr="002C1915">
        <w:rPr>
          <w:rFonts w:eastAsia="Calibri" w:cs="Arial"/>
          <w:bCs/>
          <w:color w:val="auto"/>
          <w:kern w:val="32"/>
          <w:szCs w:val="22"/>
          <w:lang w:bidi="ar-SA"/>
        </w:rPr>
        <w:t>7.1</w:t>
      </w:r>
      <w:r w:rsidRPr="002C1915">
        <w:rPr>
          <w:rFonts w:eastAsia="Calibri" w:cs="Arial"/>
          <w:bCs/>
          <w:color w:val="auto"/>
          <w:kern w:val="32"/>
          <w:szCs w:val="22"/>
          <w:lang w:bidi="ar-SA"/>
        </w:rPr>
        <w:tab/>
        <w:t xml:space="preserve">Third party mandatory flow-down terms and conditions are specified in </w:t>
      </w:r>
      <w:r w:rsidRPr="002C1915">
        <w:rPr>
          <w:rFonts w:eastAsia="Calibri" w:cs="Arial"/>
          <w:color w:val="auto"/>
          <w:kern w:val="32"/>
          <w:szCs w:val="22"/>
          <w:u w:val="single"/>
          <w:lang w:bidi="ar-SA"/>
        </w:rPr>
        <w:t>Exhibit C</w:t>
      </w:r>
      <w:r w:rsidRPr="002C1915">
        <w:rPr>
          <w:rFonts w:eastAsia="Calibri" w:cs="Arial"/>
          <w:bCs/>
          <w:color w:val="auto"/>
          <w:kern w:val="32"/>
          <w:szCs w:val="22"/>
          <w:lang w:bidi="ar-SA"/>
        </w:rPr>
        <w:t>.</w:t>
      </w:r>
      <w:r w:rsidRPr="002C1915">
        <w:rPr>
          <w:rFonts w:eastAsia="Calibri" w:cs="Arial"/>
          <w:b/>
          <w:bCs/>
          <w:color w:val="auto"/>
          <w:kern w:val="32"/>
          <w:szCs w:val="22"/>
          <w:lang w:bidi="ar-SA"/>
        </w:rPr>
        <w:t xml:space="preserve"> </w:t>
      </w:r>
    </w:p>
    <w:p w14:paraId="3D24755C" w14:textId="77777777" w:rsidR="002C1915" w:rsidRPr="002C1915" w:rsidRDefault="002C1915" w:rsidP="00C245FC">
      <w:pPr>
        <w:widowControl w:val="0"/>
        <w:suppressAutoHyphens/>
        <w:jc w:val="both"/>
        <w:outlineLvl w:val="0"/>
        <w:rPr>
          <w:rFonts w:eastAsia="Calibri" w:cs="Arial"/>
          <w:b/>
          <w:bCs/>
          <w:color w:val="auto"/>
          <w:kern w:val="32"/>
          <w:szCs w:val="22"/>
          <w:lang w:bidi="ar-SA"/>
        </w:rPr>
      </w:pPr>
    </w:p>
    <w:p w14:paraId="6EA80F5E" w14:textId="77777777" w:rsidR="00C245FC" w:rsidRDefault="00C245FC" w:rsidP="00C245FC">
      <w:pPr>
        <w:widowControl w:val="0"/>
        <w:suppressAutoHyphens/>
        <w:jc w:val="both"/>
        <w:outlineLvl w:val="0"/>
        <w:rPr>
          <w:rFonts w:eastAsia="Calibri" w:cs="Arial"/>
          <w:b/>
          <w:bCs/>
          <w:color w:val="auto"/>
          <w:kern w:val="32"/>
          <w:szCs w:val="22"/>
          <w:lang w:bidi="ar-SA"/>
        </w:rPr>
      </w:pPr>
    </w:p>
    <w:p w14:paraId="3AB70FA8" w14:textId="178BF0F8" w:rsidR="002C1915" w:rsidRPr="002C1915" w:rsidRDefault="002C1915" w:rsidP="00C245FC">
      <w:pPr>
        <w:widowControl w:val="0"/>
        <w:suppressAutoHyphens/>
        <w:jc w:val="both"/>
        <w:outlineLvl w:val="0"/>
        <w:rPr>
          <w:rFonts w:eastAsia="Calibri" w:cs="Arial"/>
          <w:b/>
          <w:bCs/>
          <w:color w:val="auto"/>
          <w:kern w:val="32"/>
          <w:szCs w:val="22"/>
          <w:lang w:bidi="ar-SA"/>
        </w:rPr>
      </w:pPr>
      <w:r w:rsidRPr="002C1915">
        <w:rPr>
          <w:rFonts w:eastAsia="Calibri" w:cs="Arial"/>
          <w:b/>
          <w:bCs/>
          <w:color w:val="auto"/>
          <w:kern w:val="32"/>
          <w:szCs w:val="22"/>
          <w:lang w:bidi="ar-SA"/>
        </w:rPr>
        <w:t>SECTION 8. DISCLAIMER</w:t>
      </w:r>
    </w:p>
    <w:p w14:paraId="1BE07394" w14:textId="77777777" w:rsidR="002C1915" w:rsidRPr="002C1915" w:rsidRDefault="002C1915" w:rsidP="00C245FC">
      <w:pPr>
        <w:widowControl w:val="0"/>
        <w:suppressAutoHyphens/>
        <w:jc w:val="both"/>
        <w:outlineLvl w:val="0"/>
        <w:rPr>
          <w:rFonts w:eastAsia="Times New Roman" w:cs="Arial"/>
          <w:bCs/>
          <w:color w:val="auto"/>
          <w:szCs w:val="22"/>
          <w:lang w:bidi="ar-SA"/>
        </w:rPr>
      </w:pPr>
    </w:p>
    <w:p w14:paraId="0CBEBC8D" w14:textId="77777777" w:rsidR="002C1915" w:rsidRPr="002C1915" w:rsidRDefault="002C1915" w:rsidP="00C245FC">
      <w:pPr>
        <w:widowControl w:val="0"/>
        <w:suppressAutoHyphens/>
        <w:ind w:left="720" w:hanging="720"/>
        <w:jc w:val="both"/>
        <w:outlineLvl w:val="0"/>
        <w:rPr>
          <w:rFonts w:eastAsia="Calibri" w:cs="Arial"/>
          <w:b/>
          <w:bCs/>
          <w:color w:val="auto"/>
          <w:kern w:val="32"/>
          <w:szCs w:val="22"/>
          <w:lang w:bidi="ar-SA"/>
        </w:rPr>
      </w:pPr>
      <w:r w:rsidRPr="002C1915">
        <w:rPr>
          <w:rFonts w:eastAsia="Times New Roman" w:cs="Arial"/>
          <w:bCs/>
          <w:color w:val="auto"/>
          <w:szCs w:val="22"/>
          <w:lang w:bidi="ar-SA"/>
        </w:rPr>
        <w:t>8.1</w:t>
      </w:r>
      <w:r w:rsidRPr="002C1915">
        <w:rPr>
          <w:rFonts w:eastAsia="Times New Roman" w:cs="Arial"/>
          <w:bCs/>
          <w:color w:val="auto"/>
          <w:szCs w:val="22"/>
          <w:lang w:bidi="ar-SA"/>
        </w:rPr>
        <w:tab/>
        <w:t xml:space="preserve">EXCEPT FOR ANY WARRANTY EXPRESSLY STATED ELSEWHERE IN THE TERMS, AND TO THE MAXIMUM EXTENT PERMITTED BY LAW, GAINWELL EXPRESSLY DISCLAIMS AND EXCLUDES ALL OTHER WARRANTIES. PARTICIPATING ENTITY IS SOLELY RESPONSIBLE FOR ITS USE OF THE FRAUDCAPTURE SERVICES INCLUDING DECISIONS MADE OR ACTIONS TAKEN BASED ON INFORMATION ACCESSED OR GENERATED BY USE OF THE FRAUDCAPTURE SERVICES. </w:t>
      </w:r>
    </w:p>
    <w:p w14:paraId="0C542127" w14:textId="77777777" w:rsidR="002C1915" w:rsidRPr="002C1915" w:rsidRDefault="002C1915" w:rsidP="00C245FC">
      <w:pPr>
        <w:widowControl w:val="0"/>
        <w:suppressAutoHyphens/>
        <w:jc w:val="both"/>
        <w:outlineLvl w:val="0"/>
        <w:rPr>
          <w:rFonts w:eastAsia="Calibri" w:cs="Arial"/>
          <w:b/>
          <w:bCs/>
          <w:color w:val="auto"/>
          <w:kern w:val="32"/>
          <w:szCs w:val="22"/>
          <w:lang w:bidi="ar-SA"/>
        </w:rPr>
      </w:pPr>
    </w:p>
    <w:p w14:paraId="1A53EC09" w14:textId="77777777" w:rsidR="00C245FC" w:rsidRDefault="00C245FC" w:rsidP="00C245FC">
      <w:pPr>
        <w:widowControl w:val="0"/>
        <w:suppressAutoHyphens/>
        <w:jc w:val="both"/>
        <w:outlineLvl w:val="0"/>
        <w:rPr>
          <w:rFonts w:eastAsia="Calibri" w:cs="Arial"/>
          <w:b/>
          <w:bCs/>
          <w:color w:val="auto"/>
          <w:kern w:val="32"/>
          <w:szCs w:val="22"/>
          <w:lang w:bidi="ar-SA"/>
        </w:rPr>
      </w:pPr>
    </w:p>
    <w:p w14:paraId="128883ED" w14:textId="4062689B" w:rsidR="002C1915" w:rsidRPr="002C1915" w:rsidRDefault="002C1915" w:rsidP="00C245FC">
      <w:pPr>
        <w:widowControl w:val="0"/>
        <w:suppressAutoHyphens/>
        <w:jc w:val="both"/>
        <w:outlineLvl w:val="0"/>
        <w:rPr>
          <w:rFonts w:eastAsia="Times New Roman" w:cs="Arial"/>
          <w:color w:val="auto"/>
          <w:szCs w:val="22"/>
          <w:lang w:bidi="ar-SA"/>
        </w:rPr>
      </w:pPr>
      <w:r w:rsidRPr="002C1915">
        <w:rPr>
          <w:rFonts w:eastAsia="Calibri" w:cs="Arial"/>
          <w:b/>
          <w:bCs/>
          <w:color w:val="auto"/>
          <w:kern w:val="32"/>
          <w:szCs w:val="22"/>
          <w:lang w:bidi="ar-SA"/>
        </w:rPr>
        <w:lastRenderedPageBreak/>
        <w:t>SECTION 9.</w:t>
      </w:r>
      <w:r w:rsidRPr="002C1915">
        <w:rPr>
          <w:rFonts w:eastAsia="Calibri" w:cs="Arial"/>
          <w:bCs/>
          <w:color w:val="auto"/>
          <w:kern w:val="32"/>
          <w:szCs w:val="22"/>
          <w:lang w:bidi="ar-SA"/>
        </w:rPr>
        <w:t xml:space="preserve"> </w:t>
      </w:r>
      <w:r w:rsidRPr="002C1915">
        <w:rPr>
          <w:rFonts w:eastAsia="Times New Roman" w:cs="Arial"/>
          <w:b/>
          <w:color w:val="auto"/>
          <w:szCs w:val="22"/>
          <w:lang w:bidi="ar-SA"/>
        </w:rPr>
        <w:t>GOVERNMENT RESTRICTIONS</w:t>
      </w:r>
    </w:p>
    <w:p w14:paraId="1A39DBC3" w14:textId="77777777" w:rsidR="002C1915" w:rsidRPr="002C1915" w:rsidRDefault="002C1915" w:rsidP="00C245FC">
      <w:pPr>
        <w:widowControl w:val="0"/>
        <w:suppressAutoHyphens/>
        <w:jc w:val="both"/>
        <w:outlineLvl w:val="0"/>
        <w:rPr>
          <w:rFonts w:eastAsia="Times New Roman" w:cs="Arial"/>
          <w:color w:val="auto"/>
          <w:szCs w:val="22"/>
          <w:lang w:bidi="ar-SA"/>
        </w:rPr>
      </w:pPr>
    </w:p>
    <w:p w14:paraId="38B09850" w14:textId="77777777" w:rsidR="002C1915" w:rsidRPr="002C1915" w:rsidRDefault="002C1915" w:rsidP="00C245FC">
      <w:pPr>
        <w:widowControl w:val="0"/>
        <w:suppressAutoHyphens/>
        <w:ind w:left="720" w:hanging="720"/>
        <w:jc w:val="both"/>
        <w:outlineLvl w:val="0"/>
        <w:rPr>
          <w:rFonts w:eastAsia="Calibri" w:cs="Arial"/>
          <w:bCs/>
          <w:color w:val="auto"/>
          <w:kern w:val="32"/>
          <w:szCs w:val="22"/>
          <w:lang w:bidi="ar-SA"/>
        </w:rPr>
      </w:pPr>
      <w:r w:rsidRPr="002C1915">
        <w:rPr>
          <w:rFonts w:eastAsia="Times New Roman" w:cs="Arial"/>
          <w:color w:val="auto"/>
          <w:szCs w:val="22"/>
          <w:lang w:bidi="ar-SA"/>
        </w:rPr>
        <w:t>9.1</w:t>
      </w:r>
      <w:r w:rsidRPr="002C1915">
        <w:rPr>
          <w:rFonts w:eastAsia="Times New Roman" w:cs="Arial"/>
          <w:color w:val="auto"/>
          <w:szCs w:val="22"/>
          <w:lang w:bidi="ar-SA"/>
        </w:rPr>
        <w:tab/>
        <w:t>The FraudCapture Services consist of “commercial items,” as defined at FAR 2.101. In accordance with FAR 12.211-12.212 and DFARS 227.7102-4 and 227.7202-4, as applicable, the rights of the U.S. Government to use, modify, reproduce, release, perform, display, or disclose commercial computer software, commercial computer software documentation, and technical data furnished in connection with the Services shall be governed solely by the terms and conditions of the Terms.</w:t>
      </w:r>
      <w:r w:rsidRPr="002C1915">
        <w:rPr>
          <w:rFonts w:eastAsia="Calibri" w:cs="Arial"/>
          <w:b/>
          <w:bCs/>
          <w:color w:val="auto"/>
          <w:kern w:val="32"/>
          <w:szCs w:val="22"/>
          <w:lang w:bidi="ar-SA"/>
        </w:rPr>
        <w:t xml:space="preserve"> </w:t>
      </w:r>
    </w:p>
    <w:p w14:paraId="69D0120C" w14:textId="77777777" w:rsidR="002C1915" w:rsidRPr="002C1915" w:rsidRDefault="002C1915" w:rsidP="00C245FC">
      <w:pPr>
        <w:widowControl w:val="0"/>
        <w:suppressAutoHyphens/>
        <w:jc w:val="both"/>
        <w:outlineLvl w:val="0"/>
        <w:rPr>
          <w:rFonts w:eastAsia="Times New Roman" w:cs="Arial"/>
          <w:b/>
          <w:bCs/>
          <w:color w:val="auto"/>
          <w:szCs w:val="22"/>
          <w:lang w:bidi="ar-SA"/>
        </w:rPr>
      </w:pPr>
    </w:p>
    <w:p w14:paraId="3BDE2588" w14:textId="77777777" w:rsidR="00C245FC" w:rsidRDefault="00C245FC" w:rsidP="00C245FC">
      <w:pPr>
        <w:widowControl w:val="0"/>
        <w:suppressAutoHyphens/>
        <w:jc w:val="both"/>
        <w:outlineLvl w:val="0"/>
        <w:rPr>
          <w:rFonts w:eastAsia="Times New Roman" w:cs="Arial"/>
          <w:b/>
          <w:bCs/>
          <w:color w:val="auto"/>
          <w:szCs w:val="22"/>
          <w:lang w:bidi="ar-SA"/>
        </w:rPr>
      </w:pPr>
    </w:p>
    <w:p w14:paraId="6E514028" w14:textId="2092D410" w:rsidR="002C1915" w:rsidRPr="002C1915" w:rsidRDefault="002C1915" w:rsidP="00C245FC">
      <w:pPr>
        <w:widowControl w:val="0"/>
        <w:suppressAutoHyphens/>
        <w:jc w:val="both"/>
        <w:outlineLvl w:val="0"/>
        <w:rPr>
          <w:rFonts w:eastAsia="Times New Roman" w:cs="Arial"/>
          <w:b/>
          <w:bCs/>
          <w:color w:val="auto"/>
          <w:szCs w:val="22"/>
          <w:lang w:bidi="ar-SA"/>
        </w:rPr>
      </w:pPr>
      <w:r w:rsidRPr="002C1915">
        <w:rPr>
          <w:rFonts w:eastAsia="Times New Roman" w:cs="Arial"/>
          <w:b/>
          <w:bCs/>
          <w:color w:val="auto"/>
          <w:szCs w:val="22"/>
          <w:lang w:bidi="ar-SA"/>
        </w:rPr>
        <w:t>SECTION 10. CONFIDENTIALITY</w:t>
      </w:r>
    </w:p>
    <w:p w14:paraId="3E172AA7" w14:textId="77777777" w:rsidR="002C1915" w:rsidRPr="002C1915" w:rsidRDefault="002C1915" w:rsidP="00C245FC">
      <w:pPr>
        <w:widowControl w:val="0"/>
        <w:suppressAutoHyphens/>
        <w:jc w:val="both"/>
        <w:outlineLvl w:val="0"/>
        <w:rPr>
          <w:rFonts w:eastAsia="Times New Roman" w:cs="Arial"/>
          <w:bCs/>
          <w:color w:val="auto"/>
          <w:szCs w:val="22"/>
          <w:lang w:bidi="ar-SA"/>
        </w:rPr>
      </w:pPr>
      <w:bookmarkStart w:id="0" w:name="_Ref468771905"/>
    </w:p>
    <w:p w14:paraId="19CC26B5" w14:textId="77777777" w:rsidR="002C1915" w:rsidRPr="002C1915" w:rsidRDefault="002C1915" w:rsidP="00C245FC">
      <w:pPr>
        <w:widowControl w:val="0"/>
        <w:suppressAutoHyphens/>
        <w:ind w:left="720" w:hanging="720"/>
        <w:jc w:val="both"/>
        <w:outlineLvl w:val="0"/>
        <w:rPr>
          <w:rFonts w:eastAsia="Times New Roman" w:cs="Arial"/>
          <w:bCs/>
          <w:color w:val="auto"/>
          <w:szCs w:val="22"/>
          <w:lang w:bidi="ar-SA"/>
        </w:rPr>
      </w:pPr>
      <w:r w:rsidRPr="002C1915">
        <w:rPr>
          <w:rFonts w:eastAsia="Times New Roman" w:cs="Arial"/>
          <w:bCs/>
          <w:color w:val="auto"/>
          <w:szCs w:val="22"/>
          <w:lang w:bidi="ar-SA"/>
        </w:rPr>
        <w:t>10.1</w:t>
      </w:r>
      <w:r w:rsidRPr="002C1915">
        <w:rPr>
          <w:rFonts w:eastAsia="Times New Roman" w:cs="Arial"/>
          <w:bCs/>
          <w:color w:val="auto"/>
          <w:szCs w:val="22"/>
          <w:lang w:bidi="ar-SA"/>
        </w:rPr>
        <w:tab/>
        <w:t xml:space="preserve">The following shall be added to the definition of “Confidential Information” in the Master Agreement. Confidential Information shall also include all non-public Gainwell information provided, displayed, or made available by Gainwell under the Terms, Participating Agreement and/or Order which would be reasonably understood to be confidential under the circumstances of disclosure, or that is marked, designated, or communicated by Gainwell to Participating Entity to be confidential. Confidential Information of Gainwell includes without limitation all materials, processes and process flows, programs, software systems and documentation, information management systems, code, logic, analytical methodologies and algorithms, reports, analyses, data, associated proprietary forms of data organization and reports, all Gainwell IP (as defined below), or any other information, or other work product whether or not disclosed to Participating Entity by or on behalf of Gainwell. Gainwell intellectual property (“Gainwell IP”) means, collectively, Gainwell’s analyses, tools, designs, database rights, processes and process flows, programs, software, materials, works of authorship, inventions (whether or not patentable), trade secrets, patents, trademarks, trade names, systems and documentation, analytical methodologies and algorithms, information management systems, associated proprietary forms of data organization, whether or not confidential, all enhancements, modifications, improvements or derivatives thereof, and all intellectual property and proprietary rights whether arising by operation of law, contract, license, or otherwise in and to the foregoing.  In the event of a state or federal open records or freedom of information act request for disclosure of any Confidential Information related to or arising out of the Terms, the Master Agreement, Participating Addendum or an Service Level Agreement, Participating Entity shall provide written notice to Gainwell to allow Gainwell the opportunity to respond to the open records  or other freedom of information act requester and protect any Confidential Information. </w:t>
      </w:r>
    </w:p>
    <w:bookmarkEnd w:id="0"/>
    <w:p w14:paraId="47F59FA8" w14:textId="77777777" w:rsidR="002C1915" w:rsidRPr="002C1915" w:rsidRDefault="002C1915" w:rsidP="005128DD">
      <w:pPr>
        <w:widowControl w:val="0"/>
        <w:suppressAutoHyphens/>
        <w:rPr>
          <w:rFonts w:eastAsia="Calibri" w:cs="Arial"/>
          <w:bCs/>
          <w:color w:val="auto"/>
          <w:kern w:val="32"/>
          <w:szCs w:val="22"/>
          <w:lang w:bidi="ar-SA"/>
        </w:rPr>
      </w:pPr>
      <w:r w:rsidRPr="002C1915">
        <w:rPr>
          <w:rFonts w:eastAsia="Calibri" w:cs="Arial"/>
          <w:bCs/>
          <w:color w:val="auto"/>
          <w:kern w:val="32"/>
          <w:szCs w:val="22"/>
          <w:lang w:bidi="ar-SA"/>
        </w:rPr>
        <w:br w:type="page"/>
      </w:r>
    </w:p>
    <w:p w14:paraId="34FAC8D3" w14:textId="77777777" w:rsidR="002C1915" w:rsidRPr="002C1915" w:rsidRDefault="002C1915" w:rsidP="00F55AC1">
      <w:pPr>
        <w:widowControl w:val="0"/>
        <w:suppressAutoHyphens/>
        <w:jc w:val="center"/>
        <w:outlineLvl w:val="5"/>
        <w:rPr>
          <w:rFonts w:ascii="Arial Bold" w:hAnsi="Arial Bold" w:hint="eastAsia"/>
          <w:b/>
          <w:color w:val="2B3A44"/>
          <w:sz w:val="28"/>
        </w:rPr>
      </w:pPr>
      <w:r w:rsidRPr="002C1915">
        <w:rPr>
          <w:rFonts w:ascii="Arial Bold" w:hAnsi="Arial Bold"/>
          <w:b/>
          <w:color w:val="2B3A44"/>
          <w:sz w:val="28"/>
        </w:rPr>
        <w:lastRenderedPageBreak/>
        <w:t>EXHIBIT A</w:t>
      </w:r>
    </w:p>
    <w:p w14:paraId="13F7037F" w14:textId="77777777" w:rsidR="002C1915" w:rsidRPr="002C1915" w:rsidRDefault="002C1915" w:rsidP="00F55AC1">
      <w:pPr>
        <w:widowControl w:val="0"/>
        <w:suppressAutoHyphens/>
        <w:jc w:val="center"/>
        <w:outlineLvl w:val="5"/>
        <w:rPr>
          <w:rFonts w:ascii="Arial Bold" w:hAnsi="Arial Bold" w:hint="eastAsia"/>
          <w:b/>
          <w:color w:val="2B3A44"/>
          <w:sz w:val="28"/>
        </w:rPr>
      </w:pPr>
      <w:r w:rsidRPr="002C1915">
        <w:rPr>
          <w:rFonts w:ascii="Arial Bold" w:hAnsi="Arial Bold"/>
          <w:b/>
          <w:color w:val="2B3A44"/>
          <w:sz w:val="28"/>
        </w:rPr>
        <w:t>Support Services</w:t>
      </w:r>
    </w:p>
    <w:p w14:paraId="064DE580" w14:textId="77777777" w:rsidR="002C1915" w:rsidRPr="002C1915" w:rsidRDefault="002C1915" w:rsidP="00F55AC1">
      <w:pPr>
        <w:widowControl w:val="0"/>
        <w:suppressAutoHyphens/>
        <w:jc w:val="center"/>
        <w:outlineLvl w:val="0"/>
        <w:rPr>
          <w:rFonts w:eastAsia="Times New Roman" w:cs="Arial"/>
          <w:b/>
          <w:bCs/>
          <w:color w:val="auto"/>
          <w:szCs w:val="22"/>
          <w:lang w:bidi="ar-SA"/>
        </w:rPr>
      </w:pPr>
    </w:p>
    <w:p w14:paraId="756A021D" w14:textId="77777777" w:rsidR="002C1915" w:rsidRPr="002C1915" w:rsidRDefault="002C1915" w:rsidP="00F55AC1">
      <w:pPr>
        <w:widowControl w:val="0"/>
        <w:numPr>
          <w:ilvl w:val="0"/>
          <w:numId w:val="72"/>
        </w:numPr>
        <w:suppressAutoHyphens/>
        <w:ind w:left="0"/>
        <w:rPr>
          <w:rFonts w:eastAsia="Calibri" w:cs="Arial"/>
          <w:b/>
          <w:bCs/>
          <w:color w:val="auto"/>
          <w:kern w:val="32"/>
          <w:szCs w:val="22"/>
          <w:lang w:bidi="ar-SA"/>
        </w:rPr>
      </w:pPr>
      <w:r w:rsidRPr="002C1915">
        <w:rPr>
          <w:rFonts w:eastAsia="Calibri" w:cs="Arial"/>
          <w:b/>
          <w:bCs/>
          <w:color w:val="auto"/>
          <w:kern w:val="32"/>
          <w:szCs w:val="22"/>
          <w:u w:val="single"/>
          <w:lang w:bidi="ar-SA"/>
        </w:rPr>
        <w:t>Definitions</w:t>
      </w:r>
      <w:r w:rsidRPr="002C1915">
        <w:rPr>
          <w:rFonts w:eastAsia="Calibri" w:cs="Arial"/>
          <w:b/>
          <w:bCs/>
          <w:color w:val="auto"/>
          <w:kern w:val="32"/>
          <w:szCs w:val="22"/>
          <w:lang w:bidi="ar-SA"/>
        </w:rPr>
        <w:t xml:space="preserve">. </w:t>
      </w:r>
    </w:p>
    <w:p w14:paraId="7EE00F96" w14:textId="77777777" w:rsidR="002C1915" w:rsidRPr="002C1915" w:rsidRDefault="002C1915" w:rsidP="00F55AC1">
      <w:pPr>
        <w:widowControl w:val="0"/>
        <w:suppressAutoHyphens/>
        <w:ind w:right="-36"/>
        <w:jc w:val="both"/>
        <w:outlineLvl w:val="0"/>
        <w:rPr>
          <w:rFonts w:eastAsia="Calibri" w:cs="Arial"/>
          <w:bCs/>
          <w:color w:val="auto"/>
          <w:kern w:val="32"/>
          <w:szCs w:val="22"/>
          <w:lang w:bidi="ar-SA"/>
        </w:rPr>
      </w:pPr>
    </w:p>
    <w:p w14:paraId="74C2F3D6" w14:textId="77777777" w:rsidR="002C1915" w:rsidRPr="002C1915" w:rsidRDefault="002C1915" w:rsidP="00F55AC1">
      <w:pPr>
        <w:widowControl w:val="0"/>
        <w:suppressAutoHyphens/>
        <w:ind w:left="1440" w:right="-36" w:hanging="720"/>
        <w:jc w:val="both"/>
        <w:outlineLvl w:val="0"/>
        <w:rPr>
          <w:rFonts w:eastAsia="Calibri" w:cs="Arial"/>
          <w:bCs/>
          <w:color w:val="auto"/>
          <w:kern w:val="32"/>
          <w:szCs w:val="22"/>
          <w:lang w:bidi="ar-SA"/>
        </w:rPr>
      </w:pPr>
      <w:r w:rsidRPr="002C1915">
        <w:rPr>
          <w:rFonts w:eastAsia="Calibri" w:cs="Arial"/>
          <w:bCs/>
          <w:color w:val="auto"/>
          <w:kern w:val="32"/>
          <w:szCs w:val="22"/>
          <w:lang w:bidi="ar-SA"/>
        </w:rPr>
        <w:t xml:space="preserve">(a) </w:t>
      </w:r>
      <w:r w:rsidRPr="002C1915">
        <w:rPr>
          <w:rFonts w:eastAsia="Calibri" w:cs="Arial"/>
          <w:bCs/>
          <w:color w:val="auto"/>
          <w:kern w:val="32"/>
          <w:szCs w:val="22"/>
          <w:lang w:bidi="ar-SA"/>
        </w:rPr>
        <w:tab/>
      </w:r>
      <w:r w:rsidRPr="002C1915">
        <w:rPr>
          <w:rFonts w:eastAsia="Calibri" w:cs="Arial"/>
          <w:b/>
          <w:bCs/>
          <w:color w:val="auto"/>
          <w:kern w:val="32"/>
          <w:szCs w:val="22"/>
          <w:lang w:bidi="ar-SA"/>
        </w:rPr>
        <w:t>Corporate Holidays</w:t>
      </w:r>
      <w:r w:rsidRPr="002C1915">
        <w:rPr>
          <w:rFonts w:eastAsia="Calibri" w:cs="Arial"/>
          <w:bCs/>
          <w:color w:val="auto"/>
          <w:kern w:val="32"/>
          <w:szCs w:val="22"/>
          <w:lang w:bidi="ar-SA"/>
        </w:rPr>
        <w:t xml:space="preserve"> means those holidays for which Gainwell offices are currently scheduled to close for business including New Year’s Day, Memorial Day, Independence Day, Labor Day, Thanksgiving Day (and the following workday), and Christmas Day. Holidays that fall on a Saturday are generally observed on the preceding Friday; holidays that fall on a Sunday are generally observed on the following Monday.</w:t>
      </w:r>
      <w:r w:rsidRPr="002C1915" w:rsidDel="003E2154">
        <w:rPr>
          <w:rFonts w:eastAsia="Calibri" w:cs="Arial"/>
          <w:bCs/>
          <w:color w:val="auto"/>
          <w:kern w:val="32"/>
          <w:szCs w:val="22"/>
          <w:lang w:bidi="ar-SA"/>
        </w:rPr>
        <w:t xml:space="preserve"> </w:t>
      </w:r>
    </w:p>
    <w:p w14:paraId="76114CCE" w14:textId="77777777" w:rsidR="002C1915" w:rsidRPr="002C1915" w:rsidRDefault="002C1915" w:rsidP="00F55AC1">
      <w:pPr>
        <w:widowControl w:val="0"/>
        <w:suppressAutoHyphens/>
        <w:ind w:left="1440" w:right="-36" w:hanging="720"/>
        <w:jc w:val="both"/>
        <w:outlineLvl w:val="0"/>
        <w:rPr>
          <w:rFonts w:eastAsia="Calibri" w:cs="Arial"/>
          <w:bCs/>
          <w:color w:val="auto"/>
          <w:kern w:val="32"/>
          <w:szCs w:val="22"/>
          <w:lang w:bidi="ar-SA"/>
        </w:rPr>
      </w:pPr>
    </w:p>
    <w:p w14:paraId="10BC629D" w14:textId="77777777" w:rsidR="002C1915" w:rsidRPr="002C1915" w:rsidRDefault="002C1915" w:rsidP="00F55AC1">
      <w:pPr>
        <w:widowControl w:val="0"/>
        <w:suppressAutoHyphens/>
        <w:ind w:left="1440" w:right="-36" w:hanging="720"/>
        <w:jc w:val="both"/>
        <w:outlineLvl w:val="0"/>
        <w:rPr>
          <w:rFonts w:eastAsia="Calibri" w:cs="Arial"/>
          <w:bCs/>
          <w:color w:val="auto"/>
          <w:kern w:val="32"/>
          <w:szCs w:val="22"/>
          <w:lang w:bidi="ar-SA"/>
        </w:rPr>
      </w:pPr>
      <w:r w:rsidRPr="002C1915">
        <w:rPr>
          <w:rFonts w:eastAsia="Calibri" w:cs="Arial"/>
          <w:bCs/>
          <w:color w:val="auto"/>
          <w:kern w:val="32"/>
          <w:szCs w:val="22"/>
          <w:lang w:bidi="ar-SA"/>
        </w:rPr>
        <w:t xml:space="preserve">(b) </w:t>
      </w:r>
      <w:r w:rsidRPr="002C1915">
        <w:rPr>
          <w:rFonts w:eastAsia="Calibri" w:cs="Arial"/>
          <w:bCs/>
          <w:color w:val="auto"/>
          <w:kern w:val="32"/>
          <w:szCs w:val="22"/>
          <w:lang w:bidi="ar-SA"/>
        </w:rPr>
        <w:tab/>
      </w:r>
      <w:r w:rsidRPr="002C1915">
        <w:rPr>
          <w:rFonts w:eastAsia="Calibri" w:cs="Arial"/>
          <w:b/>
          <w:bCs/>
          <w:color w:val="auto"/>
          <w:kern w:val="32"/>
          <w:szCs w:val="22"/>
          <w:lang w:bidi="ar-SA"/>
        </w:rPr>
        <w:t>Participating Entity Contact</w:t>
      </w:r>
      <w:r w:rsidRPr="002C1915">
        <w:rPr>
          <w:rFonts w:eastAsia="Calibri" w:cs="Arial"/>
          <w:bCs/>
          <w:color w:val="auto"/>
          <w:kern w:val="32"/>
          <w:szCs w:val="22"/>
          <w:lang w:bidi="ar-SA"/>
        </w:rPr>
        <w:t xml:space="preserve"> means representative of Participating Entity who: (i) has technical skills sufficient to operate and understand the technical aspects of the FraudCapture Platform; and (ii) is designated by Participating Entity to serve as a primary point of contact for general purposes of Participating Entity’s receipt of the support services and for purposes of initiating Issue Reports (and coordinating with Gainwell regarding resolution of the same). </w:t>
      </w:r>
    </w:p>
    <w:p w14:paraId="261FEA8B" w14:textId="77777777" w:rsidR="002C1915" w:rsidRPr="002C1915" w:rsidRDefault="002C1915" w:rsidP="00F55AC1">
      <w:pPr>
        <w:widowControl w:val="0"/>
        <w:suppressAutoHyphens/>
        <w:ind w:left="1440" w:hanging="720"/>
        <w:jc w:val="both"/>
        <w:outlineLvl w:val="0"/>
        <w:rPr>
          <w:rFonts w:eastAsia="Calibri" w:cs="Arial"/>
          <w:bCs/>
          <w:color w:val="auto"/>
          <w:kern w:val="32"/>
          <w:szCs w:val="22"/>
          <w:lang w:bidi="ar-SA"/>
        </w:rPr>
      </w:pPr>
    </w:p>
    <w:p w14:paraId="3175913E" w14:textId="77777777" w:rsidR="002C1915" w:rsidRPr="002C1915" w:rsidRDefault="002C1915" w:rsidP="00F55AC1">
      <w:pPr>
        <w:widowControl w:val="0"/>
        <w:suppressAutoHyphens/>
        <w:ind w:left="1440" w:hanging="720"/>
        <w:jc w:val="both"/>
        <w:outlineLvl w:val="0"/>
        <w:rPr>
          <w:rFonts w:eastAsia="Calibri" w:cs="Arial"/>
          <w:bCs/>
          <w:color w:val="auto"/>
          <w:kern w:val="32"/>
          <w:szCs w:val="22"/>
          <w:lang w:bidi="ar-SA"/>
        </w:rPr>
      </w:pPr>
      <w:r w:rsidRPr="002C1915">
        <w:rPr>
          <w:rFonts w:eastAsia="Calibri" w:cs="Arial"/>
          <w:bCs/>
          <w:color w:val="auto"/>
          <w:kern w:val="32"/>
          <w:szCs w:val="22"/>
          <w:lang w:bidi="ar-SA"/>
        </w:rPr>
        <w:t xml:space="preserve">(c) </w:t>
      </w:r>
      <w:r w:rsidRPr="002C1915">
        <w:rPr>
          <w:rFonts w:eastAsia="Calibri" w:cs="Arial"/>
          <w:bCs/>
          <w:color w:val="auto"/>
          <w:kern w:val="32"/>
          <w:szCs w:val="22"/>
          <w:lang w:bidi="ar-SA"/>
        </w:rPr>
        <w:tab/>
      </w:r>
      <w:r w:rsidRPr="002C1915">
        <w:rPr>
          <w:rFonts w:eastAsia="Calibri" w:cs="Arial"/>
          <w:b/>
          <w:bCs/>
          <w:color w:val="auto"/>
          <w:kern w:val="32"/>
          <w:szCs w:val="22"/>
          <w:lang w:bidi="ar-SA"/>
        </w:rPr>
        <w:t>Issue</w:t>
      </w:r>
      <w:r w:rsidRPr="002C1915">
        <w:rPr>
          <w:rFonts w:eastAsia="Calibri" w:cs="Arial"/>
          <w:bCs/>
          <w:color w:val="auto"/>
          <w:kern w:val="32"/>
          <w:szCs w:val="22"/>
          <w:lang w:bidi="ar-SA"/>
        </w:rPr>
        <w:t xml:space="preserve"> means an issue with the FraudCapture Platform functionality or operation.</w:t>
      </w:r>
    </w:p>
    <w:p w14:paraId="0651BA97" w14:textId="77777777" w:rsidR="002C1915" w:rsidRPr="002C1915" w:rsidRDefault="002C1915" w:rsidP="00F55AC1">
      <w:pPr>
        <w:widowControl w:val="0"/>
        <w:suppressAutoHyphens/>
        <w:ind w:left="1440" w:hanging="720"/>
        <w:jc w:val="both"/>
        <w:outlineLvl w:val="0"/>
        <w:rPr>
          <w:rFonts w:eastAsia="Calibri" w:cs="Arial"/>
          <w:bCs/>
          <w:color w:val="auto"/>
          <w:kern w:val="32"/>
          <w:szCs w:val="22"/>
          <w:lang w:bidi="ar-SA"/>
        </w:rPr>
      </w:pPr>
    </w:p>
    <w:p w14:paraId="086FD5C7" w14:textId="77777777" w:rsidR="002C1915" w:rsidRPr="002C1915" w:rsidRDefault="002C1915" w:rsidP="00F55AC1">
      <w:pPr>
        <w:widowControl w:val="0"/>
        <w:suppressAutoHyphens/>
        <w:ind w:left="1440" w:hanging="720"/>
        <w:jc w:val="both"/>
        <w:outlineLvl w:val="0"/>
        <w:rPr>
          <w:rFonts w:eastAsia="Calibri" w:cs="Arial"/>
          <w:bCs/>
          <w:color w:val="auto"/>
          <w:kern w:val="32"/>
          <w:szCs w:val="22"/>
          <w:lang w:bidi="ar-SA"/>
        </w:rPr>
      </w:pPr>
      <w:r w:rsidRPr="002C1915">
        <w:rPr>
          <w:rFonts w:eastAsia="Calibri" w:cs="Arial"/>
          <w:bCs/>
          <w:color w:val="auto"/>
          <w:kern w:val="32"/>
          <w:szCs w:val="22"/>
          <w:lang w:bidi="ar-SA"/>
        </w:rPr>
        <w:t xml:space="preserve">(d) </w:t>
      </w:r>
      <w:r w:rsidRPr="002C1915">
        <w:rPr>
          <w:rFonts w:eastAsia="Calibri" w:cs="Arial"/>
          <w:bCs/>
          <w:color w:val="auto"/>
          <w:kern w:val="32"/>
          <w:szCs w:val="22"/>
          <w:lang w:bidi="ar-SA"/>
        </w:rPr>
        <w:tab/>
      </w:r>
      <w:r w:rsidRPr="002C1915">
        <w:rPr>
          <w:rFonts w:eastAsia="Calibri" w:cs="Arial"/>
          <w:b/>
          <w:bCs/>
          <w:color w:val="auto"/>
          <w:kern w:val="32"/>
          <w:szCs w:val="22"/>
          <w:lang w:bidi="ar-SA"/>
        </w:rPr>
        <w:t>Issue Report</w:t>
      </w:r>
      <w:r w:rsidRPr="002C1915">
        <w:rPr>
          <w:rFonts w:eastAsia="Calibri" w:cs="Arial"/>
          <w:bCs/>
          <w:color w:val="auto"/>
          <w:kern w:val="32"/>
          <w:szCs w:val="22"/>
          <w:lang w:bidi="ar-SA"/>
        </w:rPr>
        <w:t xml:space="preserve"> means a support request initiated by a Participating Entity Contact that: (i) concerns an Issue; and (ii) provides sufficient written details of the Issue, the circumstances and activities leading up to the Issue, and screen shots or other pertinent information to assist Gainwell in reproducing and investigating the Issue.</w:t>
      </w:r>
    </w:p>
    <w:p w14:paraId="4568D922" w14:textId="77777777" w:rsidR="002C1915" w:rsidRPr="002C1915" w:rsidRDefault="002C1915" w:rsidP="00F55AC1">
      <w:pPr>
        <w:widowControl w:val="0"/>
        <w:suppressAutoHyphens/>
        <w:jc w:val="both"/>
        <w:outlineLvl w:val="0"/>
        <w:rPr>
          <w:rFonts w:eastAsia="Calibri" w:cs="Arial"/>
          <w:bCs/>
          <w:color w:val="auto"/>
          <w:kern w:val="32"/>
          <w:szCs w:val="22"/>
          <w:lang w:bidi="ar-SA"/>
        </w:rPr>
      </w:pPr>
    </w:p>
    <w:p w14:paraId="625EBCC6" w14:textId="77777777" w:rsidR="002C1915" w:rsidRPr="002C1915" w:rsidRDefault="002C1915" w:rsidP="00F55AC1">
      <w:pPr>
        <w:widowControl w:val="0"/>
        <w:suppressAutoHyphens/>
        <w:jc w:val="both"/>
        <w:outlineLvl w:val="0"/>
        <w:rPr>
          <w:rFonts w:eastAsia="Calibri" w:cs="Arial"/>
          <w:b/>
          <w:bCs/>
          <w:color w:val="auto"/>
          <w:kern w:val="32"/>
          <w:szCs w:val="22"/>
          <w:lang w:bidi="ar-SA"/>
        </w:rPr>
      </w:pPr>
      <w:r w:rsidRPr="002C1915">
        <w:rPr>
          <w:rFonts w:eastAsia="Calibri" w:cs="Arial"/>
          <w:b/>
          <w:bCs/>
          <w:color w:val="auto"/>
          <w:kern w:val="32"/>
          <w:szCs w:val="22"/>
          <w:lang w:bidi="ar-SA"/>
        </w:rPr>
        <w:t>2.</w:t>
      </w:r>
      <w:r w:rsidRPr="002C1915">
        <w:rPr>
          <w:rFonts w:eastAsia="Calibri" w:cs="Arial"/>
          <w:b/>
          <w:bCs/>
          <w:color w:val="auto"/>
          <w:kern w:val="32"/>
          <w:szCs w:val="22"/>
          <w:lang w:bidi="ar-SA"/>
        </w:rPr>
        <w:tab/>
      </w:r>
      <w:r w:rsidRPr="002C1915">
        <w:rPr>
          <w:rFonts w:eastAsia="Calibri" w:cs="Arial"/>
          <w:b/>
          <w:bCs/>
          <w:color w:val="auto"/>
          <w:kern w:val="32"/>
          <w:szCs w:val="22"/>
          <w:u w:val="single"/>
          <w:lang w:bidi="ar-SA"/>
        </w:rPr>
        <w:t>Support Services</w:t>
      </w:r>
      <w:r w:rsidRPr="002C1915">
        <w:rPr>
          <w:rFonts w:eastAsia="Calibri" w:cs="Arial"/>
          <w:b/>
          <w:bCs/>
          <w:color w:val="auto"/>
          <w:kern w:val="32"/>
          <w:szCs w:val="22"/>
          <w:lang w:bidi="ar-SA"/>
        </w:rPr>
        <w:t>.</w:t>
      </w:r>
    </w:p>
    <w:p w14:paraId="677CE672" w14:textId="77777777" w:rsidR="002C1915" w:rsidRPr="002C1915" w:rsidRDefault="002C1915" w:rsidP="00F55AC1">
      <w:pPr>
        <w:widowControl w:val="0"/>
        <w:suppressAutoHyphens/>
        <w:jc w:val="both"/>
        <w:outlineLvl w:val="0"/>
        <w:rPr>
          <w:rFonts w:eastAsia="Calibri" w:cs="Arial"/>
          <w:bCs/>
          <w:color w:val="auto"/>
          <w:kern w:val="32"/>
          <w:szCs w:val="22"/>
          <w:lang w:bidi="ar-SA"/>
        </w:rPr>
      </w:pPr>
    </w:p>
    <w:p w14:paraId="3DA1A08B" w14:textId="77777777" w:rsidR="002C1915" w:rsidRPr="002C1915" w:rsidRDefault="002C1915" w:rsidP="00F55AC1">
      <w:pPr>
        <w:widowControl w:val="0"/>
        <w:suppressAutoHyphens/>
        <w:ind w:left="1440" w:hanging="720"/>
        <w:jc w:val="both"/>
        <w:outlineLvl w:val="0"/>
        <w:rPr>
          <w:rFonts w:eastAsia="Times New Roman" w:cs="Arial"/>
          <w:bCs/>
          <w:color w:val="auto"/>
          <w:kern w:val="32"/>
          <w:szCs w:val="22"/>
          <w:lang w:bidi="ar-SA"/>
        </w:rPr>
      </w:pPr>
      <w:r w:rsidRPr="002C1915">
        <w:rPr>
          <w:rFonts w:eastAsia="Calibri" w:cs="Arial"/>
          <w:bCs/>
          <w:color w:val="auto"/>
          <w:kern w:val="32"/>
          <w:szCs w:val="22"/>
          <w:lang w:bidi="ar-SA"/>
        </w:rPr>
        <w:t xml:space="preserve">(a) </w:t>
      </w:r>
      <w:r w:rsidRPr="002C1915">
        <w:rPr>
          <w:rFonts w:eastAsia="Calibri" w:cs="Arial"/>
          <w:bCs/>
          <w:color w:val="auto"/>
          <w:kern w:val="32"/>
          <w:szCs w:val="22"/>
          <w:lang w:bidi="ar-SA"/>
        </w:rPr>
        <w:tab/>
      </w:r>
      <w:r w:rsidRPr="002C1915">
        <w:rPr>
          <w:rFonts w:eastAsia="Calibri" w:cs="Arial"/>
          <w:b/>
          <w:bCs/>
          <w:color w:val="auto"/>
          <w:kern w:val="32"/>
          <w:szCs w:val="22"/>
          <w:lang w:bidi="ar-SA"/>
        </w:rPr>
        <w:t>Issue Reports</w:t>
      </w:r>
      <w:r w:rsidRPr="002C1915">
        <w:rPr>
          <w:rFonts w:eastAsia="Calibri" w:cs="Arial"/>
          <w:bCs/>
          <w:color w:val="auto"/>
          <w:kern w:val="32"/>
          <w:szCs w:val="22"/>
          <w:lang w:bidi="ar-SA"/>
        </w:rPr>
        <w:t xml:space="preserve">. </w:t>
      </w:r>
      <w:r w:rsidRPr="002C1915">
        <w:rPr>
          <w:rFonts w:eastAsia="Times New Roman" w:cs="Arial"/>
          <w:bCs/>
          <w:color w:val="auto"/>
          <w:kern w:val="32"/>
          <w:szCs w:val="22"/>
          <w:lang w:bidi="ar-SA"/>
        </w:rPr>
        <w:t>If someone other than a Participating Entity Contact submits an Issue Report for a matter that does not involve the FraudCapture Platform being completely unavailable or completely non-functional, Gainwell will place such Issue Report on hold until the Participating Entity Contact has confirmed the validity of the Issue Report to Gainwell.</w:t>
      </w:r>
    </w:p>
    <w:p w14:paraId="7C98DB5F" w14:textId="77777777" w:rsidR="002C1915" w:rsidRPr="002C1915" w:rsidRDefault="002C1915" w:rsidP="00F55AC1">
      <w:pPr>
        <w:widowControl w:val="0"/>
        <w:suppressAutoHyphens/>
        <w:ind w:left="1440" w:hanging="720"/>
        <w:jc w:val="both"/>
        <w:outlineLvl w:val="0"/>
        <w:rPr>
          <w:rFonts w:eastAsia="Calibri" w:cs="Arial"/>
          <w:bCs/>
          <w:color w:val="auto"/>
          <w:kern w:val="32"/>
          <w:szCs w:val="22"/>
          <w:lang w:bidi="ar-SA"/>
        </w:rPr>
      </w:pPr>
    </w:p>
    <w:p w14:paraId="0F24B46A" w14:textId="77777777" w:rsidR="002C1915" w:rsidRPr="002C1915" w:rsidRDefault="002C1915" w:rsidP="00F55AC1">
      <w:pPr>
        <w:widowControl w:val="0"/>
        <w:suppressAutoHyphens/>
        <w:ind w:left="1440" w:hanging="720"/>
        <w:jc w:val="both"/>
        <w:outlineLvl w:val="0"/>
        <w:rPr>
          <w:rFonts w:eastAsia="Calibri" w:cs="Arial"/>
          <w:bCs/>
          <w:color w:val="auto"/>
          <w:kern w:val="32"/>
          <w:szCs w:val="22"/>
          <w:lang w:bidi="ar-SA"/>
        </w:rPr>
      </w:pPr>
      <w:r w:rsidRPr="002C1915">
        <w:rPr>
          <w:rFonts w:eastAsia="Calibri" w:cs="Arial"/>
          <w:bCs/>
          <w:color w:val="auto"/>
          <w:kern w:val="32"/>
          <w:szCs w:val="22"/>
          <w:lang w:bidi="ar-SA"/>
        </w:rPr>
        <w:t xml:space="preserve">(b) </w:t>
      </w:r>
      <w:r w:rsidRPr="002C1915">
        <w:rPr>
          <w:rFonts w:eastAsia="Calibri" w:cs="Arial"/>
          <w:bCs/>
          <w:color w:val="auto"/>
          <w:kern w:val="32"/>
          <w:szCs w:val="22"/>
          <w:lang w:bidi="ar-SA"/>
        </w:rPr>
        <w:tab/>
      </w:r>
      <w:r w:rsidRPr="002C1915">
        <w:rPr>
          <w:rFonts w:eastAsia="Calibri" w:cs="Arial"/>
          <w:b/>
          <w:bCs/>
          <w:color w:val="auto"/>
          <w:kern w:val="32"/>
          <w:szCs w:val="22"/>
          <w:lang w:bidi="ar-SA"/>
        </w:rPr>
        <w:t>Support Hours and Support Channels</w:t>
      </w:r>
      <w:r w:rsidRPr="002C1915">
        <w:rPr>
          <w:rFonts w:eastAsia="Calibri" w:cs="Arial"/>
          <w:bCs/>
          <w:color w:val="auto"/>
          <w:kern w:val="32"/>
          <w:szCs w:val="22"/>
          <w:lang w:bidi="ar-SA"/>
        </w:rPr>
        <w:t xml:space="preserve">. </w:t>
      </w:r>
    </w:p>
    <w:p w14:paraId="0E2A0560" w14:textId="77777777" w:rsidR="002C1915" w:rsidRPr="002C1915" w:rsidRDefault="002C1915" w:rsidP="00F55AC1">
      <w:pPr>
        <w:widowControl w:val="0"/>
        <w:suppressAutoHyphens/>
        <w:ind w:left="2160" w:hanging="720"/>
        <w:jc w:val="both"/>
        <w:outlineLvl w:val="0"/>
        <w:rPr>
          <w:rFonts w:eastAsia="Calibri" w:cs="Arial"/>
          <w:bCs/>
          <w:color w:val="auto"/>
          <w:kern w:val="32"/>
          <w:szCs w:val="22"/>
          <w:lang w:bidi="ar-SA"/>
        </w:rPr>
      </w:pPr>
      <w:r w:rsidRPr="002C1915">
        <w:rPr>
          <w:rFonts w:eastAsia="Calibri" w:cs="Arial"/>
          <w:bCs/>
          <w:color w:val="auto"/>
          <w:kern w:val="32"/>
          <w:szCs w:val="22"/>
          <w:lang w:bidi="ar-SA"/>
        </w:rPr>
        <w:t xml:space="preserve">(i) </w:t>
      </w:r>
      <w:r w:rsidRPr="002C1915">
        <w:rPr>
          <w:rFonts w:eastAsia="Calibri" w:cs="Arial"/>
          <w:bCs/>
          <w:color w:val="auto"/>
          <w:kern w:val="32"/>
          <w:szCs w:val="22"/>
          <w:lang w:bidi="ar-SA"/>
        </w:rPr>
        <w:tab/>
        <w:t>Support Hours: 7:00 a.m. to 5:00 p.m. Central Time Monday through Friday, excluding Corporate Holidays.</w:t>
      </w:r>
    </w:p>
    <w:p w14:paraId="7D1CF68F" w14:textId="77777777" w:rsidR="002C1915" w:rsidRPr="002C1915" w:rsidRDefault="002C1915" w:rsidP="00F55AC1">
      <w:pPr>
        <w:widowControl w:val="0"/>
        <w:suppressAutoHyphens/>
        <w:ind w:left="2160" w:hanging="720"/>
        <w:jc w:val="both"/>
        <w:outlineLvl w:val="0"/>
        <w:rPr>
          <w:rFonts w:eastAsia="Calibri" w:cs="Arial"/>
          <w:bCs/>
          <w:color w:val="auto"/>
          <w:kern w:val="32"/>
          <w:szCs w:val="22"/>
          <w:lang w:bidi="ar-SA"/>
        </w:rPr>
      </w:pPr>
    </w:p>
    <w:p w14:paraId="5B2BBF1D" w14:textId="77777777" w:rsidR="002C1915" w:rsidRPr="002C1915" w:rsidRDefault="002C1915" w:rsidP="00F55AC1">
      <w:pPr>
        <w:widowControl w:val="0"/>
        <w:suppressAutoHyphens/>
        <w:ind w:left="2160" w:hanging="720"/>
        <w:outlineLvl w:val="0"/>
        <w:rPr>
          <w:rFonts w:eastAsia="Calibri" w:cs="Arial"/>
          <w:bCs/>
          <w:color w:val="auto"/>
          <w:kern w:val="32"/>
          <w:szCs w:val="22"/>
          <w:lang w:bidi="ar-SA"/>
        </w:rPr>
      </w:pPr>
      <w:r w:rsidRPr="002C1915">
        <w:rPr>
          <w:rFonts w:eastAsia="Calibri" w:cs="Arial"/>
          <w:bCs/>
          <w:color w:val="auto"/>
          <w:kern w:val="32"/>
          <w:szCs w:val="22"/>
          <w:lang w:bidi="ar-SA"/>
        </w:rPr>
        <w:t xml:space="preserve">(ii) </w:t>
      </w:r>
      <w:r w:rsidRPr="002C1915">
        <w:rPr>
          <w:rFonts w:eastAsia="Calibri" w:cs="Arial"/>
          <w:bCs/>
          <w:color w:val="auto"/>
          <w:kern w:val="32"/>
          <w:szCs w:val="22"/>
          <w:lang w:bidi="ar-SA"/>
        </w:rPr>
        <w:tab/>
        <w:t xml:space="preserve">Support Channels:  </w:t>
      </w:r>
    </w:p>
    <w:p w14:paraId="384F9C6B" w14:textId="77777777" w:rsidR="002C1915" w:rsidRPr="002C1915" w:rsidRDefault="002C1915" w:rsidP="00F55AC1">
      <w:pPr>
        <w:widowControl w:val="0"/>
        <w:suppressAutoHyphens/>
        <w:ind w:left="2880" w:hanging="720"/>
        <w:jc w:val="both"/>
        <w:outlineLvl w:val="0"/>
        <w:rPr>
          <w:rFonts w:eastAsia="Calibri" w:cs="Arial"/>
          <w:bCs/>
          <w:color w:val="auto"/>
          <w:kern w:val="32"/>
          <w:szCs w:val="22"/>
          <w:lang w:bidi="ar-SA"/>
        </w:rPr>
      </w:pPr>
      <w:r w:rsidRPr="002C1915">
        <w:rPr>
          <w:rFonts w:eastAsia="Calibri" w:cs="Arial"/>
          <w:bCs/>
          <w:color w:val="auto"/>
          <w:kern w:val="32"/>
          <w:szCs w:val="22"/>
          <w:lang w:bidi="ar-SA"/>
        </w:rPr>
        <w:t xml:space="preserve"> (a)  Telephone: </w:t>
      </w:r>
      <w:r w:rsidRPr="002C1915">
        <w:rPr>
          <w:rFonts w:eastAsia="Times New Roman" w:cs="Arial"/>
          <w:color w:val="auto"/>
          <w:szCs w:val="22"/>
          <w:lang w:bidi="ar-SA"/>
        </w:rPr>
        <w:t>1-855-554-6748</w:t>
      </w:r>
      <w:r w:rsidRPr="002C1915">
        <w:rPr>
          <w:rFonts w:eastAsia="Calibri" w:cs="Arial"/>
          <w:bCs/>
          <w:color w:val="auto"/>
          <w:kern w:val="32"/>
          <w:szCs w:val="22"/>
          <w:lang w:bidi="ar-SA"/>
        </w:rPr>
        <w:tab/>
      </w:r>
      <w:r w:rsidRPr="002C1915">
        <w:rPr>
          <w:rFonts w:eastAsia="Calibri" w:cs="Arial"/>
          <w:bCs/>
          <w:color w:val="auto"/>
          <w:kern w:val="32"/>
          <w:szCs w:val="22"/>
          <w:lang w:bidi="ar-SA"/>
        </w:rPr>
        <w:tab/>
        <w:t xml:space="preserve">  </w:t>
      </w:r>
    </w:p>
    <w:p w14:paraId="61308963" w14:textId="77777777" w:rsidR="002C1915" w:rsidRPr="002C1915" w:rsidRDefault="002C1915" w:rsidP="00F55AC1">
      <w:pPr>
        <w:widowControl w:val="0"/>
        <w:suppressAutoHyphens/>
        <w:ind w:left="2880" w:hanging="720"/>
        <w:jc w:val="both"/>
        <w:outlineLvl w:val="0"/>
        <w:rPr>
          <w:rFonts w:eastAsia="Calibri" w:cs="Arial"/>
          <w:bCs/>
          <w:color w:val="auto"/>
          <w:kern w:val="32"/>
          <w:szCs w:val="22"/>
          <w:lang w:bidi="ar-SA"/>
        </w:rPr>
      </w:pPr>
      <w:r w:rsidRPr="002C1915">
        <w:rPr>
          <w:rFonts w:eastAsia="Calibri" w:cs="Arial"/>
          <w:bCs/>
          <w:color w:val="auto"/>
          <w:kern w:val="32"/>
          <w:szCs w:val="22"/>
          <w:lang w:bidi="ar-SA"/>
        </w:rPr>
        <w:t xml:space="preserve"> (b)  Email: </w:t>
      </w:r>
      <w:hyperlink r:id="rId13" w:history="1">
        <w:r w:rsidRPr="002C1915">
          <w:rPr>
            <w:rFonts w:eastAsia="Calibri" w:cs="Arial"/>
            <w:bCs/>
            <w:color w:val="auto"/>
            <w:kern w:val="32"/>
            <w:szCs w:val="22"/>
            <w:u w:val="single"/>
            <w:lang w:bidi="ar-SA"/>
          </w:rPr>
          <w:t>servicedesk@gainwelltechnologies.com</w:t>
        </w:r>
      </w:hyperlink>
      <w:r w:rsidRPr="002C1915">
        <w:rPr>
          <w:rFonts w:eastAsia="Calibri" w:cs="Arial"/>
          <w:bCs/>
          <w:color w:val="auto"/>
          <w:kern w:val="32"/>
          <w:szCs w:val="22"/>
          <w:lang w:bidi="ar-SA"/>
        </w:rPr>
        <w:t xml:space="preserve"> </w:t>
      </w:r>
    </w:p>
    <w:p w14:paraId="1E1396F9" w14:textId="77777777" w:rsidR="002C1915" w:rsidRPr="002C1915" w:rsidRDefault="002C1915" w:rsidP="00F55AC1">
      <w:pPr>
        <w:widowControl w:val="0"/>
        <w:suppressAutoHyphens/>
        <w:ind w:left="2160" w:hanging="720"/>
        <w:jc w:val="both"/>
        <w:outlineLvl w:val="0"/>
        <w:rPr>
          <w:rFonts w:eastAsia="Calibri" w:cs="Arial"/>
          <w:bCs/>
          <w:color w:val="auto"/>
          <w:kern w:val="32"/>
          <w:szCs w:val="22"/>
          <w:lang w:bidi="ar-SA"/>
        </w:rPr>
      </w:pPr>
    </w:p>
    <w:p w14:paraId="70939988" w14:textId="77777777" w:rsidR="002C1915" w:rsidRPr="002C1915" w:rsidRDefault="002C1915" w:rsidP="00F55AC1">
      <w:pPr>
        <w:widowControl w:val="0"/>
        <w:suppressAutoHyphens/>
        <w:ind w:left="1440"/>
        <w:jc w:val="both"/>
        <w:outlineLvl w:val="0"/>
        <w:rPr>
          <w:rFonts w:eastAsia="Times New Roman" w:cs="Arial"/>
          <w:bCs/>
          <w:color w:val="auto"/>
          <w:kern w:val="32"/>
          <w:szCs w:val="22"/>
          <w:lang w:bidi="ar-SA"/>
        </w:rPr>
      </w:pPr>
      <w:r w:rsidRPr="002C1915">
        <w:rPr>
          <w:rFonts w:eastAsia="Calibri" w:cs="Arial"/>
          <w:bCs/>
          <w:color w:val="auto"/>
          <w:kern w:val="32"/>
          <w:szCs w:val="22"/>
          <w:lang w:bidi="ar-SA"/>
        </w:rPr>
        <w:t>Failure to send an Issue Report to any of the support channels identified above may delay response and resolution times.</w:t>
      </w:r>
    </w:p>
    <w:p w14:paraId="6975F6C2" w14:textId="77777777" w:rsidR="002C1915" w:rsidRPr="002C1915" w:rsidRDefault="002C1915" w:rsidP="00F55AC1">
      <w:pPr>
        <w:widowControl w:val="0"/>
        <w:suppressAutoHyphens/>
        <w:jc w:val="both"/>
        <w:rPr>
          <w:rFonts w:eastAsia="Calibri" w:cs="Arial"/>
          <w:bCs/>
          <w:color w:val="auto"/>
          <w:kern w:val="32"/>
          <w:szCs w:val="22"/>
          <w:lang w:bidi="ar-SA"/>
        </w:rPr>
      </w:pPr>
    </w:p>
    <w:p w14:paraId="6D885028" w14:textId="77777777" w:rsidR="002C1915" w:rsidRPr="002C1915" w:rsidRDefault="002C1915" w:rsidP="00F55AC1">
      <w:pPr>
        <w:widowControl w:val="0"/>
        <w:suppressAutoHyphens/>
        <w:ind w:left="1440" w:hanging="720"/>
        <w:jc w:val="both"/>
        <w:rPr>
          <w:rFonts w:eastAsiaTheme="minorHAnsi" w:cs="Arial"/>
          <w:color w:val="auto"/>
          <w:szCs w:val="22"/>
          <w:lang w:bidi="ar-SA"/>
        </w:rPr>
      </w:pPr>
      <w:r w:rsidRPr="002C1915">
        <w:rPr>
          <w:rFonts w:eastAsia="Calibri" w:cs="Arial"/>
          <w:bCs/>
          <w:color w:val="auto"/>
          <w:kern w:val="32"/>
          <w:szCs w:val="22"/>
          <w:lang w:bidi="ar-SA"/>
        </w:rPr>
        <w:t>(c)</w:t>
      </w:r>
      <w:r w:rsidRPr="002C1915">
        <w:rPr>
          <w:rFonts w:eastAsia="Calibri" w:cs="Arial"/>
          <w:bCs/>
          <w:color w:val="auto"/>
          <w:kern w:val="32"/>
          <w:szCs w:val="22"/>
          <w:lang w:bidi="ar-SA"/>
        </w:rPr>
        <w:tab/>
      </w:r>
      <w:r w:rsidRPr="002C1915">
        <w:rPr>
          <w:rFonts w:eastAsiaTheme="minorHAnsi" w:cs="Arial"/>
          <w:b/>
          <w:color w:val="auto"/>
          <w:szCs w:val="22"/>
          <w:lang w:bidi="ar-SA"/>
        </w:rPr>
        <w:t>Response and Resolution</w:t>
      </w:r>
      <w:r w:rsidRPr="002C1915">
        <w:rPr>
          <w:rFonts w:eastAsiaTheme="minorHAnsi" w:cs="Arial"/>
          <w:color w:val="auto"/>
          <w:szCs w:val="22"/>
          <w:lang w:bidi="ar-SA"/>
        </w:rPr>
        <w:t>. Following Gainwell’s receipt of a properly submitted Issue Report, Gainwell will establish the Issue severity level, assign a tracking id, and proceed in accordance with the following table:</w:t>
      </w:r>
    </w:p>
    <w:p w14:paraId="1597F6F2" w14:textId="77777777" w:rsidR="002C1915" w:rsidRPr="002C1915" w:rsidRDefault="002C1915" w:rsidP="00F55AC1">
      <w:pPr>
        <w:widowControl w:val="0"/>
        <w:suppressAutoHyphens/>
        <w:rPr>
          <w:rFonts w:eastAsiaTheme="minorHAnsi" w:cs="Arial"/>
          <w:color w:val="auto"/>
          <w:szCs w:val="22"/>
          <w:lang w:bidi="ar-SA"/>
        </w:rPr>
      </w:pPr>
    </w:p>
    <w:tbl>
      <w:tblPr>
        <w:tblpPr w:leftFromText="180" w:rightFromText="180" w:vertAnchor="text" w:horzAnchor="page" w:tblpX="1782" w:tblpY="362"/>
        <w:tblW w:w="936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115" w:type="dxa"/>
          <w:right w:w="115" w:type="dxa"/>
        </w:tblCellMar>
        <w:tblLook w:val="0420" w:firstRow="1" w:lastRow="0" w:firstColumn="0" w:lastColumn="0" w:noHBand="0" w:noVBand="1"/>
      </w:tblPr>
      <w:tblGrid>
        <w:gridCol w:w="3577"/>
        <w:gridCol w:w="5783"/>
      </w:tblGrid>
      <w:tr w:rsidR="002C1915" w:rsidRPr="002C1915" w14:paraId="7E52A0B2" w14:textId="77777777" w:rsidTr="0089329E">
        <w:trPr>
          <w:trHeight w:val="234"/>
        </w:trPr>
        <w:tc>
          <w:tcPr>
            <w:tcW w:w="3577" w:type="dxa"/>
            <w:shd w:val="clear" w:color="auto" w:fill="B2E5DD"/>
          </w:tcPr>
          <w:p w14:paraId="01E96701" w14:textId="77777777" w:rsidR="002C1915" w:rsidRPr="002C1915" w:rsidRDefault="002C1915" w:rsidP="00F55AC1">
            <w:pPr>
              <w:widowControl w:val="0"/>
              <w:suppressAutoHyphens/>
              <w:jc w:val="both"/>
              <w:rPr>
                <w:rFonts w:eastAsia="Times New Roman" w:cs="Arial"/>
                <w:b/>
                <w:bCs/>
                <w:color w:val="auto"/>
                <w:szCs w:val="22"/>
                <w:lang w:bidi="ar-SA"/>
              </w:rPr>
            </w:pPr>
            <w:r w:rsidRPr="002C1915">
              <w:rPr>
                <w:rFonts w:eastAsia="Times New Roman" w:cs="Arial"/>
                <w:b/>
                <w:bCs/>
                <w:color w:val="auto"/>
                <w:szCs w:val="22"/>
                <w:lang w:bidi="ar-SA"/>
              </w:rPr>
              <w:t>ISSUE SEVERITY LEVEL</w:t>
            </w:r>
          </w:p>
        </w:tc>
        <w:tc>
          <w:tcPr>
            <w:tcW w:w="5783" w:type="dxa"/>
            <w:shd w:val="clear" w:color="auto" w:fill="B2E5DD"/>
          </w:tcPr>
          <w:p w14:paraId="7221309B" w14:textId="77777777" w:rsidR="002C1915" w:rsidRPr="002C1915" w:rsidRDefault="002C1915" w:rsidP="00F55AC1">
            <w:pPr>
              <w:widowControl w:val="0"/>
              <w:suppressAutoHyphens/>
              <w:jc w:val="both"/>
              <w:rPr>
                <w:rFonts w:eastAsia="Times New Roman" w:cs="Arial"/>
                <w:b/>
                <w:bCs/>
                <w:color w:val="auto"/>
                <w:szCs w:val="22"/>
                <w:lang w:bidi="ar-SA"/>
              </w:rPr>
            </w:pPr>
            <w:r w:rsidRPr="002C1915">
              <w:rPr>
                <w:rFonts w:eastAsia="Times New Roman" w:cs="Arial"/>
                <w:b/>
                <w:bCs/>
                <w:color w:val="auto"/>
                <w:szCs w:val="22"/>
                <w:lang w:bidi="ar-SA"/>
              </w:rPr>
              <w:t>RESPONSE TIME AND RESOLUTION TARGETS*</w:t>
            </w:r>
          </w:p>
        </w:tc>
      </w:tr>
      <w:tr w:rsidR="002C1915" w:rsidRPr="002C1915" w14:paraId="6A2E8CB4" w14:textId="77777777" w:rsidTr="0089329E">
        <w:tc>
          <w:tcPr>
            <w:tcW w:w="3577" w:type="dxa"/>
            <w:shd w:val="clear" w:color="auto" w:fill="auto"/>
          </w:tcPr>
          <w:p w14:paraId="42EBBD48" w14:textId="77777777" w:rsidR="002C1915" w:rsidRPr="002C1915" w:rsidRDefault="002C1915" w:rsidP="00F55AC1">
            <w:pPr>
              <w:widowControl w:val="0"/>
              <w:suppressAutoHyphens/>
              <w:contextualSpacing/>
              <w:jc w:val="both"/>
              <w:rPr>
                <w:rFonts w:eastAsia="Times New Roman" w:cs="Arial"/>
                <w:color w:val="auto"/>
                <w:szCs w:val="22"/>
                <w:lang w:bidi="ar-SA"/>
              </w:rPr>
            </w:pPr>
            <w:r w:rsidRPr="002C1915">
              <w:rPr>
                <w:rFonts w:eastAsia="Times New Roman" w:cs="Arial"/>
                <w:color w:val="auto"/>
                <w:szCs w:val="22"/>
                <w:lang w:bidi="ar-SA"/>
              </w:rPr>
              <w:t>“</w:t>
            </w:r>
            <w:r w:rsidRPr="002C1915">
              <w:rPr>
                <w:rFonts w:eastAsia="Times New Roman" w:cs="Arial"/>
                <w:b/>
                <w:color w:val="auto"/>
                <w:szCs w:val="22"/>
                <w:lang w:bidi="ar-SA"/>
              </w:rPr>
              <w:t>Severity Level 1 Issue</w:t>
            </w:r>
            <w:r w:rsidRPr="002C1915">
              <w:rPr>
                <w:rFonts w:eastAsia="Times New Roman" w:cs="Arial"/>
                <w:color w:val="auto"/>
                <w:szCs w:val="22"/>
                <w:lang w:bidi="ar-SA"/>
              </w:rPr>
              <w:t>” means a defect or failure that causes the FraudCapture Platform to be inoperable, fail catastrophically or produce incorrect and/or unreliable results.</w:t>
            </w:r>
          </w:p>
          <w:p w14:paraId="68C94D4B" w14:textId="77777777" w:rsidR="002C1915" w:rsidRPr="002C1915" w:rsidRDefault="002C1915" w:rsidP="00F55AC1">
            <w:pPr>
              <w:widowControl w:val="0"/>
              <w:suppressAutoHyphens/>
              <w:jc w:val="both"/>
              <w:rPr>
                <w:rFonts w:eastAsia="Times New Roman" w:cs="Arial"/>
                <w:color w:val="auto"/>
                <w:szCs w:val="22"/>
                <w:lang w:bidi="ar-SA"/>
              </w:rPr>
            </w:pPr>
          </w:p>
        </w:tc>
        <w:tc>
          <w:tcPr>
            <w:tcW w:w="5783" w:type="dxa"/>
            <w:shd w:val="clear" w:color="auto" w:fill="auto"/>
          </w:tcPr>
          <w:p w14:paraId="0DA723CB" w14:textId="77777777" w:rsidR="002C1915" w:rsidRPr="002C1915" w:rsidRDefault="002C1915" w:rsidP="00F55AC1">
            <w:pPr>
              <w:widowControl w:val="0"/>
              <w:suppressAutoHyphens/>
              <w:jc w:val="both"/>
              <w:rPr>
                <w:rFonts w:eastAsia="Times New Roman" w:cs="Arial"/>
                <w:color w:val="auto"/>
                <w:szCs w:val="22"/>
                <w:lang w:bidi="ar-SA"/>
              </w:rPr>
            </w:pPr>
            <w:r w:rsidRPr="002C1915">
              <w:rPr>
                <w:rFonts w:eastAsia="Times New Roman" w:cs="Arial"/>
                <w:b/>
                <w:color w:val="auto"/>
                <w:szCs w:val="22"/>
                <w:lang w:bidi="ar-SA"/>
              </w:rPr>
              <w:t>Severity Level 1 Response and Resolution:</w:t>
            </w:r>
          </w:p>
          <w:p w14:paraId="6014EBA6" w14:textId="77777777" w:rsidR="002C1915" w:rsidRPr="002C1915" w:rsidRDefault="002C1915" w:rsidP="00F55AC1">
            <w:pPr>
              <w:widowControl w:val="0"/>
              <w:suppressAutoHyphens/>
              <w:jc w:val="both"/>
              <w:rPr>
                <w:rFonts w:eastAsia="Times New Roman" w:cs="Arial"/>
                <w:color w:val="auto"/>
                <w:szCs w:val="22"/>
                <w:lang w:bidi="ar-SA"/>
              </w:rPr>
            </w:pPr>
            <w:r w:rsidRPr="002C1915">
              <w:rPr>
                <w:rFonts w:eastAsia="Times New Roman" w:cs="Arial"/>
                <w:b/>
                <w:color w:val="auto"/>
                <w:szCs w:val="22"/>
                <w:lang w:bidi="ar-SA"/>
              </w:rPr>
              <w:t>Response Time</w:t>
            </w:r>
            <w:r w:rsidRPr="002C1915">
              <w:rPr>
                <w:rFonts w:eastAsia="Times New Roman" w:cs="Arial"/>
                <w:color w:val="auto"/>
                <w:szCs w:val="22"/>
                <w:lang w:bidi="ar-SA"/>
              </w:rPr>
              <w:t xml:space="preserve">: Gainwell will use commercially reasonably best efforts to provide a response by telephone within one hour of receipt of a properly submitted Issue Report. </w:t>
            </w:r>
          </w:p>
          <w:p w14:paraId="1DA13565" w14:textId="77777777" w:rsidR="002C1915" w:rsidRPr="002C1915" w:rsidRDefault="002C1915" w:rsidP="00F55AC1">
            <w:pPr>
              <w:widowControl w:val="0"/>
              <w:suppressAutoHyphens/>
              <w:jc w:val="both"/>
              <w:rPr>
                <w:rFonts w:eastAsia="Times New Roman" w:cs="Arial"/>
                <w:noProof/>
                <w:color w:val="auto"/>
                <w:szCs w:val="22"/>
                <w:lang w:bidi="ar-SA"/>
              </w:rPr>
            </w:pPr>
            <w:r w:rsidRPr="002C1915">
              <w:rPr>
                <w:rFonts w:eastAsia="Times New Roman" w:cs="Arial"/>
                <w:b/>
                <w:color w:val="auto"/>
                <w:szCs w:val="22"/>
                <w:lang w:bidi="ar-SA"/>
              </w:rPr>
              <w:t>Resolution Time</w:t>
            </w:r>
            <w:r w:rsidRPr="002C1915">
              <w:rPr>
                <w:rFonts w:eastAsia="Times New Roman" w:cs="Arial"/>
                <w:color w:val="auto"/>
                <w:szCs w:val="22"/>
                <w:lang w:bidi="ar-SA"/>
              </w:rPr>
              <w:t xml:space="preserve">: Gainwell will exercise immediate and continuous efforts to resolve Severity Level 1 problems in less than 48 hours of receipt of a properly submitted Issue Report. Any resolution will be delivered to Participating Entity  as a work-around or as an emergency software fix. </w:t>
            </w:r>
          </w:p>
          <w:p w14:paraId="4C8A215B" w14:textId="77777777" w:rsidR="002C1915" w:rsidRPr="002C1915" w:rsidRDefault="002C1915" w:rsidP="00F55AC1">
            <w:pPr>
              <w:widowControl w:val="0"/>
              <w:suppressAutoHyphens/>
              <w:jc w:val="both"/>
              <w:rPr>
                <w:rFonts w:eastAsia="Times New Roman" w:cs="Arial"/>
                <w:color w:val="auto"/>
                <w:szCs w:val="22"/>
                <w:lang w:bidi="ar-SA"/>
              </w:rPr>
            </w:pPr>
            <w:r w:rsidRPr="002C1915">
              <w:rPr>
                <w:rFonts w:eastAsia="Times New Roman" w:cs="Arial"/>
                <w:color w:val="auto"/>
                <w:szCs w:val="22"/>
                <w:lang w:bidi="ar-SA"/>
              </w:rPr>
              <w:t>If Gainwell delivers an acceptable work-around, the severity classification will drop to Severity Level 3.</w:t>
            </w:r>
          </w:p>
        </w:tc>
      </w:tr>
      <w:tr w:rsidR="002C1915" w:rsidRPr="002C1915" w14:paraId="173E367A" w14:textId="77777777" w:rsidTr="0089329E">
        <w:tc>
          <w:tcPr>
            <w:tcW w:w="3577" w:type="dxa"/>
            <w:shd w:val="clear" w:color="auto" w:fill="auto"/>
          </w:tcPr>
          <w:p w14:paraId="16D8BDC5" w14:textId="77777777" w:rsidR="002C1915" w:rsidRPr="002C1915" w:rsidRDefault="002C1915" w:rsidP="00F55AC1">
            <w:pPr>
              <w:widowControl w:val="0"/>
              <w:suppressAutoHyphens/>
              <w:jc w:val="both"/>
              <w:rPr>
                <w:rFonts w:eastAsia="Times New Roman" w:cs="Arial"/>
                <w:color w:val="auto"/>
                <w:szCs w:val="22"/>
                <w:lang w:bidi="ar-SA"/>
              </w:rPr>
            </w:pPr>
            <w:r w:rsidRPr="002C1915">
              <w:rPr>
                <w:rFonts w:eastAsia="Times New Roman" w:cs="Arial"/>
                <w:color w:val="auto"/>
                <w:szCs w:val="22"/>
                <w:lang w:bidi="ar-SA"/>
              </w:rPr>
              <w:t>“</w:t>
            </w:r>
            <w:r w:rsidRPr="002C1915">
              <w:rPr>
                <w:rFonts w:eastAsia="Times New Roman" w:cs="Arial"/>
                <w:b/>
                <w:color w:val="auto"/>
                <w:szCs w:val="22"/>
                <w:lang w:bidi="ar-SA"/>
              </w:rPr>
              <w:t>Severity Level 2 Issue</w:t>
            </w:r>
            <w:r w:rsidRPr="002C1915">
              <w:rPr>
                <w:rFonts w:eastAsia="Times New Roman" w:cs="Arial"/>
                <w:color w:val="auto"/>
                <w:szCs w:val="22"/>
                <w:lang w:bidi="ar-SA"/>
              </w:rPr>
              <w:t>” means a defect or failure for which the FraudCapture Platform is operable but one or more functions that are frequently used and essential are inoperable without an alternate command or function.</w:t>
            </w:r>
          </w:p>
        </w:tc>
        <w:tc>
          <w:tcPr>
            <w:tcW w:w="5783" w:type="dxa"/>
            <w:shd w:val="clear" w:color="auto" w:fill="auto"/>
          </w:tcPr>
          <w:p w14:paraId="13F4E305" w14:textId="77777777" w:rsidR="002C1915" w:rsidRPr="002C1915" w:rsidRDefault="002C1915" w:rsidP="00F55AC1">
            <w:pPr>
              <w:widowControl w:val="0"/>
              <w:suppressAutoHyphens/>
              <w:jc w:val="both"/>
              <w:rPr>
                <w:rFonts w:eastAsia="Times New Roman" w:cs="Arial"/>
                <w:color w:val="auto"/>
                <w:szCs w:val="22"/>
                <w:lang w:bidi="ar-SA"/>
              </w:rPr>
            </w:pPr>
            <w:r w:rsidRPr="002C1915">
              <w:rPr>
                <w:rFonts w:eastAsia="Times New Roman" w:cs="Arial"/>
                <w:b/>
                <w:bCs/>
                <w:color w:val="auto"/>
                <w:szCs w:val="22"/>
                <w:lang w:bidi="ar-SA"/>
              </w:rPr>
              <w:t>Severity Level 2 Response and Resolution:</w:t>
            </w:r>
          </w:p>
          <w:p w14:paraId="34B5EFFD" w14:textId="77777777" w:rsidR="002C1915" w:rsidRPr="002C1915" w:rsidRDefault="002C1915" w:rsidP="00F55AC1">
            <w:pPr>
              <w:widowControl w:val="0"/>
              <w:suppressAutoHyphens/>
              <w:jc w:val="both"/>
              <w:rPr>
                <w:rFonts w:eastAsia="Times New Roman" w:cs="Arial"/>
                <w:color w:val="auto"/>
                <w:szCs w:val="22"/>
                <w:lang w:bidi="ar-SA"/>
              </w:rPr>
            </w:pPr>
            <w:r w:rsidRPr="002C1915">
              <w:rPr>
                <w:rFonts w:eastAsia="Times New Roman" w:cs="Arial"/>
                <w:b/>
                <w:color w:val="auto"/>
                <w:szCs w:val="22"/>
                <w:lang w:bidi="ar-SA"/>
              </w:rPr>
              <w:t>Response Time</w:t>
            </w:r>
            <w:r w:rsidRPr="002C1915">
              <w:rPr>
                <w:rFonts w:eastAsia="Times New Roman" w:cs="Arial"/>
                <w:color w:val="auto"/>
                <w:szCs w:val="22"/>
                <w:lang w:bidi="ar-SA"/>
              </w:rPr>
              <w:t xml:space="preserve">: Gainwell will provide a response by telephone within four hours of receipt of a properly submitted Issue Report. </w:t>
            </w:r>
          </w:p>
          <w:p w14:paraId="42C48717" w14:textId="77777777" w:rsidR="002C1915" w:rsidRPr="002C1915" w:rsidRDefault="002C1915" w:rsidP="00F55AC1">
            <w:pPr>
              <w:widowControl w:val="0"/>
              <w:suppressAutoHyphens/>
              <w:jc w:val="both"/>
              <w:rPr>
                <w:rFonts w:eastAsia="Times New Roman" w:cs="Arial"/>
                <w:noProof/>
                <w:color w:val="auto"/>
                <w:szCs w:val="22"/>
                <w:lang w:bidi="ar-SA"/>
              </w:rPr>
            </w:pPr>
            <w:r w:rsidRPr="002C1915">
              <w:rPr>
                <w:rFonts w:eastAsia="Times New Roman" w:cs="Arial"/>
                <w:b/>
                <w:color w:val="auto"/>
                <w:szCs w:val="22"/>
                <w:lang w:bidi="ar-SA"/>
              </w:rPr>
              <w:t>Resolution Time</w:t>
            </w:r>
            <w:r w:rsidRPr="002C1915">
              <w:rPr>
                <w:rFonts w:eastAsia="Times New Roman" w:cs="Arial"/>
                <w:color w:val="auto"/>
                <w:szCs w:val="22"/>
                <w:lang w:bidi="ar-SA"/>
              </w:rPr>
              <w:t xml:space="preserve">: Gainwell will exercise immediate and continuous efforts to resolve Severity Level 2 problems within five business days of a properly submitted Issue Report from a Participating Entity  Contact. </w:t>
            </w:r>
          </w:p>
          <w:p w14:paraId="087F5074" w14:textId="77777777" w:rsidR="002C1915" w:rsidRPr="002C1915" w:rsidRDefault="002C1915" w:rsidP="00F55AC1">
            <w:pPr>
              <w:widowControl w:val="0"/>
              <w:suppressAutoHyphens/>
              <w:jc w:val="both"/>
              <w:rPr>
                <w:rFonts w:eastAsia="Times New Roman" w:cs="Arial"/>
                <w:color w:val="auto"/>
                <w:szCs w:val="22"/>
                <w:lang w:bidi="ar-SA"/>
              </w:rPr>
            </w:pPr>
            <w:r w:rsidRPr="002C1915">
              <w:rPr>
                <w:rFonts w:eastAsia="Times New Roman" w:cs="Arial"/>
                <w:color w:val="auto"/>
                <w:szCs w:val="22"/>
                <w:lang w:bidi="ar-SA"/>
              </w:rPr>
              <w:t>If Gainwell delivers an acceptable work-around, the severity classification will drop to a Severity Level 3.</w:t>
            </w:r>
          </w:p>
        </w:tc>
      </w:tr>
      <w:tr w:rsidR="002C1915" w:rsidRPr="002C1915" w14:paraId="56C99E3A" w14:textId="77777777" w:rsidTr="0089329E">
        <w:trPr>
          <w:trHeight w:val="1998"/>
        </w:trPr>
        <w:tc>
          <w:tcPr>
            <w:tcW w:w="3577" w:type="dxa"/>
            <w:shd w:val="clear" w:color="auto" w:fill="auto"/>
          </w:tcPr>
          <w:p w14:paraId="48BCB2F9" w14:textId="77777777" w:rsidR="002C1915" w:rsidRPr="002C1915" w:rsidRDefault="002C1915" w:rsidP="00F55AC1">
            <w:pPr>
              <w:widowControl w:val="0"/>
              <w:suppressAutoHyphens/>
              <w:contextualSpacing/>
              <w:jc w:val="both"/>
              <w:rPr>
                <w:rFonts w:eastAsia="Times New Roman" w:cs="Arial"/>
                <w:color w:val="auto"/>
                <w:szCs w:val="22"/>
                <w:lang w:bidi="ar-SA"/>
              </w:rPr>
            </w:pPr>
            <w:r w:rsidRPr="002C1915">
              <w:rPr>
                <w:rFonts w:eastAsia="Times New Roman" w:cs="Arial"/>
                <w:color w:val="auto"/>
                <w:szCs w:val="22"/>
                <w:lang w:bidi="ar-SA"/>
              </w:rPr>
              <w:t>“</w:t>
            </w:r>
            <w:r w:rsidRPr="002C1915">
              <w:rPr>
                <w:rFonts w:eastAsia="Times New Roman" w:cs="Arial"/>
                <w:b/>
                <w:color w:val="auto"/>
                <w:szCs w:val="22"/>
                <w:lang w:bidi="ar-SA"/>
              </w:rPr>
              <w:t>Severity Level 3 Issue</w:t>
            </w:r>
            <w:r w:rsidRPr="002C1915">
              <w:rPr>
                <w:rFonts w:eastAsia="Times New Roman" w:cs="Arial"/>
                <w:color w:val="auto"/>
                <w:szCs w:val="22"/>
                <w:lang w:bidi="ar-SA"/>
              </w:rPr>
              <w:t xml:space="preserve">” means a defect or failure for which the FraudCapture Platform is operable but inconvenient, producing a situation in which the FraudCapture Platform does not provide a function that is infrequently used or not a core function of the FraudCapture Platform. </w:t>
            </w:r>
          </w:p>
        </w:tc>
        <w:tc>
          <w:tcPr>
            <w:tcW w:w="5783" w:type="dxa"/>
            <w:shd w:val="clear" w:color="auto" w:fill="auto"/>
          </w:tcPr>
          <w:p w14:paraId="0A2ACD55" w14:textId="77777777" w:rsidR="002C1915" w:rsidRPr="002C1915" w:rsidRDefault="002C1915" w:rsidP="00F55AC1">
            <w:pPr>
              <w:widowControl w:val="0"/>
              <w:suppressAutoHyphens/>
              <w:jc w:val="both"/>
              <w:rPr>
                <w:rFonts w:eastAsia="Times New Roman" w:cs="Arial"/>
                <w:color w:val="auto"/>
                <w:szCs w:val="22"/>
                <w:lang w:bidi="ar-SA"/>
              </w:rPr>
            </w:pPr>
            <w:r w:rsidRPr="002C1915">
              <w:rPr>
                <w:rFonts w:eastAsia="Times New Roman" w:cs="Arial"/>
                <w:b/>
                <w:bCs/>
                <w:color w:val="auto"/>
                <w:szCs w:val="22"/>
                <w:lang w:bidi="ar-SA"/>
              </w:rPr>
              <w:t>Severity Level 3 Response and Resolution:</w:t>
            </w:r>
          </w:p>
          <w:p w14:paraId="2713E54F" w14:textId="77777777" w:rsidR="002C1915" w:rsidRPr="002C1915" w:rsidRDefault="002C1915" w:rsidP="00F55AC1">
            <w:pPr>
              <w:widowControl w:val="0"/>
              <w:suppressAutoHyphens/>
              <w:jc w:val="both"/>
              <w:rPr>
                <w:rFonts w:eastAsia="Times New Roman" w:cs="Arial"/>
                <w:color w:val="auto"/>
                <w:szCs w:val="22"/>
                <w:lang w:bidi="ar-SA"/>
              </w:rPr>
            </w:pPr>
            <w:r w:rsidRPr="002C1915">
              <w:rPr>
                <w:rFonts w:eastAsia="Times New Roman" w:cs="Arial"/>
                <w:b/>
                <w:color w:val="auto"/>
                <w:szCs w:val="22"/>
                <w:lang w:bidi="ar-SA"/>
              </w:rPr>
              <w:t>Response Time</w:t>
            </w:r>
            <w:r w:rsidRPr="002C1915">
              <w:rPr>
                <w:rFonts w:eastAsia="Times New Roman" w:cs="Arial"/>
                <w:color w:val="auto"/>
                <w:szCs w:val="22"/>
                <w:lang w:bidi="ar-SA"/>
              </w:rPr>
              <w:t xml:space="preserve">: Gainwell will provide a response by telephone within eight hours of receipt of a properly submitted Issue Report. </w:t>
            </w:r>
          </w:p>
          <w:p w14:paraId="4150E0B7" w14:textId="77777777" w:rsidR="002C1915" w:rsidRPr="002C1915" w:rsidRDefault="002C1915" w:rsidP="00F55AC1">
            <w:pPr>
              <w:widowControl w:val="0"/>
              <w:suppressAutoHyphens/>
              <w:jc w:val="both"/>
              <w:rPr>
                <w:rFonts w:eastAsia="Times New Roman" w:cs="Arial"/>
                <w:color w:val="auto"/>
                <w:szCs w:val="22"/>
                <w:lang w:bidi="ar-SA"/>
              </w:rPr>
            </w:pPr>
            <w:r w:rsidRPr="002C1915">
              <w:rPr>
                <w:rFonts w:eastAsia="Times New Roman" w:cs="Arial"/>
                <w:b/>
                <w:color w:val="auto"/>
                <w:szCs w:val="22"/>
                <w:lang w:bidi="ar-SA"/>
              </w:rPr>
              <w:t>Resolution Time</w:t>
            </w:r>
            <w:r w:rsidRPr="002C1915">
              <w:rPr>
                <w:rFonts w:eastAsia="Times New Roman" w:cs="Arial"/>
                <w:color w:val="auto"/>
                <w:szCs w:val="22"/>
                <w:lang w:bidi="ar-SA"/>
              </w:rPr>
              <w:t>: Gainwell will work to resolve Severity Level 3 problems within 30 business days from receipt of a support request from Participating Entity .</w:t>
            </w:r>
          </w:p>
        </w:tc>
      </w:tr>
      <w:tr w:rsidR="002C1915" w:rsidRPr="002C1915" w14:paraId="1EC6ED07" w14:textId="77777777" w:rsidTr="0089329E">
        <w:trPr>
          <w:trHeight w:val="1998"/>
        </w:trPr>
        <w:tc>
          <w:tcPr>
            <w:tcW w:w="3577" w:type="dxa"/>
            <w:shd w:val="clear" w:color="auto" w:fill="auto"/>
          </w:tcPr>
          <w:p w14:paraId="0FC7F76E" w14:textId="77777777" w:rsidR="002C1915" w:rsidRPr="002C1915" w:rsidRDefault="002C1915" w:rsidP="00F55AC1">
            <w:pPr>
              <w:widowControl w:val="0"/>
              <w:suppressAutoHyphens/>
              <w:contextualSpacing/>
              <w:jc w:val="both"/>
              <w:rPr>
                <w:rFonts w:eastAsia="Times New Roman" w:cs="Arial"/>
                <w:color w:val="auto"/>
                <w:szCs w:val="22"/>
                <w:lang w:bidi="ar-SA"/>
              </w:rPr>
            </w:pPr>
            <w:r w:rsidRPr="002C1915">
              <w:rPr>
                <w:rFonts w:eastAsiaTheme="minorHAnsi" w:cs="Arial"/>
                <w:color w:val="auto"/>
                <w:szCs w:val="22"/>
                <w:lang w:bidi="ar-SA"/>
              </w:rPr>
              <w:t>“</w:t>
            </w:r>
            <w:r w:rsidRPr="002C1915">
              <w:rPr>
                <w:rFonts w:eastAsiaTheme="minorHAnsi" w:cs="Arial"/>
                <w:b/>
                <w:bCs/>
                <w:color w:val="auto"/>
                <w:szCs w:val="22"/>
                <w:lang w:bidi="ar-SA"/>
              </w:rPr>
              <w:t>Severity Level 4 Issue</w:t>
            </w:r>
            <w:r w:rsidRPr="002C1915">
              <w:rPr>
                <w:rFonts w:eastAsiaTheme="minorHAnsi" w:cs="Arial"/>
                <w:color w:val="auto"/>
                <w:szCs w:val="22"/>
                <w:lang w:bidi="ar-SA"/>
              </w:rPr>
              <w:t>” means a defect or failure which is a slight deviation from requirements but does not have a significant impact on the end users, may be cosmetic in nature, and for which a workaround exists. </w:t>
            </w:r>
          </w:p>
        </w:tc>
        <w:tc>
          <w:tcPr>
            <w:tcW w:w="5783" w:type="dxa"/>
            <w:shd w:val="clear" w:color="auto" w:fill="auto"/>
          </w:tcPr>
          <w:p w14:paraId="056C0112" w14:textId="77777777" w:rsidR="002C1915" w:rsidRPr="002C1915" w:rsidRDefault="002C1915" w:rsidP="00F55AC1">
            <w:pPr>
              <w:widowControl w:val="0"/>
              <w:suppressAutoHyphens/>
              <w:jc w:val="both"/>
              <w:rPr>
                <w:rFonts w:eastAsiaTheme="minorHAnsi" w:cs="Arial"/>
                <w:color w:val="auto"/>
                <w:szCs w:val="22"/>
                <w:lang w:bidi="ar-SA"/>
              </w:rPr>
            </w:pPr>
            <w:r w:rsidRPr="002C1915">
              <w:rPr>
                <w:rFonts w:eastAsiaTheme="minorHAnsi" w:cs="Arial"/>
                <w:b/>
                <w:bCs/>
                <w:color w:val="auto"/>
                <w:szCs w:val="22"/>
                <w:lang w:bidi="ar-SA"/>
              </w:rPr>
              <w:t>Severity Level 4 Response and Resolution:</w:t>
            </w:r>
          </w:p>
          <w:p w14:paraId="1B71B54E" w14:textId="77777777" w:rsidR="002C1915" w:rsidRPr="002C1915" w:rsidRDefault="002C1915" w:rsidP="00F55AC1">
            <w:pPr>
              <w:widowControl w:val="0"/>
              <w:suppressAutoHyphens/>
              <w:jc w:val="both"/>
              <w:rPr>
                <w:rFonts w:eastAsiaTheme="minorHAnsi" w:cs="Arial"/>
                <w:color w:val="auto"/>
                <w:szCs w:val="22"/>
                <w:lang w:bidi="ar-SA"/>
              </w:rPr>
            </w:pPr>
            <w:r w:rsidRPr="002C1915">
              <w:rPr>
                <w:rFonts w:eastAsiaTheme="minorHAnsi" w:cs="Arial"/>
                <w:b/>
                <w:bCs/>
                <w:color w:val="auto"/>
                <w:szCs w:val="22"/>
                <w:lang w:bidi="ar-SA"/>
              </w:rPr>
              <w:t>Response Time</w:t>
            </w:r>
            <w:r w:rsidRPr="002C1915">
              <w:rPr>
                <w:rFonts w:eastAsiaTheme="minorHAnsi" w:cs="Arial"/>
                <w:color w:val="auto"/>
                <w:szCs w:val="22"/>
                <w:lang w:bidi="ar-SA"/>
              </w:rPr>
              <w:t xml:space="preserve">: Gainwell will provide a response by telephone within eight hours of receipt of a properly submitted Issue Report. </w:t>
            </w:r>
          </w:p>
          <w:p w14:paraId="744539CA" w14:textId="77777777" w:rsidR="002C1915" w:rsidRPr="002C1915" w:rsidRDefault="002C1915" w:rsidP="00F55AC1">
            <w:pPr>
              <w:widowControl w:val="0"/>
              <w:suppressAutoHyphens/>
              <w:jc w:val="both"/>
              <w:rPr>
                <w:rFonts w:eastAsia="Times New Roman" w:cs="Arial"/>
                <w:b/>
                <w:bCs/>
                <w:color w:val="auto"/>
                <w:szCs w:val="22"/>
                <w:lang w:bidi="ar-SA"/>
              </w:rPr>
            </w:pPr>
            <w:r w:rsidRPr="002C1915">
              <w:rPr>
                <w:rFonts w:eastAsiaTheme="minorHAnsi" w:cs="Arial"/>
                <w:b/>
                <w:bCs/>
                <w:color w:val="auto"/>
                <w:szCs w:val="22"/>
                <w:lang w:bidi="ar-SA"/>
              </w:rPr>
              <w:t>Resolution Time</w:t>
            </w:r>
            <w:r w:rsidRPr="002C1915">
              <w:rPr>
                <w:rFonts w:eastAsiaTheme="minorHAnsi" w:cs="Arial"/>
                <w:color w:val="auto"/>
                <w:szCs w:val="22"/>
                <w:lang w:bidi="ar-SA"/>
              </w:rPr>
              <w:t>: Gainwell will work to resolve Severity Level 4 problems within 60 business days from receipt of a support request from Participating Entity .</w:t>
            </w:r>
          </w:p>
        </w:tc>
      </w:tr>
      <w:tr w:rsidR="002C1915" w:rsidRPr="002C1915" w14:paraId="5336EC2E" w14:textId="77777777" w:rsidTr="0089329E">
        <w:tc>
          <w:tcPr>
            <w:tcW w:w="9360" w:type="dxa"/>
            <w:gridSpan w:val="2"/>
            <w:shd w:val="clear" w:color="auto" w:fill="auto"/>
          </w:tcPr>
          <w:p w14:paraId="507FD5B9" w14:textId="77777777" w:rsidR="002C1915" w:rsidRPr="002C1915" w:rsidRDefault="002C1915" w:rsidP="00F55AC1">
            <w:pPr>
              <w:widowControl w:val="0"/>
              <w:suppressAutoHyphens/>
              <w:jc w:val="both"/>
              <w:rPr>
                <w:rFonts w:eastAsia="Times New Roman" w:cs="Arial"/>
                <w:b/>
                <w:bCs/>
                <w:color w:val="auto"/>
                <w:szCs w:val="22"/>
                <w:lang w:bidi="ar-SA"/>
              </w:rPr>
            </w:pPr>
            <w:r w:rsidRPr="002C1915">
              <w:rPr>
                <w:rFonts w:eastAsia="Times New Roman" w:cs="Arial"/>
                <w:bCs/>
                <w:color w:val="auto"/>
                <w:szCs w:val="22"/>
                <w:lang w:bidi="ar-SA"/>
              </w:rPr>
              <w:t>*For any Issue Report received by Gainwell on a Corporate Holiday or weekend and for which Gainwell has no support obligation on such Corporate Holiday or weekend, the receipt of such Issue Report by Gainwell shall be deemed to occur as of the start of the next Gainwell working day for the purposes of calculating the response and resolution times noted above.</w:t>
            </w:r>
          </w:p>
        </w:tc>
      </w:tr>
    </w:tbl>
    <w:p w14:paraId="7D0F6F9B" w14:textId="77777777" w:rsidR="002C1915" w:rsidRPr="002C1915" w:rsidRDefault="002C1915" w:rsidP="00F55AC1">
      <w:pPr>
        <w:widowControl w:val="0"/>
        <w:suppressAutoHyphens/>
        <w:jc w:val="both"/>
        <w:rPr>
          <w:rFonts w:eastAsia="Calibri" w:cs="Arial"/>
          <w:color w:val="auto"/>
          <w:szCs w:val="22"/>
          <w:lang w:bidi="ar-SA"/>
        </w:rPr>
      </w:pPr>
    </w:p>
    <w:p w14:paraId="543997C6" w14:textId="77777777" w:rsidR="002C1915" w:rsidRPr="002C1915" w:rsidRDefault="002C1915" w:rsidP="00F55AC1">
      <w:pPr>
        <w:widowControl w:val="0"/>
        <w:suppressAutoHyphens/>
        <w:ind w:left="1440" w:hanging="720"/>
        <w:jc w:val="both"/>
        <w:rPr>
          <w:rFonts w:eastAsia="Calibri" w:cs="Arial"/>
          <w:color w:val="auto"/>
          <w:szCs w:val="22"/>
          <w:lang w:bidi="ar-SA"/>
        </w:rPr>
      </w:pPr>
      <w:r w:rsidRPr="002C1915">
        <w:rPr>
          <w:rFonts w:eastAsia="Calibri" w:cs="Arial"/>
          <w:color w:val="auto"/>
          <w:szCs w:val="22"/>
          <w:lang w:bidi="ar-SA"/>
        </w:rPr>
        <w:lastRenderedPageBreak/>
        <w:t xml:space="preserve">(d) </w:t>
      </w:r>
      <w:r w:rsidRPr="002C1915">
        <w:rPr>
          <w:rFonts w:eastAsia="Calibri" w:cs="Arial"/>
          <w:color w:val="auto"/>
          <w:szCs w:val="22"/>
          <w:lang w:bidi="ar-SA"/>
        </w:rPr>
        <w:tab/>
      </w:r>
      <w:r w:rsidRPr="002C1915">
        <w:rPr>
          <w:rFonts w:eastAsia="Calibri" w:cs="Arial"/>
          <w:b/>
          <w:color w:val="auto"/>
          <w:szCs w:val="22"/>
          <w:lang w:bidi="ar-SA"/>
        </w:rPr>
        <w:t>Exclusions</w:t>
      </w:r>
      <w:r w:rsidRPr="002C1915">
        <w:rPr>
          <w:rFonts w:eastAsia="Calibri" w:cs="Arial"/>
          <w:color w:val="auto"/>
          <w:szCs w:val="22"/>
          <w:lang w:bidi="ar-SA"/>
        </w:rPr>
        <w:t>. Gainwell shall have no obligation to support matters or Issues that result from: (a) Participating Entity’s failure to meet the Gainwell system requirements; (b) failure of third party software or telecommunications services; or (c) use of the FraudCapture Platform with hardware, software and/or technology not provided or supported by Gainwell.</w:t>
      </w:r>
    </w:p>
    <w:p w14:paraId="40807A8B" w14:textId="77777777" w:rsidR="002C1915" w:rsidRPr="002C1915" w:rsidRDefault="002C1915" w:rsidP="00F55AC1">
      <w:pPr>
        <w:widowControl w:val="0"/>
        <w:suppressAutoHyphens/>
        <w:ind w:left="1440" w:hanging="720"/>
        <w:jc w:val="both"/>
        <w:rPr>
          <w:rFonts w:eastAsia="Calibri" w:cs="Arial"/>
          <w:color w:val="auto"/>
          <w:szCs w:val="22"/>
          <w:lang w:bidi="ar-SA"/>
        </w:rPr>
      </w:pPr>
    </w:p>
    <w:p w14:paraId="1BEA0AC1" w14:textId="77777777" w:rsidR="002C1915" w:rsidRPr="002C1915" w:rsidRDefault="002C1915" w:rsidP="00F55AC1">
      <w:pPr>
        <w:widowControl w:val="0"/>
        <w:suppressAutoHyphens/>
        <w:ind w:left="1440" w:hanging="720"/>
        <w:jc w:val="both"/>
        <w:rPr>
          <w:rFonts w:eastAsia="Calibri" w:cs="Arial"/>
          <w:color w:val="auto"/>
          <w:szCs w:val="22"/>
          <w:lang w:bidi="ar-SA"/>
        </w:rPr>
      </w:pPr>
      <w:r w:rsidRPr="002C1915">
        <w:rPr>
          <w:rFonts w:eastAsia="Calibri" w:cs="Arial"/>
          <w:color w:val="auto"/>
          <w:szCs w:val="22"/>
          <w:lang w:bidi="ar-SA"/>
        </w:rPr>
        <w:t>(e)</w:t>
      </w:r>
      <w:r w:rsidRPr="002C1915">
        <w:rPr>
          <w:rFonts w:eastAsia="Calibri" w:cs="Arial"/>
          <w:b/>
          <w:color w:val="auto"/>
          <w:szCs w:val="22"/>
          <w:lang w:bidi="ar-SA"/>
        </w:rPr>
        <w:t xml:space="preserve"> </w:t>
      </w:r>
      <w:r w:rsidRPr="002C1915">
        <w:rPr>
          <w:rFonts w:eastAsia="Calibri" w:cs="Arial"/>
          <w:b/>
          <w:color w:val="auto"/>
          <w:szCs w:val="22"/>
          <w:lang w:bidi="ar-SA"/>
        </w:rPr>
        <w:tab/>
        <w:t>Participating Entity Obligations</w:t>
      </w:r>
      <w:r w:rsidRPr="002C1915">
        <w:rPr>
          <w:rFonts w:eastAsia="Calibri" w:cs="Arial"/>
          <w:color w:val="auto"/>
          <w:szCs w:val="22"/>
          <w:lang w:bidi="ar-SA"/>
        </w:rPr>
        <w:t xml:space="preserve">. Participating Entity shall: </w:t>
      </w:r>
    </w:p>
    <w:p w14:paraId="7CAB42EF" w14:textId="77777777" w:rsidR="002C1915" w:rsidRPr="002C1915" w:rsidRDefault="002C1915" w:rsidP="00F55AC1">
      <w:pPr>
        <w:widowControl w:val="0"/>
        <w:suppressAutoHyphens/>
        <w:ind w:left="1440" w:hanging="720"/>
        <w:jc w:val="both"/>
        <w:rPr>
          <w:rFonts w:eastAsia="Calibri" w:cs="Arial"/>
          <w:color w:val="auto"/>
          <w:szCs w:val="22"/>
          <w:lang w:bidi="ar-SA"/>
        </w:rPr>
      </w:pPr>
    </w:p>
    <w:p w14:paraId="5133CD33" w14:textId="77777777" w:rsidR="002C1915" w:rsidRPr="002C1915" w:rsidRDefault="002C1915" w:rsidP="00F55AC1">
      <w:pPr>
        <w:widowControl w:val="0"/>
        <w:suppressAutoHyphens/>
        <w:ind w:left="2160" w:hanging="720"/>
        <w:jc w:val="both"/>
        <w:rPr>
          <w:rFonts w:eastAsia="Calibri" w:cs="Arial"/>
          <w:color w:val="auto"/>
          <w:szCs w:val="22"/>
          <w:lang w:bidi="ar-SA"/>
        </w:rPr>
      </w:pPr>
      <w:r w:rsidRPr="002C1915">
        <w:rPr>
          <w:rFonts w:eastAsia="Calibri" w:cs="Arial"/>
          <w:color w:val="auto"/>
          <w:szCs w:val="22"/>
          <w:lang w:bidi="ar-SA"/>
        </w:rPr>
        <w:t xml:space="preserve">(i)  </w:t>
      </w:r>
      <w:r w:rsidRPr="002C1915">
        <w:rPr>
          <w:rFonts w:eastAsia="Calibri" w:cs="Arial"/>
          <w:color w:val="auto"/>
          <w:szCs w:val="22"/>
          <w:lang w:bidi="ar-SA"/>
        </w:rPr>
        <w:tab/>
        <w:t xml:space="preserve">designate one Participating Entity Contact; </w:t>
      </w:r>
    </w:p>
    <w:p w14:paraId="4B53F977" w14:textId="77777777" w:rsidR="002C1915" w:rsidRPr="002C1915" w:rsidRDefault="002C1915" w:rsidP="00F55AC1">
      <w:pPr>
        <w:widowControl w:val="0"/>
        <w:suppressAutoHyphens/>
        <w:ind w:left="2160" w:hanging="720"/>
        <w:jc w:val="both"/>
        <w:outlineLvl w:val="0"/>
        <w:rPr>
          <w:rFonts w:eastAsia="Calibri" w:cs="Arial"/>
          <w:color w:val="auto"/>
          <w:szCs w:val="22"/>
          <w:lang w:bidi="ar-SA"/>
        </w:rPr>
      </w:pPr>
    </w:p>
    <w:p w14:paraId="6F961F32" w14:textId="77777777" w:rsidR="002C1915" w:rsidRPr="002C1915" w:rsidRDefault="002C1915" w:rsidP="00F55AC1">
      <w:pPr>
        <w:widowControl w:val="0"/>
        <w:suppressAutoHyphens/>
        <w:ind w:left="2160" w:hanging="720"/>
        <w:jc w:val="both"/>
        <w:outlineLvl w:val="0"/>
        <w:rPr>
          <w:rFonts w:eastAsia="Times" w:cs="Arial"/>
          <w:color w:val="auto"/>
          <w:szCs w:val="22"/>
          <w:lang w:bidi="ar-SA"/>
        </w:rPr>
      </w:pPr>
      <w:r w:rsidRPr="002C1915">
        <w:rPr>
          <w:rFonts w:eastAsia="Calibri" w:cs="Arial"/>
          <w:color w:val="auto"/>
          <w:szCs w:val="22"/>
          <w:lang w:bidi="ar-SA"/>
        </w:rPr>
        <w:t xml:space="preserve">(ii) </w:t>
      </w:r>
      <w:r w:rsidRPr="002C1915">
        <w:rPr>
          <w:rFonts w:eastAsia="Calibri" w:cs="Arial"/>
          <w:color w:val="auto"/>
          <w:szCs w:val="22"/>
          <w:lang w:bidi="ar-SA"/>
        </w:rPr>
        <w:tab/>
        <w:t>submit the Participating Entity Contact’s name, company email address, work phone number and mobile phone number to Gainwell at</w:t>
      </w:r>
      <w:r w:rsidRPr="002C1915">
        <w:rPr>
          <w:rFonts w:eastAsia="Times" w:cs="Arial"/>
          <w:color w:val="auto"/>
          <w:szCs w:val="22"/>
          <w:lang w:bidi="ar-SA"/>
        </w:rPr>
        <w:t xml:space="preserve"> servicedesk@gainwelltechnologies.com or such other email address as communicated by Gainwell to Participating Entity; and</w:t>
      </w:r>
    </w:p>
    <w:p w14:paraId="6D37C09D" w14:textId="77777777" w:rsidR="002C1915" w:rsidRPr="002C1915" w:rsidRDefault="002C1915" w:rsidP="00F55AC1">
      <w:pPr>
        <w:widowControl w:val="0"/>
        <w:suppressAutoHyphens/>
        <w:ind w:left="2160" w:hanging="720"/>
        <w:jc w:val="both"/>
        <w:outlineLvl w:val="0"/>
        <w:rPr>
          <w:rFonts w:eastAsia="Times" w:cs="Arial"/>
          <w:color w:val="auto"/>
          <w:szCs w:val="22"/>
          <w:lang w:bidi="ar-SA"/>
        </w:rPr>
      </w:pPr>
    </w:p>
    <w:p w14:paraId="0EE54631" w14:textId="77777777" w:rsidR="002C1915" w:rsidRPr="002C1915" w:rsidRDefault="002C1915" w:rsidP="00F55AC1">
      <w:pPr>
        <w:widowControl w:val="0"/>
        <w:suppressAutoHyphens/>
        <w:ind w:left="2160" w:hanging="720"/>
        <w:jc w:val="both"/>
        <w:outlineLvl w:val="0"/>
        <w:rPr>
          <w:rFonts w:eastAsia="Calibri" w:cs="Arial"/>
          <w:color w:val="auto"/>
          <w:szCs w:val="22"/>
          <w:lang w:bidi="ar-SA"/>
        </w:rPr>
      </w:pPr>
      <w:r w:rsidRPr="002C1915">
        <w:rPr>
          <w:rFonts w:eastAsia="Calibri" w:cs="Arial"/>
          <w:color w:val="auto"/>
          <w:szCs w:val="22"/>
          <w:lang w:bidi="ar-SA"/>
        </w:rPr>
        <w:t xml:space="preserve">(iii) </w:t>
      </w:r>
      <w:r w:rsidRPr="002C1915">
        <w:rPr>
          <w:rFonts w:eastAsia="Calibri" w:cs="Arial"/>
          <w:color w:val="auto"/>
          <w:szCs w:val="22"/>
          <w:lang w:bidi="ar-SA"/>
        </w:rPr>
        <w:tab/>
        <w:t>provide commercially reasonable cooperation and full information to Gainwell with respect to Gainwell’s delivery of the support services and assist Gainwell technical support staff until Issue resolution is attained.</w:t>
      </w:r>
    </w:p>
    <w:p w14:paraId="0CC282B9" w14:textId="77777777" w:rsidR="002C1915" w:rsidRPr="002C1915" w:rsidRDefault="002C1915" w:rsidP="00F55AC1">
      <w:pPr>
        <w:widowControl w:val="0"/>
        <w:suppressAutoHyphens/>
        <w:jc w:val="both"/>
        <w:outlineLvl w:val="0"/>
        <w:rPr>
          <w:rFonts w:eastAsia="Calibri" w:cs="Arial"/>
          <w:color w:val="auto"/>
          <w:szCs w:val="22"/>
          <w:lang w:bidi="ar-SA"/>
        </w:rPr>
      </w:pPr>
    </w:p>
    <w:p w14:paraId="1D1D9A2C" w14:textId="77777777" w:rsidR="002C1915" w:rsidRPr="002C1915" w:rsidRDefault="002C1915" w:rsidP="00F55AC1">
      <w:pPr>
        <w:widowControl w:val="0"/>
        <w:suppressAutoHyphens/>
        <w:ind w:left="720"/>
        <w:jc w:val="both"/>
        <w:outlineLvl w:val="0"/>
        <w:rPr>
          <w:rFonts w:eastAsia="Calibri" w:cs="Arial"/>
          <w:color w:val="auto"/>
          <w:szCs w:val="22"/>
          <w:lang w:bidi="ar-SA"/>
        </w:rPr>
      </w:pPr>
      <w:r w:rsidRPr="002C1915">
        <w:rPr>
          <w:rFonts w:eastAsia="Calibri" w:cs="Arial"/>
          <w:color w:val="auto"/>
          <w:szCs w:val="22"/>
          <w:lang w:bidi="ar-SA"/>
        </w:rPr>
        <w:t xml:space="preserve">Failure by Participating Entity to perform the preceding obligations may result in Gainwell suspending its delivery of the support services and Gainwell’s continued services may be contingent on Participating Entity’s written agreement to pay Gainwell for any additional time that may be incurred by Gainwell to provide the support services. </w:t>
      </w:r>
    </w:p>
    <w:p w14:paraId="13B04ED9" w14:textId="77777777" w:rsidR="002C1915" w:rsidRPr="002C1915" w:rsidRDefault="002C1915" w:rsidP="009F14A9">
      <w:pPr>
        <w:widowControl w:val="0"/>
        <w:suppressAutoHyphens/>
        <w:jc w:val="center"/>
        <w:outlineLvl w:val="5"/>
        <w:rPr>
          <w:rFonts w:ascii="Arial Bold" w:hAnsi="Arial Bold" w:hint="eastAsia"/>
          <w:b/>
          <w:color w:val="2B3A44"/>
          <w:sz w:val="28"/>
        </w:rPr>
      </w:pPr>
      <w:r w:rsidRPr="002C1915">
        <w:rPr>
          <w:rFonts w:eastAsia="Calibri" w:cs="Arial"/>
          <w:b/>
          <w:color w:val="2B3A44"/>
          <w:sz w:val="28"/>
        </w:rPr>
        <w:br w:type="page"/>
      </w:r>
      <w:r w:rsidRPr="002C1915">
        <w:rPr>
          <w:rFonts w:ascii="Arial Bold" w:hAnsi="Arial Bold"/>
          <w:b/>
          <w:color w:val="2B3A44"/>
          <w:sz w:val="28"/>
        </w:rPr>
        <w:lastRenderedPageBreak/>
        <w:t>EXHIBIT B</w:t>
      </w:r>
    </w:p>
    <w:p w14:paraId="6DCD8B88" w14:textId="77777777" w:rsidR="002C1915" w:rsidRPr="002C1915" w:rsidRDefault="002C1915" w:rsidP="009F14A9">
      <w:pPr>
        <w:widowControl w:val="0"/>
        <w:suppressAutoHyphens/>
        <w:jc w:val="center"/>
        <w:outlineLvl w:val="5"/>
        <w:rPr>
          <w:rFonts w:ascii="Arial Bold" w:hAnsi="Arial Bold" w:hint="eastAsia"/>
          <w:b/>
          <w:color w:val="2B3A44"/>
          <w:sz w:val="28"/>
        </w:rPr>
      </w:pPr>
      <w:r w:rsidRPr="002C1915">
        <w:rPr>
          <w:rFonts w:ascii="Arial Bold" w:hAnsi="Arial Bold"/>
          <w:b/>
          <w:color w:val="2B3A44"/>
          <w:sz w:val="28"/>
        </w:rPr>
        <w:t>Service Levels</w:t>
      </w:r>
    </w:p>
    <w:p w14:paraId="016EE329" w14:textId="77777777" w:rsidR="002C1915" w:rsidRPr="002C1915" w:rsidRDefault="002C1915" w:rsidP="009F14A9">
      <w:pPr>
        <w:widowControl w:val="0"/>
        <w:suppressAutoHyphens/>
        <w:jc w:val="center"/>
        <w:rPr>
          <w:rFonts w:eastAsia="Calibri" w:cs="Arial"/>
          <w:b/>
          <w:bCs/>
          <w:color w:val="auto"/>
          <w:szCs w:val="22"/>
          <w:lang w:bidi="ar-SA"/>
        </w:rPr>
      </w:pPr>
    </w:p>
    <w:p w14:paraId="160D4E06" w14:textId="77777777" w:rsidR="002C1915" w:rsidRPr="002C1915" w:rsidRDefault="002C1915" w:rsidP="009F14A9">
      <w:pPr>
        <w:widowControl w:val="0"/>
        <w:suppressAutoHyphens/>
        <w:contextualSpacing/>
        <w:jc w:val="both"/>
        <w:outlineLvl w:val="0"/>
        <w:rPr>
          <w:rFonts w:eastAsiaTheme="minorHAnsi" w:cs="Arial"/>
          <w:b/>
          <w:color w:val="222222"/>
          <w:szCs w:val="22"/>
          <w:shd w:val="clear" w:color="auto" w:fill="FFFFFF"/>
          <w:lang w:bidi="ar-SA"/>
        </w:rPr>
      </w:pPr>
      <w:r w:rsidRPr="002C1915">
        <w:rPr>
          <w:rFonts w:eastAsiaTheme="minorHAnsi" w:cs="Arial"/>
          <w:b/>
          <w:color w:val="222222"/>
          <w:szCs w:val="22"/>
          <w:shd w:val="clear" w:color="auto" w:fill="FFFFFF"/>
          <w:lang w:bidi="ar-SA"/>
        </w:rPr>
        <w:t>1.</w:t>
      </w:r>
      <w:r w:rsidRPr="002C1915">
        <w:rPr>
          <w:rFonts w:eastAsiaTheme="minorHAnsi" w:cs="Arial"/>
          <w:b/>
          <w:color w:val="222222"/>
          <w:szCs w:val="22"/>
          <w:shd w:val="clear" w:color="auto" w:fill="FFFFFF"/>
          <w:lang w:bidi="ar-SA"/>
        </w:rPr>
        <w:tab/>
      </w:r>
      <w:r w:rsidRPr="002C1915">
        <w:rPr>
          <w:rFonts w:eastAsiaTheme="minorHAnsi" w:cs="Arial"/>
          <w:b/>
          <w:color w:val="222222"/>
          <w:szCs w:val="22"/>
          <w:u w:val="single"/>
          <w:shd w:val="clear" w:color="auto" w:fill="FFFFFF"/>
          <w:lang w:bidi="ar-SA"/>
        </w:rPr>
        <w:t>Definitions</w:t>
      </w:r>
      <w:r w:rsidRPr="002C1915">
        <w:rPr>
          <w:rFonts w:eastAsiaTheme="minorHAnsi" w:cs="Arial"/>
          <w:b/>
          <w:color w:val="222222"/>
          <w:szCs w:val="22"/>
          <w:shd w:val="clear" w:color="auto" w:fill="FFFFFF"/>
          <w:lang w:bidi="ar-SA"/>
        </w:rPr>
        <w:t>.</w:t>
      </w:r>
    </w:p>
    <w:p w14:paraId="4BCE9AEF" w14:textId="77777777" w:rsidR="002C1915" w:rsidRPr="002C1915" w:rsidRDefault="002C1915" w:rsidP="009F14A9">
      <w:pPr>
        <w:widowControl w:val="0"/>
        <w:suppressAutoHyphens/>
        <w:ind w:left="720" w:right="115" w:hanging="720"/>
        <w:jc w:val="both"/>
        <w:rPr>
          <w:rFonts w:eastAsiaTheme="minorHAnsi" w:cs="Arial"/>
          <w:color w:val="auto"/>
          <w:szCs w:val="22"/>
          <w:lang w:bidi="ar-SA"/>
        </w:rPr>
      </w:pPr>
      <w:r w:rsidRPr="002C1915">
        <w:rPr>
          <w:rFonts w:eastAsiaTheme="minorHAnsi" w:cs="Arial"/>
          <w:color w:val="222222"/>
          <w:szCs w:val="22"/>
          <w:shd w:val="clear" w:color="auto" w:fill="FFFFFF"/>
          <w:lang w:bidi="ar-SA"/>
        </w:rPr>
        <w:t>(a)</w:t>
      </w:r>
      <w:r w:rsidRPr="002C1915">
        <w:rPr>
          <w:rFonts w:eastAsiaTheme="minorHAnsi" w:cs="Arial"/>
          <w:b/>
          <w:color w:val="222222"/>
          <w:szCs w:val="22"/>
          <w:shd w:val="clear" w:color="auto" w:fill="FFFFFF"/>
          <w:lang w:bidi="ar-SA"/>
        </w:rPr>
        <w:t xml:space="preserve"> </w:t>
      </w:r>
      <w:r w:rsidRPr="002C1915">
        <w:rPr>
          <w:rFonts w:eastAsiaTheme="minorHAnsi" w:cs="Arial"/>
          <w:b/>
          <w:color w:val="222222"/>
          <w:szCs w:val="22"/>
          <w:shd w:val="clear" w:color="auto" w:fill="FFFFFF"/>
          <w:lang w:bidi="ar-SA"/>
        </w:rPr>
        <w:tab/>
      </w:r>
      <w:r w:rsidRPr="002C1915">
        <w:rPr>
          <w:rFonts w:eastAsiaTheme="minorHAnsi" w:cs="Arial"/>
          <w:b/>
          <w:bCs/>
          <w:color w:val="auto"/>
          <w:szCs w:val="22"/>
          <w:lang w:bidi="ar-SA"/>
        </w:rPr>
        <w:t>Available</w:t>
      </w:r>
      <w:r w:rsidRPr="002C1915">
        <w:rPr>
          <w:rFonts w:eastAsiaTheme="minorHAnsi" w:cs="Arial"/>
          <w:color w:val="auto"/>
          <w:szCs w:val="22"/>
          <w:lang w:bidi="ar-SA"/>
        </w:rPr>
        <w:t xml:space="preserve"> means that </w:t>
      </w:r>
      <w:r w:rsidRPr="002C1915">
        <w:rPr>
          <w:rFonts w:eastAsiaTheme="minorHAnsi" w:cs="Arial"/>
          <w:color w:val="auto"/>
          <w:szCs w:val="22"/>
          <w:lang w:val="en-GB" w:bidi="ar-SA"/>
        </w:rPr>
        <w:t xml:space="preserve">(i) </w:t>
      </w:r>
      <w:r w:rsidRPr="002C1915">
        <w:rPr>
          <w:rFonts w:eastAsiaTheme="minorHAnsi" w:cs="Arial"/>
          <w:color w:val="auto"/>
          <w:szCs w:val="22"/>
          <w:lang w:bidi="ar-SA"/>
        </w:rPr>
        <w:t xml:space="preserve">the FraudCapture Platform is performing the processing, data management and related functions; and (ii) the FraudCapture Platform is accessible from the point at which the local area network of the data center in which the FraudCapture Platform resides intersects with the wide area network over which Participating Entity  and its Users access the FraudCapture Platform. </w:t>
      </w:r>
    </w:p>
    <w:p w14:paraId="501A98F4" w14:textId="77777777" w:rsidR="002C1915" w:rsidRPr="002C1915" w:rsidRDefault="002C1915" w:rsidP="009F14A9">
      <w:pPr>
        <w:widowControl w:val="0"/>
        <w:suppressAutoHyphens/>
        <w:ind w:left="720" w:right="115" w:hanging="720"/>
        <w:jc w:val="both"/>
        <w:rPr>
          <w:rFonts w:eastAsiaTheme="minorHAnsi" w:cs="Arial"/>
          <w:color w:val="auto"/>
          <w:szCs w:val="22"/>
          <w:lang w:bidi="ar-SA"/>
        </w:rPr>
      </w:pPr>
    </w:p>
    <w:p w14:paraId="276AADCC" w14:textId="77777777" w:rsidR="002C1915" w:rsidRPr="002C1915" w:rsidRDefault="002C1915" w:rsidP="009F14A9">
      <w:pPr>
        <w:widowControl w:val="0"/>
        <w:numPr>
          <w:ilvl w:val="0"/>
          <w:numId w:val="64"/>
        </w:numPr>
        <w:suppressAutoHyphens/>
        <w:ind w:right="115" w:hanging="720"/>
        <w:jc w:val="both"/>
        <w:rPr>
          <w:rFonts w:eastAsiaTheme="minorHAnsi" w:cs="Arial"/>
          <w:color w:val="auto"/>
          <w:szCs w:val="22"/>
          <w:lang w:bidi="ar-SA"/>
        </w:rPr>
      </w:pPr>
      <w:r w:rsidRPr="002C1915">
        <w:rPr>
          <w:rFonts w:eastAsiaTheme="minorHAnsi" w:cs="Arial"/>
          <w:b/>
          <w:color w:val="auto"/>
          <w:szCs w:val="22"/>
          <w:lang w:bidi="ar-SA"/>
        </w:rPr>
        <w:t>Monthly Uptime</w:t>
      </w:r>
      <w:r w:rsidRPr="002C1915">
        <w:rPr>
          <w:rFonts w:eastAsiaTheme="minorHAnsi" w:cs="Arial"/>
          <w:color w:val="auto"/>
          <w:szCs w:val="22"/>
          <w:lang w:bidi="ar-SA"/>
        </w:rPr>
        <w:t xml:space="preserve"> means the amount of time during which the FraudCapture Platform is Available during each calendar month. </w:t>
      </w:r>
    </w:p>
    <w:p w14:paraId="429A26D4" w14:textId="77777777" w:rsidR="002C1915" w:rsidRPr="002C1915" w:rsidRDefault="002C1915" w:rsidP="009F14A9">
      <w:pPr>
        <w:widowControl w:val="0"/>
        <w:suppressAutoHyphens/>
        <w:overflowPunct w:val="0"/>
        <w:autoSpaceDE w:val="0"/>
        <w:autoSpaceDN w:val="0"/>
        <w:adjustRightInd w:val="0"/>
        <w:ind w:left="720" w:hanging="720"/>
        <w:jc w:val="both"/>
        <w:textAlignment w:val="baseline"/>
        <w:rPr>
          <w:rFonts w:eastAsiaTheme="minorHAnsi" w:cs="Arial"/>
          <w:color w:val="000000" w:themeColor="text1"/>
          <w:szCs w:val="22"/>
          <w:shd w:val="clear" w:color="auto" w:fill="FFFFFF"/>
          <w:lang w:bidi="ar-SA"/>
        </w:rPr>
      </w:pPr>
    </w:p>
    <w:p w14:paraId="2ED063F1" w14:textId="77777777" w:rsidR="002C1915" w:rsidRPr="002C1915" w:rsidRDefault="002C1915" w:rsidP="009F14A9">
      <w:pPr>
        <w:widowControl w:val="0"/>
        <w:numPr>
          <w:ilvl w:val="0"/>
          <w:numId w:val="64"/>
        </w:numPr>
        <w:suppressAutoHyphens/>
        <w:overflowPunct w:val="0"/>
        <w:autoSpaceDE w:val="0"/>
        <w:autoSpaceDN w:val="0"/>
        <w:adjustRightInd w:val="0"/>
        <w:ind w:hanging="720"/>
        <w:jc w:val="both"/>
        <w:textAlignment w:val="baseline"/>
        <w:rPr>
          <w:rFonts w:eastAsiaTheme="minorHAnsi" w:cs="Arial"/>
          <w:color w:val="000000" w:themeColor="text1"/>
          <w:szCs w:val="22"/>
          <w:shd w:val="clear" w:color="auto" w:fill="FFFFFF"/>
          <w:lang w:bidi="ar-SA"/>
        </w:rPr>
      </w:pPr>
      <w:r w:rsidRPr="002C1915">
        <w:rPr>
          <w:rFonts w:eastAsiaTheme="minorHAnsi" w:cs="Arial"/>
          <w:b/>
          <w:bCs/>
          <w:color w:val="auto"/>
          <w:kern w:val="32"/>
          <w:szCs w:val="22"/>
          <w:lang w:bidi="ar-SA"/>
        </w:rPr>
        <w:t xml:space="preserve">Emergency Maintenance </w:t>
      </w:r>
      <w:r w:rsidRPr="002C1915">
        <w:rPr>
          <w:rFonts w:eastAsiaTheme="minorHAnsi" w:cs="Arial"/>
          <w:bCs/>
          <w:color w:val="auto"/>
          <w:kern w:val="32"/>
          <w:szCs w:val="22"/>
          <w:lang w:bidi="ar-SA"/>
        </w:rPr>
        <w:t xml:space="preserve">means </w:t>
      </w:r>
      <w:r w:rsidRPr="002C1915">
        <w:rPr>
          <w:rFonts w:eastAsiaTheme="minorHAnsi" w:cs="Arial"/>
          <w:color w:val="000000" w:themeColor="text1"/>
          <w:szCs w:val="22"/>
          <w:shd w:val="clear" w:color="auto" w:fill="FFFFFF"/>
          <w:lang w:bidi="ar-SA"/>
        </w:rPr>
        <w:t xml:space="preserve">any maintenance in the FraudCapture Platform that is necessary to avoid an immediate threat or instability to the FraudCapture Platform and for which it may be impractical to provide prior notice to Participating Entity of such maintenance. </w:t>
      </w:r>
    </w:p>
    <w:p w14:paraId="0B96CEA0" w14:textId="77777777" w:rsidR="002C1915" w:rsidRPr="002C1915" w:rsidRDefault="002C1915" w:rsidP="009F14A9">
      <w:pPr>
        <w:widowControl w:val="0"/>
        <w:suppressAutoHyphens/>
        <w:ind w:left="720" w:hanging="720"/>
        <w:jc w:val="both"/>
        <w:rPr>
          <w:rFonts w:eastAsiaTheme="minorHAnsi" w:cs="Arial"/>
          <w:color w:val="auto"/>
          <w:szCs w:val="22"/>
          <w:lang w:bidi="ar-SA"/>
        </w:rPr>
      </w:pPr>
    </w:p>
    <w:p w14:paraId="33817AD6" w14:textId="77777777" w:rsidR="002C1915" w:rsidRPr="002C1915" w:rsidRDefault="002C1915" w:rsidP="009F14A9">
      <w:pPr>
        <w:widowControl w:val="0"/>
        <w:suppressAutoHyphens/>
        <w:ind w:left="720" w:hanging="720"/>
        <w:jc w:val="both"/>
        <w:rPr>
          <w:rFonts w:eastAsiaTheme="minorHAnsi" w:cs="Arial"/>
          <w:color w:val="auto"/>
          <w:szCs w:val="22"/>
          <w:lang w:bidi="ar-SA"/>
        </w:rPr>
      </w:pPr>
      <w:r w:rsidRPr="002C1915">
        <w:rPr>
          <w:rFonts w:eastAsiaTheme="minorHAnsi" w:cs="Arial"/>
          <w:color w:val="auto"/>
          <w:szCs w:val="22"/>
          <w:lang w:bidi="ar-SA"/>
        </w:rPr>
        <w:t>(d)</w:t>
      </w:r>
      <w:r w:rsidRPr="002C1915">
        <w:rPr>
          <w:rFonts w:eastAsiaTheme="minorHAnsi" w:cs="Arial"/>
          <w:b/>
          <w:color w:val="auto"/>
          <w:szCs w:val="22"/>
          <w:lang w:bidi="ar-SA"/>
        </w:rPr>
        <w:t xml:space="preserve"> </w:t>
      </w:r>
      <w:r w:rsidRPr="002C1915">
        <w:rPr>
          <w:rFonts w:eastAsiaTheme="minorHAnsi" w:cs="Arial"/>
          <w:b/>
          <w:color w:val="auto"/>
          <w:szCs w:val="22"/>
          <w:lang w:bidi="ar-SA"/>
        </w:rPr>
        <w:tab/>
        <w:t xml:space="preserve">Scheduled Maintenance </w:t>
      </w:r>
      <w:r w:rsidRPr="002C1915">
        <w:rPr>
          <w:rFonts w:eastAsiaTheme="minorHAnsi" w:cs="Arial"/>
          <w:color w:val="auto"/>
          <w:szCs w:val="22"/>
          <w:lang w:bidi="ar-SA"/>
        </w:rPr>
        <w:t xml:space="preserve">means routine scheduled tests, maintenance, enhancements, content updates, replacement, and/or repair regarding the FraudCapture Platform conducted during non-business hours and which is not Emergency Maintenance, and for which Gainwell will use commercially reasonable efforts to provide Participating Entity with advance notice of such maintenance. </w:t>
      </w:r>
    </w:p>
    <w:p w14:paraId="09522BC0" w14:textId="77777777" w:rsidR="002C1915" w:rsidRPr="002C1915" w:rsidRDefault="002C1915" w:rsidP="009F14A9">
      <w:pPr>
        <w:widowControl w:val="0"/>
        <w:suppressAutoHyphens/>
        <w:ind w:left="720" w:hanging="720"/>
        <w:contextualSpacing/>
        <w:jc w:val="both"/>
        <w:outlineLvl w:val="0"/>
        <w:rPr>
          <w:rFonts w:eastAsiaTheme="minorHAnsi" w:cs="Arial"/>
          <w:color w:val="222222"/>
          <w:szCs w:val="22"/>
          <w:shd w:val="clear" w:color="auto" w:fill="FFFFFF"/>
          <w:lang w:bidi="ar-SA"/>
        </w:rPr>
      </w:pPr>
    </w:p>
    <w:p w14:paraId="30652D95" w14:textId="77777777" w:rsidR="002C1915" w:rsidRPr="002C1915" w:rsidRDefault="002C1915" w:rsidP="009F14A9">
      <w:pPr>
        <w:widowControl w:val="0"/>
        <w:suppressAutoHyphens/>
        <w:ind w:left="720" w:hanging="720"/>
        <w:contextualSpacing/>
        <w:jc w:val="both"/>
        <w:outlineLvl w:val="0"/>
        <w:rPr>
          <w:rFonts w:eastAsiaTheme="minorHAnsi" w:cs="Arial"/>
          <w:color w:val="222222"/>
          <w:szCs w:val="22"/>
          <w:shd w:val="clear" w:color="auto" w:fill="FFFFFF"/>
          <w:lang w:bidi="ar-SA"/>
        </w:rPr>
      </w:pPr>
      <w:r w:rsidRPr="002C1915">
        <w:rPr>
          <w:rFonts w:eastAsiaTheme="minorHAnsi" w:cs="Arial"/>
          <w:color w:val="222222"/>
          <w:szCs w:val="22"/>
          <w:shd w:val="clear" w:color="auto" w:fill="FFFFFF"/>
          <w:lang w:bidi="ar-SA"/>
        </w:rPr>
        <w:t>(e)</w:t>
      </w:r>
      <w:r w:rsidRPr="002C1915">
        <w:rPr>
          <w:rFonts w:eastAsiaTheme="minorHAnsi" w:cs="Arial"/>
          <w:b/>
          <w:color w:val="222222"/>
          <w:szCs w:val="22"/>
          <w:shd w:val="clear" w:color="auto" w:fill="FFFFFF"/>
          <w:lang w:bidi="ar-SA"/>
        </w:rPr>
        <w:tab/>
        <w:t>Monitoring Application</w:t>
      </w:r>
      <w:r w:rsidRPr="002C1915">
        <w:rPr>
          <w:rFonts w:eastAsiaTheme="minorHAnsi" w:cs="Arial"/>
          <w:color w:val="222222"/>
          <w:szCs w:val="22"/>
          <w:shd w:val="clear" w:color="auto" w:fill="FFFFFF"/>
          <w:lang w:bidi="ar-SA"/>
        </w:rPr>
        <w:t xml:space="preserve"> means an automated monitoring application used by or on behalf of Gainwell that records information relating to Monthly Uptime.</w:t>
      </w:r>
    </w:p>
    <w:p w14:paraId="349275E3" w14:textId="77777777" w:rsidR="002C1915" w:rsidRPr="002C1915" w:rsidRDefault="002C1915" w:rsidP="009F14A9">
      <w:pPr>
        <w:widowControl w:val="0"/>
        <w:suppressAutoHyphens/>
        <w:jc w:val="both"/>
        <w:outlineLvl w:val="0"/>
        <w:rPr>
          <w:rFonts w:eastAsiaTheme="minorHAnsi" w:cs="Arial"/>
          <w:b/>
          <w:color w:val="222222"/>
          <w:szCs w:val="22"/>
          <w:shd w:val="clear" w:color="auto" w:fill="FFFFFF"/>
          <w:lang w:bidi="ar-SA"/>
        </w:rPr>
      </w:pPr>
    </w:p>
    <w:p w14:paraId="71C14740" w14:textId="77777777" w:rsidR="002C1915" w:rsidRPr="002C1915" w:rsidRDefault="002C1915" w:rsidP="009F14A9">
      <w:pPr>
        <w:widowControl w:val="0"/>
        <w:suppressAutoHyphens/>
        <w:jc w:val="both"/>
        <w:outlineLvl w:val="0"/>
        <w:rPr>
          <w:rFonts w:eastAsiaTheme="minorHAnsi" w:cs="Arial"/>
          <w:b/>
          <w:color w:val="222222"/>
          <w:szCs w:val="22"/>
          <w:shd w:val="clear" w:color="auto" w:fill="FFFFFF"/>
          <w:lang w:bidi="ar-SA"/>
        </w:rPr>
      </w:pPr>
      <w:r w:rsidRPr="002C1915">
        <w:rPr>
          <w:rFonts w:eastAsiaTheme="minorHAnsi" w:cs="Arial"/>
          <w:b/>
          <w:color w:val="222222"/>
          <w:szCs w:val="22"/>
          <w:shd w:val="clear" w:color="auto" w:fill="FFFFFF"/>
          <w:lang w:bidi="ar-SA"/>
        </w:rPr>
        <w:t>2.</w:t>
      </w:r>
      <w:r w:rsidRPr="002C1915">
        <w:rPr>
          <w:rFonts w:eastAsiaTheme="minorHAnsi" w:cs="Arial"/>
          <w:b/>
          <w:color w:val="222222"/>
          <w:szCs w:val="22"/>
          <w:shd w:val="clear" w:color="auto" w:fill="FFFFFF"/>
          <w:lang w:bidi="ar-SA"/>
        </w:rPr>
        <w:tab/>
      </w:r>
      <w:r w:rsidRPr="002C1915">
        <w:rPr>
          <w:rFonts w:eastAsiaTheme="minorHAnsi" w:cs="Arial"/>
          <w:b/>
          <w:color w:val="222222"/>
          <w:szCs w:val="22"/>
          <w:u w:val="single"/>
          <w:shd w:val="clear" w:color="auto" w:fill="FFFFFF"/>
          <w:lang w:bidi="ar-SA"/>
        </w:rPr>
        <w:t>Monthly Uptime Service Level</w:t>
      </w:r>
      <w:r w:rsidRPr="002C1915">
        <w:rPr>
          <w:rFonts w:eastAsiaTheme="minorHAnsi" w:cs="Arial"/>
          <w:b/>
          <w:color w:val="222222"/>
          <w:szCs w:val="22"/>
          <w:shd w:val="clear" w:color="auto" w:fill="FFFFFF"/>
          <w:lang w:bidi="ar-SA"/>
        </w:rPr>
        <w:t xml:space="preserve">. </w:t>
      </w:r>
      <w:r w:rsidRPr="002C1915">
        <w:rPr>
          <w:rFonts w:eastAsiaTheme="minorHAnsi" w:cs="Arial"/>
          <w:color w:val="222222"/>
          <w:szCs w:val="22"/>
          <w:shd w:val="clear" w:color="auto" w:fill="FFFFFF"/>
          <w:lang w:bidi="ar-SA"/>
        </w:rPr>
        <w:t>Monthly Uptime during each calendar month as a percentage of all time during such calendar month shall be 98%</w:t>
      </w:r>
      <w:r w:rsidRPr="002C1915">
        <w:rPr>
          <w:rFonts w:eastAsiaTheme="minorHAnsi" w:cs="Arial"/>
          <w:b/>
          <w:color w:val="222222"/>
          <w:szCs w:val="22"/>
          <w:shd w:val="clear" w:color="auto" w:fill="FFFFFF"/>
          <w:lang w:bidi="ar-SA"/>
        </w:rPr>
        <w:t xml:space="preserve"> </w:t>
      </w:r>
      <w:r w:rsidRPr="002C1915">
        <w:rPr>
          <w:rFonts w:eastAsiaTheme="minorHAnsi" w:cs="Arial"/>
          <w:color w:val="222222"/>
          <w:szCs w:val="22"/>
          <w:shd w:val="clear" w:color="auto" w:fill="FFFFFF"/>
          <w:lang w:bidi="ar-SA"/>
        </w:rPr>
        <w:t>(“</w:t>
      </w:r>
      <w:r w:rsidRPr="002C1915">
        <w:rPr>
          <w:rFonts w:eastAsiaTheme="minorHAnsi" w:cs="Arial"/>
          <w:b/>
          <w:color w:val="222222"/>
          <w:szCs w:val="22"/>
          <w:shd w:val="clear" w:color="auto" w:fill="FFFFFF"/>
          <w:lang w:bidi="ar-SA"/>
        </w:rPr>
        <w:t>Monthly Uptime Service Level</w:t>
      </w:r>
      <w:r w:rsidRPr="002C1915">
        <w:rPr>
          <w:rFonts w:eastAsiaTheme="minorHAnsi" w:cs="Arial"/>
          <w:color w:val="222222"/>
          <w:szCs w:val="22"/>
          <w:shd w:val="clear" w:color="auto" w:fill="FFFFFF"/>
          <w:lang w:bidi="ar-SA"/>
        </w:rPr>
        <w:t>”) subject to Section 4 (Exclusions) below.</w:t>
      </w:r>
    </w:p>
    <w:p w14:paraId="1ED74E86" w14:textId="77777777" w:rsidR="002C1915" w:rsidRPr="002C1915" w:rsidRDefault="002C1915" w:rsidP="009F14A9">
      <w:pPr>
        <w:widowControl w:val="0"/>
        <w:suppressAutoHyphens/>
        <w:jc w:val="both"/>
        <w:outlineLvl w:val="0"/>
        <w:rPr>
          <w:rFonts w:eastAsiaTheme="minorHAnsi" w:cs="Arial"/>
          <w:b/>
          <w:color w:val="222222"/>
          <w:szCs w:val="22"/>
          <w:shd w:val="clear" w:color="auto" w:fill="FFFFFF"/>
          <w:lang w:bidi="ar-SA"/>
        </w:rPr>
      </w:pPr>
    </w:p>
    <w:p w14:paraId="44EC304A" w14:textId="77777777" w:rsidR="002C1915" w:rsidRPr="002C1915" w:rsidRDefault="002C1915" w:rsidP="009F14A9">
      <w:pPr>
        <w:widowControl w:val="0"/>
        <w:suppressAutoHyphens/>
        <w:jc w:val="both"/>
        <w:outlineLvl w:val="0"/>
        <w:rPr>
          <w:rFonts w:eastAsiaTheme="minorHAnsi" w:cs="Arial"/>
          <w:color w:val="222222"/>
          <w:szCs w:val="22"/>
          <w:shd w:val="clear" w:color="auto" w:fill="FFFFFF"/>
          <w:lang w:bidi="ar-SA"/>
        </w:rPr>
      </w:pPr>
      <w:r w:rsidRPr="002C1915">
        <w:rPr>
          <w:rFonts w:eastAsiaTheme="minorHAnsi" w:cs="Arial"/>
          <w:b/>
          <w:color w:val="222222"/>
          <w:szCs w:val="22"/>
          <w:shd w:val="clear" w:color="auto" w:fill="FFFFFF"/>
          <w:lang w:bidi="ar-SA"/>
        </w:rPr>
        <w:t>3.</w:t>
      </w:r>
      <w:r w:rsidRPr="002C1915">
        <w:rPr>
          <w:rFonts w:eastAsiaTheme="minorHAnsi" w:cs="Arial"/>
          <w:b/>
          <w:color w:val="222222"/>
          <w:szCs w:val="22"/>
          <w:shd w:val="clear" w:color="auto" w:fill="FFFFFF"/>
          <w:lang w:bidi="ar-SA"/>
        </w:rPr>
        <w:tab/>
      </w:r>
      <w:r w:rsidRPr="002C1915">
        <w:rPr>
          <w:rFonts w:eastAsiaTheme="minorHAnsi" w:cs="Arial"/>
          <w:b/>
          <w:color w:val="222222"/>
          <w:szCs w:val="22"/>
          <w:u w:val="single"/>
          <w:shd w:val="clear" w:color="auto" w:fill="FFFFFF"/>
          <w:lang w:bidi="ar-SA"/>
        </w:rPr>
        <w:t>Uptime Measurement</w:t>
      </w:r>
      <w:r w:rsidRPr="002C1915">
        <w:rPr>
          <w:rFonts w:eastAsiaTheme="minorHAnsi" w:cs="Arial"/>
          <w:b/>
          <w:color w:val="222222"/>
          <w:szCs w:val="22"/>
          <w:shd w:val="clear" w:color="auto" w:fill="FFFFFF"/>
          <w:lang w:bidi="ar-SA"/>
        </w:rPr>
        <w:t xml:space="preserve">. </w:t>
      </w:r>
      <w:r w:rsidRPr="002C1915">
        <w:rPr>
          <w:rFonts w:eastAsiaTheme="minorHAnsi" w:cs="Arial"/>
          <w:color w:val="222222"/>
          <w:szCs w:val="22"/>
          <w:shd w:val="clear" w:color="auto" w:fill="FFFFFF"/>
          <w:lang w:bidi="ar-SA"/>
        </w:rPr>
        <w:t xml:space="preserve">The amount of Monthly Uptime will be determined exclusively by reference to the results recorded by the Monitoring Application. If the Monitoring Application fails to accurately record and report the Monthly Uptime, Participating Entity  may require Gainwell to provide alternative monitoring methods. </w:t>
      </w:r>
    </w:p>
    <w:p w14:paraId="340556E8" w14:textId="77777777" w:rsidR="002C1915" w:rsidRPr="002C1915" w:rsidRDefault="002C1915" w:rsidP="009F14A9">
      <w:pPr>
        <w:widowControl w:val="0"/>
        <w:suppressAutoHyphens/>
        <w:jc w:val="both"/>
        <w:rPr>
          <w:rFonts w:eastAsiaTheme="minorHAnsi" w:cs="Arial"/>
          <w:b/>
          <w:color w:val="222222"/>
          <w:szCs w:val="22"/>
          <w:shd w:val="clear" w:color="auto" w:fill="FFFFFF"/>
          <w:lang w:bidi="ar-SA"/>
        </w:rPr>
      </w:pPr>
    </w:p>
    <w:p w14:paraId="4BE3DBD2" w14:textId="77777777" w:rsidR="002C1915" w:rsidRPr="002C1915" w:rsidRDefault="002C1915" w:rsidP="009F14A9">
      <w:pPr>
        <w:widowControl w:val="0"/>
        <w:suppressAutoHyphens/>
        <w:jc w:val="both"/>
        <w:rPr>
          <w:rFonts w:eastAsiaTheme="minorHAnsi" w:cs="Arial"/>
          <w:color w:val="auto"/>
          <w:szCs w:val="22"/>
          <w:lang w:bidi="ar-SA"/>
        </w:rPr>
      </w:pPr>
      <w:r w:rsidRPr="002C1915">
        <w:rPr>
          <w:rFonts w:eastAsiaTheme="minorHAnsi" w:cs="Arial"/>
          <w:b/>
          <w:color w:val="222222"/>
          <w:szCs w:val="22"/>
          <w:shd w:val="clear" w:color="auto" w:fill="FFFFFF"/>
          <w:lang w:bidi="ar-SA"/>
        </w:rPr>
        <w:t>4.</w:t>
      </w:r>
      <w:r w:rsidRPr="002C1915">
        <w:rPr>
          <w:rFonts w:eastAsiaTheme="minorHAnsi" w:cs="Arial"/>
          <w:b/>
          <w:color w:val="222222"/>
          <w:szCs w:val="22"/>
          <w:shd w:val="clear" w:color="auto" w:fill="FFFFFF"/>
          <w:lang w:bidi="ar-SA"/>
        </w:rPr>
        <w:tab/>
      </w:r>
      <w:r w:rsidRPr="002C1915">
        <w:rPr>
          <w:rFonts w:eastAsiaTheme="minorHAnsi" w:cs="Arial"/>
          <w:b/>
          <w:color w:val="222222"/>
          <w:szCs w:val="22"/>
          <w:u w:val="single"/>
          <w:shd w:val="clear" w:color="auto" w:fill="FFFFFF"/>
          <w:lang w:bidi="ar-SA"/>
        </w:rPr>
        <w:t>Exclusions</w:t>
      </w:r>
      <w:r w:rsidRPr="002C1915">
        <w:rPr>
          <w:rFonts w:eastAsiaTheme="minorHAnsi" w:cs="Arial"/>
          <w:b/>
          <w:color w:val="222222"/>
          <w:szCs w:val="22"/>
          <w:shd w:val="clear" w:color="auto" w:fill="FFFFFF"/>
          <w:lang w:bidi="ar-SA"/>
        </w:rPr>
        <w:t xml:space="preserve">. </w:t>
      </w:r>
      <w:r w:rsidRPr="002C1915">
        <w:rPr>
          <w:rFonts w:eastAsiaTheme="minorHAnsi" w:cs="Arial"/>
          <w:color w:val="auto"/>
          <w:szCs w:val="22"/>
          <w:lang w:bidi="ar-SA"/>
        </w:rPr>
        <w:t>Notwithstanding anything in these Terms to the contrary, the following service interruptions shall not count as downtime, or adversely impact or count against the Monthly Uptime measurement: (a) interruptions due to any User; (b) interruptions due to failure of any equipment or software provided by or used by Participating Entity that is not provided by Gainwell as part of its performance under these Terms, (c) interruptions due to Scheduled Maintenance or system updates, (d) interruptions due to a force majeure event, or (e) interruptions due to Participating Entity ’s breach of its obligations under these Terms.</w:t>
      </w:r>
    </w:p>
    <w:p w14:paraId="7F74E373" w14:textId="77777777" w:rsidR="002C1915" w:rsidRPr="002C1915" w:rsidRDefault="002C1915" w:rsidP="009F14A9">
      <w:pPr>
        <w:widowControl w:val="0"/>
        <w:suppressAutoHyphens/>
        <w:outlineLvl w:val="0"/>
        <w:rPr>
          <w:rFonts w:eastAsiaTheme="minorHAnsi" w:cs="Arial"/>
          <w:b/>
          <w:color w:val="auto"/>
          <w:szCs w:val="22"/>
          <w:lang w:bidi="ar-SA"/>
        </w:rPr>
      </w:pPr>
    </w:p>
    <w:p w14:paraId="42469CA7" w14:textId="77777777" w:rsidR="002C1915" w:rsidRPr="002C1915" w:rsidRDefault="002C1915" w:rsidP="009F14A9">
      <w:pPr>
        <w:widowControl w:val="0"/>
        <w:suppressAutoHyphens/>
        <w:jc w:val="both"/>
        <w:outlineLvl w:val="0"/>
        <w:rPr>
          <w:rFonts w:eastAsia="Times New Roman" w:cs="Arial"/>
          <w:b/>
          <w:bCs/>
          <w:color w:val="auto"/>
          <w:szCs w:val="22"/>
          <w:lang w:bidi="ar-SA"/>
        </w:rPr>
      </w:pPr>
      <w:r w:rsidRPr="002C1915">
        <w:rPr>
          <w:rFonts w:eastAsiaTheme="minorHAnsi" w:cs="Arial"/>
          <w:b/>
          <w:color w:val="auto"/>
          <w:szCs w:val="22"/>
          <w:lang w:bidi="ar-SA"/>
        </w:rPr>
        <w:t>5.</w:t>
      </w:r>
      <w:r w:rsidRPr="002C1915">
        <w:rPr>
          <w:rFonts w:eastAsiaTheme="minorHAnsi" w:cs="Arial"/>
          <w:b/>
          <w:color w:val="auto"/>
          <w:szCs w:val="22"/>
          <w:lang w:bidi="ar-SA"/>
        </w:rPr>
        <w:tab/>
      </w:r>
      <w:r w:rsidRPr="002C1915">
        <w:rPr>
          <w:rFonts w:eastAsiaTheme="minorHAnsi" w:cs="Arial"/>
          <w:b/>
          <w:color w:val="auto"/>
          <w:szCs w:val="22"/>
          <w:u w:val="single"/>
          <w:lang w:bidi="ar-SA"/>
        </w:rPr>
        <w:t>Service Level Credit Issuance</w:t>
      </w:r>
      <w:r w:rsidRPr="002C1915">
        <w:rPr>
          <w:rFonts w:eastAsiaTheme="minorHAnsi" w:cs="Arial"/>
          <w:b/>
          <w:color w:val="auto"/>
          <w:szCs w:val="22"/>
          <w:lang w:bidi="ar-SA"/>
        </w:rPr>
        <w:t xml:space="preserve">. </w:t>
      </w:r>
      <w:r w:rsidRPr="002C1915">
        <w:rPr>
          <w:rFonts w:eastAsiaTheme="minorHAnsi" w:cs="Arial"/>
          <w:color w:val="auto"/>
          <w:szCs w:val="22"/>
          <w:lang w:bidi="ar-SA"/>
        </w:rPr>
        <w:t>If Gainwell fails to meet the Monthly Uptime Service Level, then Participating Entity , as its sole and exclusive remedy, will receive a credit equal to 5% of the monthly fees for the FraudCapture Services payable for the month during which the failure occurred. All credits will be issued as credits against future invoices for services.</w:t>
      </w:r>
      <w:r w:rsidRPr="002C1915">
        <w:rPr>
          <w:rFonts w:eastAsiaTheme="minorHAnsi" w:cs="Arial"/>
          <w:b/>
          <w:bCs/>
          <w:color w:val="auto"/>
          <w:szCs w:val="22"/>
          <w:lang w:bidi="ar-SA"/>
        </w:rPr>
        <w:br w:type="page"/>
      </w:r>
    </w:p>
    <w:p w14:paraId="29F47F79" w14:textId="77777777" w:rsidR="002C1915" w:rsidRPr="002C1915" w:rsidRDefault="002C1915" w:rsidP="009F14A9">
      <w:pPr>
        <w:widowControl w:val="0"/>
        <w:suppressAutoHyphens/>
        <w:jc w:val="center"/>
        <w:outlineLvl w:val="5"/>
        <w:rPr>
          <w:rFonts w:ascii="Arial Bold" w:hAnsi="Arial Bold" w:hint="eastAsia"/>
          <w:b/>
          <w:color w:val="2B3A44"/>
          <w:sz w:val="28"/>
        </w:rPr>
      </w:pPr>
      <w:r w:rsidRPr="002C1915">
        <w:rPr>
          <w:rFonts w:ascii="Arial Bold" w:hAnsi="Arial Bold"/>
          <w:b/>
          <w:color w:val="2B3A44"/>
          <w:sz w:val="28"/>
        </w:rPr>
        <w:lastRenderedPageBreak/>
        <w:t>EXHIBIT C</w:t>
      </w:r>
    </w:p>
    <w:p w14:paraId="23CAFF67" w14:textId="77777777" w:rsidR="002C1915" w:rsidRPr="002C1915" w:rsidRDefault="002C1915" w:rsidP="009F14A9">
      <w:pPr>
        <w:widowControl w:val="0"/>
        <w:suppressAutoHyphens/>
        <w:jc w:val="center"/>
        <w:outlineLvl w:val="5"/>
        <w:rPr>
          <w:rFonts w:ascii="Arial Bold" w:hAnsi="Arial Bold" w:hint="eastAsia"/>
          <w:b/>
          <w:color w:val="2B3A44"/>
          <w:sz w:val="28"/>
        </w:rPr>
      </w:pPr>
      <w:r w:rsidRPr="002C1915">
        <w:rPr>
          <w:rFonts w:ascii="Arial Bold" w:hAnsi="Arial Bold"/>
          <w:b/>
          <w:color w:val="2B3A44"/>
          <w:sz w:val="28"/>
        </w:rPr>
        <w:t>THIRD PARTY TERMS AND CONDITIONS</w:t>
      </w:r>
    </w:p>
    <w:p w14:paraId="3DB4DFF8" w14:textId="77777777" w:rsidR="002C1915" w:rsidRPr="002C1915" w:rsidRDefault="002C1915" w:rsidP="009F14A9">
      <w:pPr>
        <w:widowControl w:val="0"/>
        <w:suppressAutoHyphens/>
        <w:outlineLvl w:val="0"/>
        <w:rPr>
          <w:rFonts w:eastAsiaTheme="minorHAnsi" w:cs="Arial"/>
          <w:b/>
          <w:bCs/>
          <w:color w:val="auto"/>
          <w:szCs w:val="22"/>
          <w:lang w:bidi="ar-SA"/>
        </w:rPr>
      </w:pPr>
      <w:r w:rsidRPr="002C1915">
        <w:rPr>
          <w:rFonts w:eastAsiaTheme="minorHAnsi" w:cs="Arial"/>
          <w:b/>
          <w:bCs/>
          <w:color w:val="auto"/>
          <w:szCs w:val="22"/>
          <w:lang w:bidi="ar-SA"/>
        </w:rPr>
        <w:tab/>
      </w:r>
    </w:p>
    <w:p w14:paraId="5F0106DB" w14:textId="77777777" w:rsidR="002C1915" w:rsidRPr="002C1915" w:rsidRDefault="002C1915" w:rsidP="009F14A9">
      <w:pPr>
        <w:widowControl w:val="0"/>
        <w:suppressAutoHyphens/>
        <w:outlineLvl w:val="0"/>
        <w:rPr>
          <w:rFonts w:eastAsia="Times New Roman" w:cs="Arial"/>
          <w:b/>
          <w:bCs/>
          <w:color w:val="auto"/>
          <w:szCs w:val="22"/>
          <w:lang w:bidi="ar-SA"/>
        </w:rPr>
      </w:pPr>
      <w:r w:rsidRPr="002C1915">
        <w:rPr>
          <w:rFonts w:eastAsiaTheme="minorHAnsi" w:cs="Arial"/>
          <w:b/>
          <w:bCs/>
          <w:color w:val="auto"/>
          <w:szCs w:val="22"/>
          <w:lang w:bidi="ar-SA"/>
        </w:rPr>
        <w:t>A.</w:t>
      </w:r>
      <w:r w:rsidRPr="002C1915">
        <w:rPr>
          <w:rFonts w:eastAsiaTheme="minorHAnsi" w:cs="Arial"/>
          <w:b/>
          <w:bCs/>
          <w:color w:val="auto"/>
          <w:szCs w:val="22"/>
          <w:lang w:bidi="ar-SA"/>
        </w:rPr>
        <w:tab/>
      </w:r>
      <w:r w:rsidRPr="002C1915">
        <w:rPr>
          <w:rFonts w:eastAsia="Times New Roman" w:cs="Arial"/>
          <w:b/>
          <w:bCs/>
          <w:color w:val="auto"/>
          <w:szCs w:val="22"/>
          <w:lang w:bidi="ar-SA"/>
        </w:rPr>
        <w:t xml:space="preserve">AMA </w:t>
      </w:r>
      <w:bookmarkStart w:id="1" w:name="_Hlk115104341"/>
      <w:r w:rsidRPr="002C1915">
        <w:rPr>
          <w:rFonts w:eastAsia="Times New Roman" w:cs="Arial"/>
          <w:b/>
          <w:bCs/>
          <w:color w:val="auto"/>
          <w:szCs w:val="22"/>
          <w:lang w:bidi="ar-SA"/>
        </w:rPr>
        <w:t>END USER TERMS AND CONDITIONS</w:t>
      </w:r>
      <w:bookmarkEnd w:id="1"/>
    </w:p>
    <w:p w14:paraId="4570F0A0" w14:textId="77777777" w:rsidR="002C1915" w:rsidRPr="002C1915" w:rsidRDefault="002C1915" w:rsidP="009F14A9">
      <w:pPr>
        <w:widowControl w:val="0"/>
        <w:suppressAutoHyphens/>
        <w:jc w:val="both"/>
        <w:outlineLvl w:val="0"/>
        <w:rPr>
          <w:rFonts w:eastAsiaTheme="minorHAnsi" w:cs="Arial"/>
          <w:bCs/>
          <w:color w:val="auto"/>
          <w:kern w:val="32"/>
          <w:szCs w:val="22"/>
          <w:lang w:bidi="ar-SA"/>
        </w:rPr>
      </w:pPr>
    </w:p>
    <w:p w14:paraId="18CC07A3" w14:textId="77777777" w:rsidR="002C1915" w:rsidRPr="002C1915" w:rsidRDefault="002C1915" w:rsidP="009F14A9">
      <w:pPr>
        <w:widowControl w:val="0"/>
        <w:suppressAutoHyphens/>
        <w:jc w:val="both"/>
        <w:outlineLvl w:val="0"/>
        <w:rPr>
          <w:rFonts w:eastAsiaTheme="minorHAnsi" w:cs="Arial"/>
          <w:bCs/>
          <w:color w:val="auto"/>
          <w:kern w:val="32"/>
          <w:szCs w:val="22"/>
          <w:lang w:bidi="ar-SA"/>
        </w:rPr>
      </w:pPr>
      <w:r w:rsidRPr="002C1915">
        <w:rPr>
          <w:rFonts w:eastAsiaTheme="minorHAnsi" w:cs="Arial"/>
          <w:bCs/>
          <w:color w:val="auto"/>
          <w:kern w:val="32"/>
          <w:szCs w:val="22"/>
          <w:lang w:bidi="ar-SA"/>
        </w:rPr>
        <w:t>The FraudCapture Platform incorporates the American Medical Association (“AMA”) Current Procedural Terminology® (CPT®) codes and descriptions (“AMA Licensed Content”) made available to Gainwell under a license granted by the AMA. Health Management Systems, Inc., a Gainwell Technologies company (HMS) and an affiliate of Gainwell (collectively referred to as “Gainwell”), is authorized by the AMA to distribute to and sublicense use of the AMA Licensed Content to Client and its Users via use of the FraudCapture Platform subject to Client and its Users being bound by these AMA End User Terms.</w:t>
      </w:r>
    </w:p>
    <w:p w14:paraId="664DC610" w14:textId="77777777" w:rsidR="002C1915" w:rsidRPr="002C1915" w:rsidRDefault="002C1915" w:rsidP="009F14A9">
      <w:pPr>
        <w:widowControl w:val="0"/>
        <w:suppressAutoHyphens/>
        <w:jc w:val="both"/>
        <w:outlineLvl w:val="0"/>
        <w:rPr>
          <w:rFonts w:eastAsiaTheme="minorHAnsi" w:cs="Arial"/>
          <w:bCs/>
          <w:color w:val="auto"/>
          <w:kern w:val="32"/>
          <w:szCs w:val="22"/>
          <w:lang w:bidi="ar-SA"/>
        </w:rPr>
      </w:pPr>
    </w:p>
    <w:p w14:paraId="50B44973" w14:textId="77777777" w:rsidR="002C1915" w:rsidRPr="002C1915" w:rsidRDefault="002C1915" w:rsidP="009F14A9">
      <w:pPr>
        <w:widowControl w:val="0"/>
        <w:suppressAutoHyphens/>
        <w:jc w:val="both"/>
        <w:outlineLvl w:val="0"/>
        <w:rPr>
          <w:rFonts w:eastAsiaTheme="minorHAnsi" w:cs="Arial"/>
          <w:bCs/>
          <w:color w:val="auto"/>
          <w:kern w:val="32"/>
          <w:szCs w:val="22"/>
          <w:lang w:bidi="ar-SA"/>
        </w:rPr>
      </w:pPr>
      <w:r w:rsidRPr="002C1915">
        <w:rPr>
          <w:rFonts w:eastAsiaTheme="minorHAnsi" w:cs="Arial"/>
          <w:bCs/>
          <w:color w:val="auto"/>
          <w:kern w:val="32"/>
          <w:szCs w:val="22"/>
          <w:lang w:bidi="ar-SA"/>
        </w:rPr>
        <w:t>Participating Entity on behalf of itself and its Users agrees to the following AMA terms and conditions (“</w:t>
      </w:r>
      <w:r w:rsidRPr="002C1915">
        <w:rPr>
          <w:rFonts w:eastAsiaTheme="minorHAnsi" w:cs="Arial"/>
          <w:b/>
          <w:bCs/>
          <w:color w:val="auto"/>
          <w:kern w:val="32"/>
          <w:szCs w:val="22"/>
          <w:lang w:bidi="ar-SA"/>
        </w:rPr>
        <w:t>AMA End User Terms</w:t>
      </w:r>
      <w:r w:rsidRPr="002C1915">
        <w:rPr>
          <w:rFonts w:eastAsiaTheme="minorHAnsi" w:cs="Arial"/>
          <w:bCs/>
          <w:color w:val="auto"/>
          <w:kern w:val="32"/>
          <w:szCs w:val="22"/>
          <w:lang w:bidi="ar-SA"/>
        </w:rPr>
        <w:t>”):</w:t>
      </w:r>
    </w:p>
    <w:p w14:paraId="2F72A15C" w14:textId="77777777" w:rsidR="002C1915" w:rsidRPr="002C1915" w:rsidRDefault="002C1915" w:rsidP="009F14A9">
      <w:pPr>
        <w:widowControl w:val="0"/>
        <w:suppressAutoHyphens/>
        <w:jc w:val="both"/>
        <w:outlineLvl w:val="0"/>
        <w:rPr>
          <w:rFonts w:eastAsiaTheme="minorHAnsi" w:cs="Arial"/>
          <w:bCs/>
          <w:color w:val="auto"/>
          <w:kern w:val="32"/>
          <w:szCs w:val="22"/>
          <w:lang w:bidi="ar-SA"/>
        </w:rPr>
      </w:pPr>
    </w:p>
    <w:p w14:paraId="5BA5256E" w14:textId="77777777" w:rsidR="002C1915" w:rsidRPr="002C1915" w:rsidRDefault="002C1915" w:rsidP="009F14A9">
      <w:pPr>
        <w:widowControl w:val="0"/>
        <w:numPr>
          <w:ilvl w:val="0"/>
          <w:numId w:val="68"/>
        </w:numPr>
        <w:suppressAutoHyphens/>
        <w:ind w:hanging="720"/>
        <w:jc w:val="both"/>
        <w:outlineLvl w:val="0"/>
        <w:rPr>
          <w:rFonts w:eastAsiaTheme="minorHAnsi" w:cs="Arial"/>
          <w:bCs/>
          <w:color w:val="auto"/>
          <w:kern w:val="32"/>
          <w:szCs w:val="22"/>
          <w:lang w:bidi="ar-SA"/>
        </w:rPr>
      </w:pPr>
      <w:r w:rsidRPr="002C1915">
        <w:rPr>
          <w:rFonts w:eastAsiaTheme="minorHAnsi" w:cs="Arial"/>
          <w:bCs/>
          <w:color w:val="auto"/>
          <w:kern w:val="32"/>
          <w:szCs w:val="22"/>
          <w:lang w:bidi="ar-SA"/>
        </w:rPr>
        <w:t>Participating Entity is prohibited from publishing, distributing via the Internet or other public computer based information Platform, creating derivative works (including translating), transferring, selling, leasing, licensing or otherwise making available to any unauthorized party, the AMA Licensed Content, or a copy or portion of the AMA Licensed Content.</w:t>
      </w:r>
    </w:p>
    <w:p w14:paraId="6999D316" w14:textId="77777777" w:rsidR="002C1915" w:rsidRPr="002C1915" w:rsidRDefault="002C1915" w:rsidP="009F14A9">
      <w:pPr>
        <w:widowControl w:val="0"/>
        <w:suppressAutoHyphens/>
        <w:ind w:left="720" w:hanging="720"/>
        <w:jc w:val="both"/>
        <w:outlineLvl w:val="0"/>
        <w:rPr>
          <w:rFonts w:eastAsiaTheme="minorHAnsi" w:cs="Arial"/>
          <w:bCs/>
          <w:color w:val="auto"/>
          <w:kern w:val="32"/>
          <w:szCs w:val="22"/>
          <w:lang w:bidi="ar-SA"/>
        </w:rPr>
      </w:pPr>
    </w:p>
    <w:p w14:paraId="4D43E2EF" w14:textId="77777777" w:rsidR="002C1915" w:rsidRPr="002C1915" w:rsidRDefault="002C1915" w:rsidP="009F14A9">
      <w:pPr>
        <w:widowControl w:val="0"/>
        <w:numPr>
          <w:ilvl w:val="0"/>
          <w:numId w:val="68"/>
        </w:numPr>
        <w:suppressAutoHyphens/>
        <w:ind w:hanging="720"/>
        <w:jc w:val="both"/>
        <w:outlineLvl w:val="0"/>
        <w:rPr>
          <w:rFonts w:eastAsiaTheme="minorHAnsi" w:cs="Arial"/>
          <w:bCs/>
          <w:color w:val="auto"/>
          <w:kern w:val="32"/>
          <w:szCs w:val="22"/>
          <w:lang w:bidi="ar-SA"/>
        </w:rPr>
      </w:pPr>
      <w:r w:rsidRPr="002C1915">
        <w:rPr>
          <w:rFonts w:eastAsiaTheme="minorHAnsi" w:cs="Arial"/>
          <w:bCs/>
          <w:color w:val="auto"/>
          <w:kern w:val="32"/>
          <w:szCs w:val="22"/>
          <w:lang w:bidi="ar-SA"/>
        </w:rPr>
        <w:t>Participating Entity must ensure that its Users comply with these AMA End User Terms.</w:t>
      </w:r>
    </w:p>
    <w:p w14:paraId="4065D2E6" w14:textId="77777777" w:rsidR="002C1915" w:rsidRPr="002C1915" w:rsidRDefault="002C1915" w:rsidP="009F14A9">
      <w:pPr>
        <w:widowControl w:val="0"/>
        <w:suppressAutoHyphens/>
        <w:ind w:left="720" w:hanging="720"/>
        <w:jc w:val="both"/>
        <w:outlineLvl w:val="0"/>
        <w:rPr>
          <w:rFonts w:eastAsiaTheme="minorHAnsi" w:cs="Arial"/>
          <w:bCs/>
          <w:color w:val="auto"/>
          <w:kern w:val="32"/>
          <w:szCs w:val="22"/>
          <w:lang w:bidi="ar-SA"/>
        </w:rPr>
      </w:pPr>
    </w:p>
    <w:p w14:paraId="1D58A6DC" w14:textId="77777777" w:rsidR="002C1915" w:rsidRPr="002C1915" w:rsidRDefault="002C1915" w:rsidP="009F14A9">
      <w:pPr>
        <w:widowControl w:val="0"/>
        <w:numPr>
          <w:ilvl w:val="0"/>
          <w:numId w:val="68"/>
        </w:numPr>
        <w:suppressAutoHyphens/>
        <w:ind w:hanging="720"/>
        <w:jc w:val="both"/>
        <w:outlineLvl w:val="0"/>
        <w:rPr>
          <w:rFonts w:eastAsiaTheme="minorHAnsi" w:cs="Arial"/>
          <w:bCs/>
          <w:color w:val="auto"/>
          <w:kern w:val="32"/>
          <w:szCs w:val="22"/>
          <w:lang w:bidi="ar-SA"/>
        </w:rPr>
      </w:pPr>
      <w:r w:rsidRPr="002C1915">
        <w:rPr>
          <w:rFonts w:eastAsiaTheme="minorHAnsi" w:cs="Arial"/>
          <w:bCs/>
          <w:color w:val="auto"/>
          <w:kern w:val="32"/>
          <w:szCs w:val="22"/>
          <w:lang w:bidi="ar-SA"/>
        </w:rPr>
        <w:t xml:space="preserve">The AMA Licensed Content (provided as part of the FraudCapture Platform) is provided “as is” without any liability to the AMA, including without limitation, liability for consequential or special damages, or lost profits for sequence, accuracy, or completeness of data, or that it will meet Participating Entity ’s requirements. The AMA </w:t>
      </w:r>
      <w:proofErr w:type="gramStart"/>
      <w:r w:rsidRPr="002C1915">
        <w:rPr>
          <w:rFonts w:eastAsiaTheme="minorHAnsi" w:cs="Arial"/>
          <w:bCs/>
          <w:color w:val="auto"/>
          <w:kern w:val="32"/>
          <w:szCs w:val="22"/>
          <w:lang w:bidi="ar-SA"/>
        </w:rPr>
        <w:t>disclaims</w:t>
      </w:r>
      <w:proofErr w:type="gramEnd"/>
      <w:r w:rsidRPr="002C1915">
        <w:rPr>
          <w:rFonts w:eastAsiaTheme="minorHAnsi" w:cs="Arial"/>
          <w:bCs/>
          <w:color w:val="auto"/>
          <w:kern w:val="32"/>
          <w:szCs w:val="22"/>
          <w:lang w:bidi="ar-SA"/>
        </w:rPr>
        <w:t xml:space="preserve"> any liability for any consequences to due to use, misuse, or interpretation of information contained or not contained in the AMA Licensed Content. </w:t>
      </w:r>
    </w:p>
    <w:p w14:paraId="6D060F93" w14:textId="77777777" w:rsidR="002C1915" w:rsidRPr="002C1915" w:rsidRDefault="002C1915" w:rsidP="009F14A9">
      <w:pPr>
        <w:widowControl w:val="0"/>
        <w:suppressAutoHyphens/>
        <w:autoSpaceDE w:val="0"/>
        <w:autoSpaceDN w:val="0"/>
        <w:adjustRightInd w:val="0"/>
        <w:ind w:left="720" w:hanging="720"/>
        <w:rPr>
          <w:rFonts w:eastAsiaTheme="minorHAnsi" w:cs="Arial"/>
          <w:color w:val="auto"/>
          <w:szCs w:val="22"/>
          <w:lang w:bidi="ar-SA"/>
        </w:rPr>
      </w:pPr>
    </w:p>
    <w:p w14:paraId="1C906973" w14:textId="77777777" w:rsidR="002C1915" w:rsidRPr="002C1915" w:rsidRDefault="002C1915" w:rsidP="009F14A9">
      <w:pPr>
        <w:widowControl w:val="0"/>
        <w:numPr>
          <w:ilvl w:val="0"/>
          <w:numId w:val="68"/>
        </w:numPr>
        <w:suppressAutoHyphens/>
        <w:autoSpaceDE w:val="0"/>
        <w:autoSpaceDN w:val="0"/>
        <w:adjustRightInd w:val="0"/>
        <w:ind w:hanging="720"/>
        <w:jc w:val="both"/>
        <w:rPr>
          <w:rFonts w:eastAsiaTheme="minorHAnsi" w:cs="Arial"/>
          <w:color w:val="auto"/>
          <w:szCs w:val="22"/>
          <w:lang w:bidi="ar-SA"/>
        </w:rPr>
      </w:pPr>
      <w:r w:rsidRPr="002C1915">
        <w:rPr>
          <w:rFonts w:eastAsiaTheme="minorHAnsi" w:cs="Arial"/>
          <w:color w:val="auto"/>
          <w:szCs w:val="22"/>
          <w:lang w:bidi="ar-SA"/>
        </w:rPr>
        <w:t>AMA Licensed Content is copyrighted by the AMA, and CPT is a registered trademark of the AMA.</w:t>
      </w:r>
    </w:p>
    <w:p w14:paraId="6B2A1BBE" w14:textId="77777777" w:rsidR="002C1915" w:rsidRPr="002C1915" w:rsidRDefault="002C1915" w:rsidP="009F14A9">
      <w:pPr>
        <w:widowControl w:val="0"/>
        <w:suppressAutoHyphens/>
        <w:autoSpaceDE w:val="0"/>
        <w:autoSpaceDN w:val="0"/>
        <w:adjustRightInd w:val="0"/>
        <w:ind w:left="720" w:hanging="720"/>
        <w:jc w:val="both"/>
        <w:rPr>
          <w:rFonts w:eastAsiaTheme="minorHAnsi" w:cs="Arial"/>
          <w:color w:val="auto"/>
          <w:szCs w:val="22"/>
          <w:lang w:bidi="ar-SA"/>
        </w:rPr>
      </w:pPr>
    </w:p>
    <w:p w14:paraId="4977465A" w14:textId="77777777" w:rsidR="002C1915" w:rsidRPr="002C1915" w:rsidRDefault="002C1915" w:rsidP="009F14A9">
      <w:pPr>
        <w:widowControl w:val="0"/>
        <w:numPr>
          <w:ilvl w:val="0"/>
          <w:numId w:val="68"/>
        </w:numPr>
        <w:suppressAutoHyphens/>
        <w:autoSpaceDE w:val="0"/>
        <w:autoSpaceDN w:val="0"/>
        <w:adjustRightInd w:val="0"/>
        <w:ind w:hanging="720"/>
        <w:jc w:val="both"/>
        <w:rPr>
          <w:rFonts w:eastAsiaTheme="minorHAnsi" w:cs="Arial"/>
          <w:color w:val="auto"/>
          <w:szCs w:val="22"/>
          <w:lang w:bidi="ar-SA"/>
        </w:rPr>
      </w:pPr>
      <w:r w:rsidRPr="002C1915">
        <w:rPr>
          <w:rFonts w:eastAsiaTheme="minorHAnsi" w:cs="Arial"/>
          <w:color w:val="auto"/>
          <w:szCs w:val="22"/>
          <w:lang w:bidi="ar-SA"/>
        </w:rPr>
        <w:t xml:space="preserve">HMS, as a party to a license agreement with the AMA, is authorized to grant Participating Entity a limited, non-exclusive, non-transferable, non-sublicensable license for Participating Entity and its Users to use the AMA Licensed Content  incorporated into the FraudCapture Platform for the sole purpose of internal use by Participating Entity and its Users within Algeria, Argentina, Australia, Bahamas, Bahrain, Belgium, Bermuda, Brazil, British Virgin Islands, Canada, Cayman Islands, Chile, China, Colombia, Costa Rica, Cyprus, Denmark, Dominican Republic, Ecuador, El Salvador, Finland, France, Germany, Guatemala, Hong Kong, India, Ireland, Israel, Italy, Jamaica, Japan, Joran, Republic of Korea (South Korea), Kuwait, Lebanon, Mexico, New Zealand, Norway, Panama, Peru, Philippines, Portugal, Qatar, Saudi Arabia, Singapore, South Africa, Spain, Sweden, Switzerland, Thailand, Tunisia, Turkey, United Arab Emirates, United Kingdom, United States and its territories, and Venezuela. Participating Entity ’s right to use the AMA Licensed Content hereunder shall automatically terminate upon termination of the license agreement between HMS and the AMA, unless prior written consent of the AMA is obtained by HMS, or Participating Entity  enters into a direct license with the AMA. </w:t>
      </w:r>
    </w:p>
    <w:p w14:paraId="7FD2CE1F" w14:textId="77777777" w:rsidR="002C1915" w:rsidRPr="002C1915" w:rsidRDefault="002C1915" w:rsidP="009F14A9">
      <w:pPr>
        <w:widowControl w:val="0"/>
        <w:suppressAutoHyphens/>
        <w:autoSpaceDE w:val="0"/>
        <w:autoSpaceDN w:val="0"/>
        <w:adjustRightInd w:val="0"/>
        <w:ind w:left="720" w:hanging="720"/>
        <w:jc w:val="both"/>
        <w:rPr>
          <w:rFonts w:eastAsiaTheme="minorHAnsi" w:cs="Arial"/>
          <w:color w:val="auto"/>
          <w:szCs w:val="22"/>
          <w:lang w:bidi="ar-SA"/>
        </w:rPr>
      </w:pPr>
    </w:p>
    <w:p w14:paraId="553A7CE3" w14:textId="77777777" w:rsidR="002C1915" w:rsidRPr="002C1915" w:rsidRDefault="002C1915" w:rsidP="009F14A9">
      <w:pPr>
        <w:widowControl w:val="0"/>
        <w:numPr>
          <w:ilvl w:val="0"/>
          <w:numId w:val="68"/>
        </w:numPr>
        <w:suppressAutoHyphens/>
        <w:autoSpaceDE w:val="0"/>
        <w:autoSpaceDN w:val="0"/>
        <w:adjustRightInd w:val="0"/>
        <w:ind w:hanging="720"/>
        <w:jc w:val="both"/>
        <w:rPr>
          <w:rFonts w:eastAsiaTheme="minorHAnsi" w:cs="Arial"/>
          <w:color w:val="auto"/>
          <w:szCs w:val="22"/>
          <w:lang w:bidi="ar-SA"/>
        </w:rPr>
      </w:pPr>
      <w:r w:rsidRPr="002C1915">
        <w:rPr>
          <w:rFonts w:eastAsiaTheme="minorHAnsi" w:cs="Arial"/>
          <w:color w:val="auto"/>
          <w:szCs w:val="22"/>
          <w:lang w:bidi="ar-SA"/>
        </w:rPr>
        <w:t>The provision of updated AMA Licensed Content in the FraudCapture Platform is dependent on a continuing contractual relationship between HMS and the AMA.</w:t>
      </w:r>
    </w:p>
    <w:p w14:paraId="3FD5F398" w14:textId="77777777" w:rsidR="002C1915" w:rsidRPr="002C1915" w:rsidRDefault="002C1915" w:rsidP="009F14A9">
      <w:pPr>
        <w:widowControl w:val="0"/>
        <w:suppressAutoHyphens/>
        <w:autoSpaceDE w:val="0"/>
        <w:autoSpaceDN w:val="0"/>
        <w:adjustRightInd w:val="0"/>
        <w:ind w:left="720" w:hanging="720"/>
        <w:jc w:val="both"/>
        <w:rPr>
          <w:rFonts w:eastAsiaTheme="minorHAnsi" w:cs="Arial"/>
          <w:color w:val="auto"/>
          <w:szCs w:val="22"/>
          <w:lang w:bidi="ar-SA"/>
        </w:rPr>
      </w:pPr>
    </w:p>
    <w:p w14:paraId="0DEEF3FA" w14:textId="77777777" w:rsidR="002C1915" w:rsidRPr="002C1915" w:rsidRDefault="002C1915" w:rsidP="009F14A9">
      <w:pPr>
        <w:widowControl w:val="0"/>
        <w:numPr>
          <w:ilvl w:val="0"/>
          <w:numId w:val="68"/>
        </w:numPr>
        <w:suppressAutoHyphens/>
        <w:autoSpaceDE w:val="0"/>
        <w:autoSpaceDN w:val="0"/>
        <w:adjustRightInd w:val="0"/>
        <w:ind w:hanging="720"/>
        <w:jc w:val="both"/>
        <w:rPr>
          <w:rFonts w:eastAsiaTheme="minorHAnsi" w:cs="Arial"/>
          <w:color w:val="auto"/>
          <w:szCs w:val="22"/>
          <w:lang w:bidi="ar-SA"/>
        </w:rPr>
      </w:pPr>
      <w:r w:rsidRPr="002C1915">
        <w:rPr>
          <w:rFonts w:eastAsiaTheme="minorHAnsi" w:cs="Arial"/>
          <w:color w:val="auto"/>
          <w:szCs w:val="22"/>
          <w:lang w:bidi="ar-SA"/>
        </w:rPr>
        <w:t>Participating Entity  and its Users are prohibited from making AMA Licensed Content publicly available, creating derivative works (including translating), transferring, selling, leasing, licensing, or otherwise making available to any unauthorized party the FraudCapture Platform, or a copy or portion of AMA Licensed Content to any unauthorized party, including a subsidiary, affiliate, or other legal entity, however designated, for any purpose whatsoever except as expressly permitted under this Exhibit or elsewhere in these Terms.</w:t>
      </w:r>
    </w:p>
    <w:p w14:paraId="2312648F" w14:textId="77777777" w:rsidR="002C1915" w:rsidRPr="002C1915" w:rsidRDefault="002C1915" w:rsidP="009F14A9">
      <w:pPr>
        <w:widowControl w:val="0"/>
        <w:suppressAutoHyphens/>
        <w:autoSpaceDE w:val="0"/>
        <w:autoSpaceDN w:val="0"/>
        <w:adjustRightInd w:val="0"/>
        <w:ind w:left="720" w:hanging="720"/>
        <w:jc w:val="both"/>
        <w:rPr>
          <w:rFonts w:eastAsiaTheme="minorHAnsi" w:cs="Arial"/>
          <w:b/>
          <w:bCs/>
          <w:color w:val="auto"/>
          <w:szCs w:val="22"/>
          <w:lang w:bidi="ar-SA"/>
        </w:rPr>
      </w:pPr>
    </w:p>
    <w:p w14:paraId="13A89845" w14:textId="77777777" w:rsidR="002C1915" w:rsidRPr="002C1915" w:rsidRDefault="002C1915" w:rsidP="009F14A9">
      <w:pPr>
        <w:widowControl w:val="0"/>
        <w:numPr>
          <w:ilvl w:val="0"/>
          <w:numId w:val="68"/>
        </w:numPr>
        <w:suppressAutoHyphens/>
        <w:autoSpaceDE w:val="0"/>
        <w:autoSpaceDN w:val="0"/>
        <w:adjustRightInd w:val="0"/>
        <w:ind w:hanging="720"/>
        <w:jc w:val="both"/>
        <w:rPr>
          <w:rFonts w:eastAsiaTheme="minorHAnsi" w:cs="Arial"/>
          <w:b/>
          <w:bCs/>
          <w:color w:val="auto"/>
          <w:szCs w:val="22"/>
          <w:lang w:bidi="ar-SA"/>
        </w:rPr>
      </w:pPr>
      <w:r w:rsidRPr="002C1915">
        <w:rPr>
          <w:rFonts w:eastAsiaTheme="minorHAnsi" w:cs="Arial"/>
          <w:b/>
          <w:bCs/>
          <w:color w:val="auto"/>
          <w:szCs w:val="22"/>
          <w:lang w:bidi="ar-SA"/>
        </w:rPr>
        <w:t xml:space="preserve">Participating Entity expressly acknowledges and agrees to the extent permitted by applicable law, use of the AMA Licensed Content is at Participating Entity ’s sole risk and the AMA Licensed Content is provided “as is” without warranty of any kind. The AMA does not directly or indirectly practice medicine or dispense medical services. Fee schedules, relative value units, conversion factors and/or related components are not assigned by the AMA, are not part of CPT, and the AMA is not recommending their use. The AMA Licensed Content does not replace the AMA’s </w:t>
      </w:r>
      <w:r w:rsidRPr="002C1915">
        <w:rPr>
          <w:rFonts w:eastAsiaTheme="minorHAnsi" w:cs="Arial"/>
          <w:b/>
          <w:bCs/>
          <w:i/>
          <w:iCs/>
          <w:color w:val="auto"/>
          <w:szCs w:val="22"/>
          <w:lang w:bidi="ar-SA"/>
        </w:rPr>
        <w:t xml:space="preserve">Current Procedural Terminology </w:t>
      </w:r>
      <w:r w:rsidRPr="002C1915">
        <w:rPr>
          <w:rFonts w:eastAsiaTheme="minorHAnsi" w:cs="Arial"/>
          <w:b/>
          <w:bCs/>
          <w:color w:val="auto"/>
          <w:szCs w:val="22"/>
          <w:lang w:bidi="ar-SA"/>
        </w:rPr>
        <w:t>book or other appropriate coding authority. The coding information contained in the AMA Licensed Content should be used only as a guide</w:t>
      </w:r>
      <w:r w:rsidRPr="002C1915">
        <w:rPr>
          <w:rFonts w:eastAsiaTheme="minorHAnsi" w:cs="Arial"/>
          <w:color w:val="auto"/>
          <w:szCs w:val="22"/>
          <w:lang w:bidi="ar-SA"/>
        </w:rPr>
        <w:t>.</w:t>
      </w:r>
    </w:p>
    <w:p w14:paraId="45E64C22" w14:textId="77777777" w:rsidR="002C1915" w:rsidRPr="002C1915" w:rsidRDefault="002C1915" w:rsidP="009F14A9">
      <w:pPr>
        <w:widowControl w:val="0"/>
        <w:suppressAutoHyphens/>
        <w:autoSpaceDE w:val="0"/>
        <w:autoSpaceDN w:val="0"/>
        <w:adjustRightInd w:val="0"/>
        <w:ind w:left="720" w:hanging="720"/>
        <w:jc w:val="both"/>
        <w:outlineLvl w:val="0"/>
        <w:rPr>
          <w:rFonts w:eastAsiaTheme="minorHAnsi" w:cs="Arial"/>
          <w:color w:val="auto"/>
          <w:szCs w:val="22"/>
          <w:lang w:bidi="ar-SA"/>
        </w:rPr>
      </w:pPr>
    </w:p>
    <w:p w14:paraId="2F038F9E" w14:textId="77777777" w:rsidR="002C1915" w:rsidRPr="002C1915" w:rsidRDefault="002C1915" w:rsidP="009F14A9">
      <w:pPr>
        <w:widowControl w:val="0"/>
        <w:numPr>
          <w:ilvl w:val="0"/>
          <w:numId w:val="68"/>
        </w:numPr>
        <w:suppressAutoHyphens/>
        <w:autoSpaceDE w:val="0"/>
        <w:autoSpaceDN w:val="0"/>
        <w:adjustRightInd w:val="0"/>
        <w:ind w:hanging="720"/>
        <w:jc w:val="both"/>
        <w:outlineLvl w:val="0"/>
        <w:rPr>
          <w:rFonts w:eastAsiaTheme="minorHAnsi" w:cs="Arial"/>
          <w:color w:val="auto"/>
          <w:szCs w:val="22"/>
          <w:lang w:bidi="ar-SA"/>
        </w:rPr>
      </w:pPr>
      <w:r w:rsidRPr="002C1915">
        <w:rPr>
          <w:rFonts w:eastAsiaTheme="minorHAnsi" w:cs="Arial"/>
          <w:color w:val="auto"/>
          <w:szCs w:val="22"/>
          <w:lang w:bidi="ar-SA"/>
        </w:rPr>
        <w:t xml:space="preserve">Participating Entity is required to keep records and submit reports including information necessary for the calculation of royalties payable to the AMA by HMS of the same type as required of HMS. All records and reports required under this section of these End User Terms shall be subject to audit by AMA. </w:t>
      </w:r>
    </w:p>
    <w:p w14:paraId="36A95D04" w14:textId="77777777" w:rsidR="002C1915" w:rsidRPr="002C1915" w:rsidRDefault="002C1915" w:rsidP="009F14A9">
      <w:pPr>
        <w:widowControl w:val="0"/>
        <w:suppressAutoHyphens/>
        <w:autoSpaceDE w:val="0"/>
        <w:autoSpaceDN w:val="0"/>
        <w:adjustRightInd w:val="0"/>
        <w:ind w:left="720" w:hanging="720"/>
        <w:jc w:val="both"/>
        <w:rPr>
          <w:rFonts w:eastAsiaTheme="minorHAnsi" w:cs="Arial"/>
          <w:color w:val="auto"/>
          <w:szCs w:val="22"/>
          <w:lang w:bidi="ar-SA"/>
        </w:rPr>
      </w:pPr>
    </w:p>
    <w:p w14:paraId="1A623A46" w14:textId="77777777" w:rsidR="002C1915" w:rsidRPr="002C1915" w:rsidRDefault="002C1915" w:rsidP="009F14A9">
      <w:pPr>
        <w:widowControl w:val="0"/>
        <w:numPr>
          <w:ilvl w:val="0"/>
          <w:numId w:val="68"/>
        </w:numPr>
        <w:suppressAutoHyphens/>
        <w:autoSpaceDE w:val="0"/>
        <w:autoSpaceDN w:val="0"/>
        <w:adjustRightInd w:val="0"/>
        <w:ind w:hanging="720"/>
        <w:jc w:val="both"/>
        <w:rPr>
          <w:rFonts w:eastAsiaTheme="minorHAnsi" w:cs="Arial"/>
          <w:color w:val="auto"/>
          <w:szCs w:val="22"/>
          <w:lang w:bidi="ar-SA"/>
        </w:rPr>
      </w:pPr>
      <w:r w:rsidRPr="002C1915">
        <w:rPr>
          <w:rFonts w:eastAsiaTheme="minorHAnsi" w:cs="Arial"/>
          <w:b/>
          <w:bCs/>
          <w:color w:val="auto"/>
          <w:szCs w:val="22"/>
          <w:lang w:bidi="ar-SA"/>
        </w:rPr>
        <w:t>U.S. Government End Users</w:t>
      </w:r>
      <w:r w:rsidRPr="002C1915">
        <w:rPr>
          <w:rFonts w:eastAsiaTheme="minorHAnsi" w:cs="Arial"/>
          <w:color w:val="auto"/>
          <w:szCs w:val="22"/>
          <w:lang w:bidi="ar-SA"/>
        </w:rPr>
        <w:t xml:space="preserve">. CPT is commercial technical data that was developed exclusively at private expense by the American Medical Association, 330 North Wabash Avenue, Chicago, Illinois 60611. This agreement does not grant the Federal Government a direct license to use CPT based on FAR 52.227-14 (Data Rights - General) and DFARS 252.227-7015 (Technical Data - Commercial Items). </w:t>
      </w:r>
      <w:r w:rsidRPr="002C1915">
        <w:rPr>
          <w:rFonts w:eastAsiaTheme="minorHAnsi" w:cs="Arial"/>
          <w:bCs/>
          <w:color w:val="auto"/>
          <w:szCs w:val="22"/>
          <w:lang w:bidi="ar-SA"/>
        </w:rPr>
        <w:t>The American Medical Association reserves all rights to approve any license with any Federal agency.</w:t>
      </w:r>
    </w:p>
    <w:p w14:paraId="45623E69" w14:textId="77777777" w:rsidR="002C1915" w:rsidRPr="002C1915" w:rsidRDefault="002C1915" w:rsidP="009F14A9">
      <w:pPr>
        <w:widowControl w:val="0"/>
        <w:suppressAutoHyphens/>
        <w:ind w:left="720" w:hanging="720"/>
        <w:jc w:val="both"/>
        <w:outlineLvl w:val="0"/>
        <w:rPr>
          <w:rFonts w:eastAsiaTheme="minorHAnsi" w:cs="Arial"/>
          <w:bCs/>
          <w:color w:val="auto"/>
          <w:szCs w:val="22"/>
          <w:lang w:bidi="ar-SA"/>
        </w:rPr>
      </w:pPr>
    </w:p>
    <w:p w14:paraId="650117B6" w14:textId="77777777" w:rsidR="002C1915" w:rsidRPr="002C1915" w:rsidRDefault="002C1915" w:rsidP="009F14A9">
      <w:pPr>
        <w:widowControl w:val="0"/>
        <w:numPr>
          <w:ilvl w:val="0"/>
          <w:numId w:val="68"/>
        </w:numPr>
        <w:suppressAutoHyphens/>
        <w:ind w:hanging="720"/>
        <w:jc w:val="both"/>
        <w:outlineLvl w:val="0"/>
        <w:rPr>
          <w:rFonts w:eastAsiaTheme="minorHAnsi" w:cs="Arial"/>
          <w:bCs/>
          <w:color w:val="auto"/>
          <w:szCs w:val="22"/>
          <w:lang w:bidi="ar-SA"/>
        </w:rPr>
      </w:pPr>
      <w:r w:rsidRPr="002C1915">
        <w:rPr>
          <w:rFonts w:eastAsiaTheme="minorHAnsi" w:cs="Arial"/>
          <w:color w:val="auto"/>
          <w:szCs w:val="22"/>
          <w:lang w:bidi="ar-SA"/>
        </w:rPr>
        <w:t>Participating Entity expressly consents to the release of its name to the AMA.</w:t>
      </w:r>
    </w:p>
    <w:p w14:paraId="75F78B96" w14:textId="77777777" w:rsidR="002C1915" w:rsidRPr="002C1915" w:rsidRDefault="002C1915" w:rsidP="009F14A9">
      <w:pPr>
        <w:widowControl w:val="0"/>
        <w:suppressAutoHyphens/>
        <w:ind w:left="720" w:hanging="720"/>
        <w:jc w:val="both"/>
        <w:outlineLvl w:val="0"/>
        <w:rPr>
          <w:rFonts w:eastAsiaTheme="minorHAnsi" w:cs="Arial"/>
          <w:bCs/>
          <w:color w:val="auto"/>
          <w:szCs w:val="22"/>
          <w:lang w:bidi="ar-SA"/>
        </w:rPr>
      </w:pPr>
    </w:p>
    <w:p w14:paraId="34B2FDF7" w14:textId="77777777" w:rsidR="002C1915" w:rsidRPr="002C1915" w:rsidRDefault="002C1915" w:rsidP="009F14A9">
      <w:pPr>
        <w:widowControl w:val="0"/>
        <w:numPr>
          <w:ilvl w:val="0"/>
          <w:numId w:val="68"/>
        </w:numPr>
        <w:suppressAutoHyphens/>
        <w:ind w:hanging="720"/>
        <w:jc w:val="both"/>
        <w:outlineLvl w:val="0"/>
        <w:rPr>
          <w:rFonts w:eastAsiaTheme="minorHAnsi" w:cs="Arial"/>
          <w:bCs/>
          <w:color w:val="auto"/>
          <w:szCs w:val="22"/>
          <w:lang w:bidi="ar-SA"/>
        </w:rPr>
      </w:pPr>
      <w:r w:rsidRPr="002C1915">
        <w:rPr>
          <w:rFonts w:eastAsiaTheme="minorHAnsi" w:cs="Arial"/>
          <w:bCs/>
          <w:color w:val="auto"/>
          <w:szCs w:val="22"/>
          <w:lang w:bidi="ar-SA"/>
        </w:rPr>
        <w:t>AMA is a third party beneficiary under these Terms solely for purposes of these AMA End User Terms.</w:t>
      </w:r>
    </w:p>
    <w:p w14:paraId="51C5CBF7" w14:textId="77777777" w:rsidR="002C1915" w:rsidRPr="002C1915" w:rsidRDefault="002C1915" w:rsidP="009F14A9">
      <w:pPr>
        <w:widowControl w:val="0"/>
        <w:suppressAutoHyphens/>
        <w:ind w:left="720" w:hanging="720"/>
        <w:jc w:val="both"/>
        <w:outlineLvl w:val="0"/>
        <w:rPr>
          <w:rFonts w:eastAsiaTheme="minorHAnsi" w:cs="Arial"/>
          <w:bCs/>
          <w:color w:val="auto"/>
          <w:kern w:val="32"/>
          <w:szCs w:val="22"/>
          <w:lang w:bidi="ar-SA"/>
        </w:rPr>
      </w:pPr>
    </w:p>
    <w:p w14:paraId="2C2E9767" w14:textId="77777777" w:rsidR="002C1915" w:rsidRPr="002C1915" w:rsidRDefault="002C1915" w:rsidP="009F14A9">
      <w:pPr>
        <w:widowControl w:val="0"/>
        <w:suppressAutoHyphens/>
        <w:ind w:left="720" w:hanging="720"/>
        <w:jc w:val="both"/>
        <w:outlineLvl w:val="0"/>
        <w:rPr>
          <w:rFonts w:eastAsiaTheme="minorHAnsi" w:cs="Arial"/>
          <w:bCs/>
          <w:color w:val="auto"/>
          <w:szCs w:val="22"/>
          <w:lang w:bidi="ar-SA"/>
        </w:rPr>
      </w:pPr>
      <w:r w:rsidRPr="002C1915">
        <w:rPr>
          <w:rFonts w:eastAsiaTheme="minorHAnsi" w:cs="Arial"/>
          <w:bCs/>
          <w:color w:val="auto"/>
          <w:szCs w:val="22"/>
          <w:lang w:bidi="ar-SA"/>
        </w:rPr>
        <w:t>13.</w:t>
      </w:r>
      <w:r w:rsidRPr="002C1915">
        <w:rPr>
          <w:rFonts w:eastAsiaTheme="minorHAnsi" w:cs="Arial"/>
          <w:bCs/>
          <w:color w:val="auto"/>
          <w:szCs w:val="22"/>
          <w:lang w:bidi="ar-SA"/>
        </w:rPr>
        <w:tab/>
        <w:t xml:space="preserve">Use of the AMA Licensed Content by Participating Entity and its Users may be terminated if Participating Entity or any of its User’s breaches these AMA End User Terms. If any of the provision of these AMA End User Terms is determined to violate any law or is unenforceable, the remainder of these AMA End User Terms will remain in full force and effect. </w:t>
      </w:r>
    </w:p>
    <w:p w14:paraId="127307A3" w14:textId="77777777" w:rsidR="002C1915" w:rsidRDefault="002C1915" w:rsidP="009F14A9">
      <w:pPr>
        <w:widowControl w:val="0"/>
        <w:suppressAutoHyphens/>
        <w:jc w:val="both"/>
        <w:outlineLvl w:val="0"/>
        <w:rPr>
          <w:rFonts w:eastAsiaTheme="minorHAnsi" w:cs="Arial"/>
          <w:bCs/>
          <w:color w:val="auto"/>
          <w:szCs w:val="22"/>
          <w:lang w:bidi="ar-SA"/>
        </w:rPr>
      </w:pPr>
    </w:p>
    <w:p w14:paraId="27623A6E" w14:textId="77777777" w:rsidR="009F14A9" w:rsidRDefault="009F14A9" w:rsidP="009F14A9">
      <w:pPr>
        <w:widowControl w:val="0"/>
        <w:suppressAutoHyphens/>
        <w:jc w:val="both"/>
        <w:outlineLvl w:val="0"/>
        <w:rPr>
          <w:rFonts w:eastAsiaTheme="minorHAnsi" w:cs="Arial"/>
          <w:bCs/>
          <w:color w:val="auto"/>
          <w:szCs w:val="22"/>
          <w:lang w:bidi="ar-SA"/>
        </w:rPr>
      </w:pPr>
    </w:p>
    <w:p w14:paraId="1FA2943B" w14:textId="77777777" w:rsidR="009F14A9" w:rsidRDefault="009F14A9" w:rsidP="009F14A9">
      <w:pPr>
        <w:widowControl w:val="0"/>
        <w:suppressAutoHyphens/>
        <w:jc w:val="both"/>
        <w:outlineLvl w:val="0"/>
        <w:rPr>
          <w:rFonts w:eastAsiaTheme="minorHAnsi" w:cs="Arial"/>
          <w:bCs/>
          <w:color w:val="auto"/>
          <w:szCs w:val="22"/>
          <w:lang w:bidi="ar-SA"/>
        </w:rPr>
      </w:pPr>
    </w:p>
    <w:p w14:paraId="720F4848" w14:textId="77777777" w:rsidR="009F14A9" w:rsidRPr="002C1915" w:rsidRDefault="009F14A9" w:rsidP="009F14A9">
      <w:pPr>
        <w:widowControl w:val="0"/>
        <w:suppressAutoHyphens/>
        <w:jc w:val="both"/>
        <w:outlineLvl w:val="0"/>
        <w:rPr>
          <w:rFonts w:eastAsiaTheme="minorHAnsi" w:cs="Arial"/>
          <w:bCs/>
          <w:color w:val="auto"/>
          <w:szCs w:val="22"/>
          <w:lang w:bidi="ar-SA"/>
        </w:rPr>
      </w:pPr>
    </w:p>
    <w:p w14:paraId="61F8BB0D" w14:textId="77777777" w:rsidR="002C1915" w:rsidRPr="002C1915" w:rsidRDefault="002C1915" w:rsidP="009F14A9">
      <w:pPr>
        <w:widowControl w:val="0"/>
        <w:suppressAutoHyphens/>
        <w:contextualSpacing/>
        <w:jc w:val="both"/>
        <w:outlineLvl w:val="0"/>
        <w:rPr>
          <w:rFonts w:eastAsiaTheme="minorHAnsi" w:cs="Arial"/>
          <w:b/>
          <w:bCs/>
          <w:color w:val="auto"/>
          <w:szCs w:val="22"/>
          <w:lang w:bidi="ar-SA"/>
        </w:rPr>
      </w:pPr>
      <w:r w:rsidRPr="002C1915">
        <w:rPr>
          <w:rFonts w:eastAsiaTheme="minorHAnsi" w:cs="Arial"/>
          <w:b/>
          <w:bCs/>
          <w:color w:val="auto"/>
          <w:kern w:val="32"/>
          <w:szCs w:val="22"/>
          <w:lang w:bidi="ar-SA"/>
        </w:rPr>
        <w:lastRenderedPageBreak/>
        <w:t>B.</w:t>
      </w:r>
      <w:r w:rsidRPr="002C1915">
        <w:rPr>
          <w:rFonts w:eastAsiaTheme="minorHAnsi" w:cs="Arial"/>
          <w:b/>
          <w:bCs/>
          <w:color w:val="auto"/>
          <w:kern w:val="32"/>
          <w:szCs w:val="22"/>
          <w:lang w:bidi="ar-SA"/>
        </w:rPr>
        <w:tab/>
        <w:t xml:space="preserve">AMERICAN DENTAL ASSOCIATION </w:t>
      </w:r>
      <w:r w:rsidRPr="002C1915">
        <w:rPr>
          <w:rFonts w:eastAsiaTheme="minorHAnsi" w:cs="Arial"/>
          <w:b/>
          <w:bCs/>
          <w:color w:val="auto"/>
          <w:szCs w:val="22"/>
          <w:lang w:bidi="ar-SA"/>
        </w:rPr>
        <w:t>END USER TERMS AND CONDITIONS</w:t>
      </w:r>
    </w:p>
    <w:p w14:paraId="1E2CBC77" w14:textId="77777777" w:rsidR="002C1915" w:rsidRPr="002C1915" w:rsidRDefault="002C1915" w:rsidP="009F14A9">
      <w:pPr>
        <w:widowControl w:val="0"/>
        <w:suppressAutoHyphens/>
        <w:contextualSpacing/>
        <w:jc w:val="both"/>
        <w:outlineLvl w:val="0"/>
        <w:rPr>
          <w:rFonts w:eastAsiaTheme="minorHAnsi" w:cs="Arial"/>
          <w:color w:val="auto"/>
          <w:kern w:val="32"/>
          <w:szCs w:val="22"/>
          <w:lang w:bidi="ar-SA"/>
        </w:rPr>
      </w:pPr>
    </w:p>
    <w:p w14:paraId="3546D36F" w14:textId="77777777" w:rsidR="002C1915" w:rsidRPr="002C1915" w:rsidRDefault="002C1915" w:rsidP="009F14A9">
      <w:pPr>
        <w:widowControl w:val="0"/>
        <w:suppressAutoHyphens/>
        <w:contextualSpacing/>
        <w:jc w:val="both"/>
        <w:outlineLvl w:val="0"/>
        <w:rPr>
          <w:rFonts w:eastAsiaTheme="minorHAnsi" w:cs="Arial"/>
          <w:color w:val="auto"/>
          <w:kern w:val="32"/>
          <w:szCs w:val="22"/>
          <w:lang w:bidi="ar-SA"/>
        </w:rPr>
      </w:pPr>
      <w:r w:rsidRPr="002C1915">
        <w:rPr>
          <w:rFonts w:eastAsiaTheme="minorHAnsi" w:cs="Arial"/>
          <w:color w:val="auto"/>
          <w:kern w:val="32"/>
          <w:szCs w:val="22"/>
          <w:lang w:bidi="ar-SA"/>
        </w:rPr>
        <w:t>The FraudCapture Platform incorporates the American Dental Association (“</w:t>
      </w:r>
      <w:r w:rsidRPr="002C1915">
        <w:rPr>
          <w:rFonts w:eastAsiaTheme="minorHAnsi" w:cs="Arial"/>
          <w:b/>
          <w:bCs/>
          <w:color w:val="auto"/>
          <w:kern w:val="32"/>
          <w:szCs w:val="22"/>
          <w:lang w:bidi="ar-SA"/>
        </w:rPr>
        <w:t>ADA</w:t>
      </w:r>
      <w:r w:rsidRPr="002C1915">
        <w:rPr>
          <w:rFonts w:eastAsiaTheme="minorHAnsi" w:cs="Arial"/>
          <w:color w:val="auto"/>
          <w:kern w:val="32"/>
          <w:szCs w:val="22"/>
          <w:lang w:bidi="ar-SA"/>
        </w:rPr>
        <w:t>”) Current Dental Terminology® codes and descriptions (“</w:t>
      </w:r>
      <w:r w:rsidRPr="002C1915">
        <w:rPr>
          <w:rFonts w:eastAsiaTheme="minorHAnsi" w:cs="Arial"/>
          <w:b/>
          <w:bCs/>
          <w:color w:val="auto"/>
          <w:kern w:val="32"/>
          <w:szCs w:val="22"/>
          <w:lang w:bidi="ar-SA"/>
        </w:rPr>
        <w:t>CDT®</w:t>
      </w:r>
      <w:r w:rsidRPr="002C1915">
        <w:rPr>
          <w:rFonts w:eastAsiaTheme="minorHAnsi" w:cs="Arial"/>
          <w:color w:val="auto"/>
          <w:kern w:val="32"/>
          <w:szCs w:val="22"/>
          <w:lang w:bidi="ar-SA"/>
        </w:rPr>
        <w:t xml:space="preserve">”) made available under a license granted by the ADA. Gainwell is authorized by the ADA to distribute to and sublicense use of the CDT to Participating Entity and its Users via use of the FraudCapture Platform subject to Participating Entity  and its Users being bound by these ADA End User Terms. </w:t>
      </w:r>
    </w:p>
    <w:p w14:paraId="792A179F" w14:textId="77777777" w:rsidR="002C1915" w:rsidRPr="002C1915" w:rsidRDefault="002C1915" w:rsidP="009F14A9">
      <w:pPr>
        <w:widowControl w:val="0"/>
        <w:suppressAutoHyphens/>
        <w:contextualSpacing/>
        <w:jc w:val="both"/>
        <w:outlineLvl w:val="0"/>
        <w:rPr>
          <w:rFonts w:eastAsiaTheme="minorHAnsi" w:cs="Arial"/>
          <w:color w:val="auto"/>
          <w:kern w:val="32"/>
          <w:szCs w:val="22"/>
          <w:lang w:bidi="ar-SA"/>
        </w:rPr>
      </w:pPr>
    </w:p>
    <w:p w14:paraId="5ED927D8" w14:textId="77777777" w:rsidR="002C1915" w:rsidRPr="002C1915" w:rsidRDefault="002C1915" w:rsidP="009F14A9">
      <w:pPr>
        <w:widowControl w:val="0"/>
        <w:suppressAutoHyphens/>
        <w:contextualSpacing/>
        <w:jc w:val="both"/>
        <w:outlineLvl w:val="0"/>
        <w:rPr>
          <w:rFonts w:eastAsiaTheme="minorHAnsi" w:cs="Arial"/>
          <w:color w:val="auto"/>
          <w:kern w:val="32"/>
          <w:szCs w:val="22"/>
          <w:lang w:bidi="ar-SA"/>
        </w:rPr>
      </w:pPr>
      <w:r w:rsidRPr="002C1915">
        <w:rPr>
          <w:rFonts w:eastAsiaTheme="minorHAnsi" w:cs="Arial"/>
          <w:color w:val="auto"/>
          <w:kern w:val="32"/>
          <w:szCs w:val="22"/>
          <w:lang w:bidi="ar-SA"/>
        </w:rPr>
        <w:t>Participating Entity on behalf of itself and its Users agrees to the following ADA terms and conditions (“</w:t>
      </w:r>
      <w:r w:rsidRPr="002C1915">
        <w:rPr>
          <w:rFonts w:eastAsiaTheme="minorHAnsi" w:cs="Arial"/>
          <w:b/>
          <w:bCs/>
          <w:color w:val="auto"/>
          <w:kern w:val="32"/>
          <w:szCs w:val="22"/>
          <w:lang w:bidi="ar-SA"/>
        </w:rPr>
        <w:t>ADA End User Terms</w:t>
      </w:r>
      <w:r w:rsidRPr="002C1915">
        <w:rPr>
          <w:rFonts w:eastAsiaTheme="minorHAnsi" w:cs="Arial"/>
          <w:color w:val="auto"/>
          <w:kern w:val="32"/>
          <w:szCs w:val="22"/>
          <w:lang w:bidi="ar-SA"/>
        </w:rPr>
        <w:t>”):</w:t>
      </w:r>
    </w:p>
    <w:p w14:paraId="4BDA77B0" w14:textId="77777777" w:rsidR="002C1915" w:rsidRPr="002C1915" w:rsidRDefault="002C1915" w:rsidP="009F14A9">
      <w:pPr>
        <w:widowControl w:val="0"/>
        <w:suppressAutoHyphens/>
        <w:contextualSpacing/>
        <w:jc w:val="both"/>
        <w:outlineLvl w:val="0"/>
        <w:rPr>
          <w:rFonts w:eastAsiaTheme="minorHAnsi" w:cs="Arial"/>
          <w:color w:val="auto"/>
          <w:kern w:val="32"/>
          <w:szCs w:val="22"/>
          <w:lang w:bidi="ar-SA"/>
        </w:rPr>
      </w:pPr>
    </w:p>
    <w:p w14:paraId="172E7C32" w14:textId="77777777" w:rsidR="002C1915" w:rsidRPr="002C1915" w:rsidRDefault="002C1915" w:rsidP="009F14A9">
      <w:pPr>
        <w:widowControl w:val="0"/>
        <w:suppressAutoHyphens/>
        <w:ind w:left="720" w:hanging="720"/>
        <w:contextualSpacing/>
        <w:jc w:val="both"/>
        <w:outlineLvl w:val="0"/>
        <w:rPr>
          <w:rFonts w:eastAsiaTheme="minorHAnsi" w:cs="Arial"/>
          <w:color w:val="auto"/>
          <w:kern w:val="32"/>
          <w:szCs w:val="22"/>
          <w:lang w:bidi="ar-SA"/>
        </w:rPr>
      </w:pPr>
      <w:r w:rsidRPr="002C1915">
        <w:rPr>
          <w:rFonts w:eastAsiaTheme="minorHAnsi" w:cs="Arial"/>
          <w:color w:val="auto"/>
          <w:kern w:val="32"/>
          <w:szCs w:val="22"/>
          <w:lang w:bidi="ar-SA"/>
        </w:rPr>
        <w:t>1.</w:t>
      </w:r>
      <w:r w:rsidRPr="002C1915">
        <w:rPr>
          <w:rFonts w:eastAsiaTheme="minorHAnsi" w:cs="Arial"/>
          <w:color w:val="auto"/>
          <w:kern w:val="32"/>
          <w:szCs w:val="22"/>
          <w:lang w:bidi="ar-SA"/>
        </w:rPr>
        <w:tab/>
      </w:r>
      <w:r w:rsidRPr="002C1915">
        <w:rPr>
          <w:rFonts w:eastAsiaTheme="minorHAnsi" w:cs="Arial"/>
          <w:b/>
          <w:bCs/>
          <w:color w:val="auto"/>
          <w:kern w:val="32"/>
          <w:szCs w:val="22"/>
          <w:lang w:bidi="ar-SA"/>
        </w:rPr>
        <w:t>ADA</w:t>
      </w:r>
      <w:r w:rsidRPr="002C1915">
        <w:rPr>
          <w:rFonts w:eastAsiaTheme="minorHAnsi" w:cs="Arial"/>
          <w:color w:val="auto"/>
          <w:kern w:val="32"/>
          <w:szCs w:val="22"/>
          <w:lang w:bidi="ar-SA"/>
        </w:rPr>
        <w:t xml:space="preserve"> </w:t>
      </w:r>
      <w:r w:rsidRPr="002C1915">
        <w:rPr>
          <w:rFonts w:eastAsiaTheme="minorHAnsi" w:cs="Arial"/>
          <w:b/>
          <w:bCs/>
          <w:color w:val="auto"/>
          <w:kern w:val="32"/>
          <w:szCs w:val="22"/>
          <w:lang w:bidi="ar-SA"/>
        </w:rPr>
        <w:t>End User License Grant</w:t>
      </w:r>
      <w:r w:rsidRPr="002C1915">
        <w:rPr>
          <w:rFonts w:eastAsiaTheme="minorHAnsi" w:cs="Arial"/>
          <w:color w:val="auto"/>
          <w:kern w:val="32"/>
          <w:szCs w:val="22"/>
          <w:lang w:bidi="ar-SA"/>
        </w:rPr>
        <w:t>. Participating Entity  is hereby granted a non-exclusive, non-transferable right to use the CDT solely as part of the FraudCapture Platform and solely for Participating Entity ’s internal business purposes and not for redistribution. This License grants Participating Entity the right: (a) access and use the CDT as part of Participating Entity ’s use of the FraudCapture System; (b) to retrieve CDT codes, descriptors and nomenclature via commands contained in the FraudCapture Platform for the exclusive use of Participating Entity  and its employees and contractors; (c) to reproduce and distribute partial listings of the CDT codes, nomenclature and descriptors in various printed and electronic documents for purposes of claims processing, billing and patient treatment, via commands contained in the FraudCapture Platform; (d) to print limited portions of the CDT solely for the exclusive use of Participating Entity; and (e) to print a complete listing of the CDT codes, nomenclature and descriptors solely for the exclusive use of Participating Entity.</w:t>
      </w:r>
    </w:p>
    <w:p w14:paraId="6D5F5B29" w14:textId="77777777" w:rsidR="002C1915" w:rsidRPr="002C1915" w:rsidRDefault="002C1915" w:rsidP="009F14A9">
      <w:pPr>
        <w:widowControl w:val="0"/>
        <w:suppressAutoHyphens/>
        <w:ind w:left="720" w:hanging="720"/>
        <w:contextualSpacing/>
        <w:jc w:val="both"/>
        <w:outlineLvl w:val="0"/>
        <w:rPr>
          <w:rFonts w:eastAsiaTheme="minorHAnsi" w:cs="Arial"/>
          <w:color w:val="auto"/>
          <w:kern w:val="32"/>
          <w:szCs w:val="22"/>
          <w:lang w:bidi="ar-SA"/>
        </w:rPr>
      </w:pPr>
    </w:p>
    <w:p w14:paraId="7E391B4B" w14:textId="77777777" w:rsidR="002C1915" w:rsidRPr="002C1915" w:rsidRDefault="002C1915" w:rsidP="009F14A9">
      <w:pPr>
        <w:widowControl w:val="0"/>
        <w:suppressAutoHyphens/>
        <w:ind w:left="720" w:hanging="720"/>
        <w:contextualSpacing/>
        <w:jc w:val="both"/>
        <w:outlineLvl w:val="0"/>
        <w:rPr>
          <w:rFonts w:eastAsiaTheme="minorHAnsi" w:cs="Arial"/>
          <w:color w:val="auto"/>
          <w:kern w:val="32"/>
          <w:szCs w:val="22"/>
          <w:lang w:bidi="ar-SA"/>
        </w:rPr>
      </w:pPr>
      <w:r w:rsidRPr="002C1915">
        <w:rPr>
          <w:rFonts w:eastAsiaTheme="minorHAnsi" w:cs="Arial"/>
          <w:color w:val="auto"/>
          <w:kern w:val="32"/>
          <w:szCs w:val="22"/>
          <w:lang w:bidi="ar-SA"/>
        </w:rPr>
        <w:t>2.</w:t>
      </w:r>
      <w:r w:rsidRPr="002C1915">
        <w:rPr>
          <w:rFonts w:eastAsiaTheme="minorHAnsi" w:cs="Arial"/>
          <w:color w:val="auto"/>
          <w:kern w:val="32"/>
          <w:szCs w:val="22"/>
          <w:lang w:bidi="ar-SA"/>
        </w:rPr>
        <w:tab/>
      </w:r>
      <w:r w:rsidRPr="002C1915">
        <w:rPr>
          <w:rFonts w:eastAsiaTheme="minorHAnsi" w:cs="Arial"/>
          <w:b/>
          <w:bCs/>
          <w:color w:val="auto"/>
          <w:kern w:val="32"/>
          <w:szCs w:val="22"/>
          <w:lang w:bidi="ar-SA"/>
        </w:rPr>
        <w:t>End User License Restrictions</w:t>
      </w:r>
      <w:r w:rsidRPr="002C1915">
        <w:rPr>
          <w:rFonts w:eastAsiaTheme="minorHAnsi" w:cs="Arial"/>
          <w:color w:val="auto"/>
          <w:kern w:val="32"/>
          <w:szCs w:val="22"/>
          <w:lang w:bidi="ar-SA"/>
        </w:rPr>
        <w:t>. Except as expressly permitted in the ADA End User License Grant above, Participating Entity may not and may not permit anyone else to (a) copy the CDT; (b) alter, amend, change or modify the CDT, including the CDT codes, nomenclature and descriptors or other content of the CDT*; (c) remove any copyright or other proprietary notices, labels or marks from the CDT or from output created by using the FraudCapture Platform; (d) distribute, sell, assign, lease or otherwise transfer the CDT, including the Code or any portion thereof, in any printed, machine-readable or other form to any other person, firm or entity, including but not limited to, as output; or (e) use the CDT, whether on a time-sharing, remote job entry or other multiple user arrangement. Participating Entity  shall take reasonable measures to maintain the security of the CDT.</w:t>
      </w:r>
    </w:p>
    <w:p w14:paraId="6FD8FF8F" w14:textId="77777777" w:rsidR="002C1915" w:rsidRPr="002C1915" w:rsidRDefault="002C1915" w:rsidP="009F14A9">
      <w:pPr>
        <w:widowControl w:val="0"/>
        <w:suppressAutoHyphens/>
        <w:ind w:left="720" w:hanging="720"/>
        <w:contextualSpacing/>
        <w:jc w:val="both"/>
        <w:outlineLvl w:val="0"/>
        <w:rPr>
          <w:rFonts w:eastAsiaTheme="minorHAnsi" w:cs="Arial"/>
          <w:color w:val="auto"/>
          <w:kern w:val="32"/>
          <w:szCs w:val="22"/>
          <w:lang w:bidi="ar-SA"/>
        </w:rPr>
      </w:pPr>
    </w:p>
    <w:p w14:paraId="72D0FFC4" w14:textId="77777777" w:rsidR="002C1915" w:rsidRPr="002C1915" w:rsidRDefault="002C1915" w:rsidP="009F14A9">
      <w:pPr>
        <w:widowControl w:val="0"/>
        <w:suppressAutoHyphens/>
        <w:ind w:left="1080"/>
        <w:contextualSpacing/>
        <w:jc w:val="both"/>
        <w:outlineLvl w:val="0"/>
        <w:rPr>
          <w:rFonts w:eastAsiaTheme="minorHAnsi" w:cs="Arial"/>
          <w:color w:val="auto"/>
          <w:kern w:val="32"/>
          <w:szCs w:val="22"/>
          <w:lang w:bidi="ar-SA"/>
        </w:rPr>
      </w:pPr>
      <w:r w:rsidRPr="002C1915">
        <w:rPr>
          <w:rFonts w:eastAsiaTheme="minorHAnsi" w:cs="Arial"/>
          <w:color w:val="auto"/>
          <w:kern w:val="32"/>
          <w:szCs w:val="22"/>
          <w:lang w:bidi="ar-SA"/>
        </w:rPr>
        <w:t>*This shall not limit Participating Entity ’s right to add additional content to the FraudCapture Platform (“</w:t>
      </w:r>
      <w:r w:rsidRPr="002C1915">
        <w:rPr>
          <w:rFonts w:eastAsiaTheme="minorHAnsi" w:cs="Arial"/>
          <w:b/>
          <w:bCs/>
          <w:color w:val="auto"/>
          <w:kern w:val="32"/>
          <w:szCs w:val="22"/>
          <w:lang w:bidi="ar-SA"/>
        </w:rPr>
        <w:t xml:space="preserve">Participating Entity </w:t>
      </w:r>
      <w:r w:rsidRPr="002C1915">
        <w:rPr>
          <w:rFonts w:eastAsiaTheme="minorHAnsi" w:cs="Arial"/>
          <w:color w:val="auto"/>
          <w:kern w:val="32"/>
          <w:szCs w:val="22"/>
          <w:lang w:bidi="ar-SA"/>
        </w:rPr>
        <w:t xml:space="preserve"> </w:t>
      </w:r>
      <w:r w:rsidRPr="002C1915">
        <w:rPr>
          <w:rFonts w:eastAsiaTheme="minorHAnsi" w:cs="Arial"/>
          <w:b/>
          <w:bCs/>
          <w:color w:val="auto"/>
          <w:kern w:val="32"/>
          <w:szCs w:val="22"/>
          <w:lang w:bidi="ar-SA"/>
        </w:rPr>
        <w:t>Content</w:t>
      </w:r>
      <w:r w:rsidRPr="002C1915">
        <w:rPr>
          <w:rFonts w:eastAsiaTheme="minorHAnsi" w:cs="Arial"/>
          <w:color w:val="auto"/>
          <w:kern w:val="32"/>
          <w:szCs w:val="22"/>
          <w:lang w:bidi="ar-SA"/>
        </w:rPr>
        <w:t>”); provided: (i) Participating Entity does not alter, amend, change or modify existing CDT codes, nomenclature and descriptors or other CDT content, and (ii) Participating Entity ’s output does not claim or otherwise imply that such Participating Entity  Content is owned, created, approved or endorsed by ADA.</w:t>
      </w:r>
    </w:p>
    <w:p w14:paraId="56F0F4EB" w14:textId="77777777" w:rsidR="002C1915" w:rsidRPr="002C1915" w:rsidRDefault="002C1915" w:rsidP="009F14A9">
      <w:pPr>
        <w:widowControl w:val="0"/>
        <w:suppressAutoHyphens/>
        <w:ind w:left="720" w:hanging="720"/>
        <w:contextualSpacing/>
        <w:jc w:val="both"/>
        <w:outlineLvl w:val="0"/>
        <w:rPr>
          <w:rFonts w:eastAsiaTheme="minorHAnsi" w:cs="Arial"/>
          <w:color w:val="auto"/>
          <w:kern w:val="32"/>
          <w:szCs w:val="22"/>
          <w:lang w:bidi="ar-SA"/>
        </w:rPr>
      </w:pPr>
    </w:p>
    <w:p w14:paraId="74F0B8CE" w14:textId="77777777" w:rsidR="002C1915" w:rsidRPr="002C1915" w:rsidRDefault="002C1915" w:rsidP="009F14A9">
      <w:pPr>
        <w:widowControl w:val="0"/>
        <w:suppressAutoHyphens/>
        <w:ind w:left="720"/>
        <w:contextualSpacing/>
        <w:jc w:val="both"/>
        <w:outlineLvl w:val="0"/>
        <w:rPr>
          <w:rFonts w:eastAsiaTheme="minorHAnsi" w:cs="Arial"/>
          <w:color w:val="auto"/>
          <w:kern w:val="32"/>
          <w:szCs w:val="22"/>
          <w:lang w:bidi="ar-SA"/>
        </w:rPr>
      </w:pPr>
      <w:r w:rsidRPr="002C1915">
        <w:rPr>
          <w:rFonts w:eastAsiaTheme="minorHAnsi" w:cs="Arial"/>
          <w:color w:val="auto"/>
          <w:kern w:val="32"/>
          <w:szCs w:val="22"/>
          <w:lang w:bidi="ar-SA"/>
        </w:rPr>
        <w:t xml:space="preserve">IN NO EVENT SHALL PARTICIPATING ENTITY USE THE FRAUDCAPTURE PLATFORM FOR OR ON BEHALF OF ANY THIRD PARTY, INCLUDING BUT NOT LIMITED TO USE OF THE FRAUDCAPTURE PLATFORM TO PROVIDE CONSULTING, TIME-SHARING OR OUTSOURCING SERVICES OR TO </w:t>
      </w:r>
      <w:proofErr w:type="gramStart"/>
      <w:r w:rsidRPr="002C1915">
        <w:rPr>
          <w:rFonts w:eastAsiaTheme="minorHAnsi" w:cs="Arial"/>
          <w:color w:val="auto"/>
          <w:kern w:val="32"/>
          <w:szCs w:val="22"/>
          <w:lang w:bidi="ar-SA"/>
        </w:rPr>
        <w:t>ACT AS</w:t>
      </w:r>
      <w:proofErr w:type="gramEnd"/>
      <w:r w:rsidRPr="002C1915">
        <w:rPr>
          <w:rFonts w:eastAsiaTheme="minorHAnsi" w:cs="Arial"/>
          <w:color w:val="auto"/>
          <w:kern w:val="32"/>
          <w:szCs w:val="22"/>
          <w:lang w:bidi="ar-SA"/>
        </w:rPr>
        <w:t xml:space="preserve"> A SERVICE BUREAU OPERATION. PARTICIPATING ENTITY IS EXPRESSLY PROHIBITED FROM DISTRIBUTING OUTPUT, INCLUDING THE CDT CODES OR PORTIONS THEREOF, </w:t>
      </w:r>
      <w:r w:rsidRPr="002C1915">
        <w:rPr>
          <w:rFonts w:eastAsiaTheme="minorHAnsi" w:cs="Arial"/>
          <w:color w:val="auto"/>
          <w:kern w:val="32"/>
          <w:szCs w:val="22"/>
          <w:lang w:bidi="ar-SA"/>
        </w:rPr>
        <w:lastRenderedPageBreak/>
        <w:t>TO ANY PERSON, FIRM OR ENTITY. The foregoing restriction shall not be deemed to restrict the Participating Entity  from using the CDT codes in the ordinary course of its business, to identify procedures used in the treatment of patients, and processing of insurance claims.</w:t>
      </w:r>
    </w:p>
    <w:p w14:paraId="51EEA415" w14:textId="77777777" w:rsidR="002C1915" w:rsidRPr="002C1915" w:rsidRDefault="002C1915" w:rsidP="009F14A9">
      <w:pPr>
        <w:widowControl w:val="0"/>
        <w:suppressAutoHyphens/>
        <w:ind w:left="720" w:hanging="720"/>
        <w:contextualSpacing/>
        <w:jc w:val="both"/>
        <w:outlineLvl w:val="0"/>
        <w:rPr>
          <w:rFonts w:eastAsiaTheme="minorHAnsi" w:cs="Arial"/>
          <w:color w:val="auto"/>
          <w:kern w:val="32"/>
          <w:szCs w:val="22"/>
          <w:lang w:bidi="ar-SA"/>
        </w:rPr>
      </w:pPr>
    </w:p>
    <w:p w14:paraId="4B198D2C" w14:textId="77777777" w:rsidR="002C1915" w:rsidRPr="002C1915" w:rsidRDefault="002C1915" w:rsidP="009F14A9">
      <w:pPr>
        <w:widowControl w:val="0"/>
        <w:suppressAutoHyphens/>
        <w:ind w:left="720" w:hanging="720"/>
        <w:contextualSpacing/>
        <w:jc w:val="both"/>
        <w:outlineLvl w:val="0"/>
        <w:rPr>
          <w:rFonts w:eastAsiaTheme="minorHAnsi" w:cs="Arial"/>
          <w:color w:val="auto"/>
          <w:kern w:val="32"/>
          <w:szCs w:val="22"/>
          <w:lang w:bidi="ar-SA"/>
        </w:rPr>
      </w:pPr>
      <w:r w:rsidRPr="002C1915">
        <w:rPr>
          <w:rFonts w:eastAsiaTheme="minorHAnsi" w:cs="Arial"/>
          <w:color w:val="auto"/>
          <w:kern w:val="32"/>
          <w:szCs w:val="22"/>
          <w:lang w:bidi="ar-SA"/>
        </w:rPr>
        <w:t>3.</w:t>
      </w:r>
      <w:r w:rsidRPr="002C1915">
        <w:rPr>
          <w:rFonts w:eastAsiaTheme="minorHAnsi" w:cs="Arial"/>
          <w:color w:val="auto"/>
          <w:kern w:val="32"/>
          <w:szCs w:val="22"/>
          <w:lang w:bidi="ar-SA"/>
        </w:rPr>
        <w:tab/>
      </w:r>
      <w:r w:rsidRPr="002C1915">
        <w:rPr>
          <w:rFonts w:eastAsiaTheme="minorHAnsi" w:cs="Arial"/>
          <w:b/>
          <w:bCs/>
          <w:color w:val="auto"/>
          <w:kern w:val="32"/>
          <w:szCs w:val="22"/>
          <w:lang w:bidi="ar-SA"/>
        </w:rPr>
        <w:t>Ownership of Intellectual Property</w:t>
      </w:r>
      <w:r w:rsidRPr="002C1915">
        <w:rPr>
          <w:rFonts w:eastAsiaTheme="minorHAnsi" w:cs="Arial"/>
          <w:color w:val="auto"/>
          <w:kern w:val="32"/>
          <w:szCs w:val="22"/>
          <w:lang w:bidi="ar-SA"/>
        </w:rPr>
        <w:t>. Participating Entity acknowledges and agrees that ADA owns all right, title and interest (including all copyrights and other intellectual property rights) in the CDT (in all print and machine readable forms), all other rights of commercialization, rental or sale of the CDT or any part thereof, the right to make derivatives of the CDT and the right to distribute the CDT and copies thereof. Participating Entity acquires no proprietary of the CDT and the right to distribute the CDT and copies thereof. Participating Entity  acquires no proprietary interest in the CDT, or any portion thereof. Except for the limited rights expressly granted to Participating Entity under these ADA End User Terms, all other rights in the CDT are owned and retained by ADA.</w:t>
      </w:r>
    </w:p>
    <w:p w14:paraId="2E49BF21" w14:textId="77777777" w:rsidR="002C1915" w:rsidRPr="002C1915" w:rsidRDefault="002C1915" w:rsidP="009F14A9">
      <w:pPr>
        <w:widowControl w:val="0"/>
        <w:suppressAutoHyphens/>
        <w:ind w:left="720" w:hanging="720"/>
        <w:contextualSpacing/>
        <w:jc w:val="both"/>
        <w:outlineLvl w:val="0"/>
        <w:rPr>
          <w:rFonts w:eastAsiaTheme="minorHAnsi" w:cs="Arial"/>
          <w:color w:val="auto"/>
          <w:kern w:val="32"/>
          <w:szCs w:val="22"/>
          <w:lang w:bidi="ar-SA"/>
        </w:rPr>
      </w:pPr>
    </w:p>
    <w:p w14:paraId="5E362F46" w14:textId="77777777" w:rsidR="002C1915" w:rsidRPr="002C1915" w:rsidRDefault="002C1915" w:rsidP="009F14A9">
      <w:pPr>
        <w:widowControl w:val="0"/>
        <w:suppressAutoHyphens/>
        <w:ind w:left="720" w:hanging="720"/>
        <w:contextualSpacing/>
        <w:jc w:val="both"/>
        <w:outlineLvl w:val="0"/>
        <w:rPr>
          <w:rFonts w:eastAsiaTheme="minorHAnsi" w:cs="Arial"/>
          <w:color w:val="auto"/>
          <w:kern w:val="32"/>
          <w:szCs w:val="22"/>
          <w:lang w:bidi="ar-SA"/>
        </w:rPr>
      </w:pPr>
      <w:r w:rsidRPr="002C1915">
        <w:rPr>
          <w:rFonts w:eastAsiaTheme="minorHAnsi" w:cs="Arial"/>
          <w:color w:val="auto"/>
          <w:kern w:val="32"/>
          <w:szCs w:val="22"/>
          <w:lang w:bidi="ar-SA"/>
        </w:rPr>
        <w:t>4.</w:t>
      </w:r>
      <w:r w:rsidRPr="002C1915">
        <w:rPr>
          <w:rFonts w:eastAsiaTheme="minorHAnsi" w:cs="Arial"/>
          <w:color w:val="auto"/>
          <w:kern w:val="32"/>
          <w:szCs w:val="22"/>
          <w:lang w:bidi="ar-SA"/>
        </w:rPr>
        <w:tab/>
      </w:r>
      <w:r w:rsidRPr="002C1915">
        <w:rPr>
          <w:rFonts w:eastAsiaTheme="minorHAnsi" w:cs="Arial"/>
          <w:b/>
          <w:bCs/>
          <w:color w:val="auto"/>
          <w:kern w:val="32"/>
          <w:szCs w:val="22"/>
          <w:lang w:bidi="ar-SA"/>
        </w:rPr>
        <w:t>Warranty</w:t>
      </w:r>
      <w:r w:rsidRPr="002C1915">
        <w:rPr>
          <w:rFonts w:eastAsiaTheme="minorHAnsi" w:cs="Arial"/>
          <w:color w:val="auto"/>
          <w:kern w:val="32"/>
          <w:szCs w:val="22"/>
          <w:lang w:bidi="ar-SA"/>
        </w:rPr>
        <w:t>. EXCEPT AS EXPRESSLY STATED HEREIN, THE CDT IS PROVIDED "AS IS" WITHOUT WARRANTY OF ANY KIND, EXPRESS OR IMPLIED INCLUDING, BUT NOT LIMITED TO, WARRANTIES OF PERFORMANCE OR MERCHANTABILITY OR FITNESS FOR A PARTICULAR PURPOSE. END USER BEARS ALL RISK RELATING TO QUALITY, ACCURACY AND PERFORMANCE OF THE CDT.</w:t>
      </w:r>
    </w:p>
    <w:p w14:paraId="5FC08BE9" w14:textId="77777777" w:rsidR="002C1915" w:rsidRPr="002C1915" w:rsidRDefault="002C1915" w:rsidP="009F14A9">
      <w:pPr>
        <w:widowControl w:val="0"/>
        <w:suppressAutoHyphens/>
        <w:ind w:left="720" w:hanging="720"/>
        <w:contextualSpacing/>
        <w:jc w:val="both"/>
        <w:outlineLvl w:val="0"/>
        <w:rPr>
          <w:rFonts w:eastAsiaTheme="minorHAnsi" w:cs="Arial"/>
          <w:color w:val="auto"/>
          <w:kern w:val="32"/>
          <w:szCs w:val="22"/>
          <w:lang w:bidi="ar-SA"/>
        </w:rPr>
      </w:pPr>
    </w:p>
    <w:p w14:paraId="78C450AB" w14:textId="77777777" w:rsidR="002C1915" w:rsidRPr="002C1915" w:rsidRDefault="002C1915" w:rsidP="009F14A9">
      <w:pPr>
        <w:widowControl w:val="0"/>
        <w:suppressAutoHyphens/>
        <w:ind w:left="720" w:hanging="720"/>
        <w:contextualSpacing/>
        <w:jc w:val="both"/>
        <w:outlineLvl w:val="0"/>
        <w:rPr>
          <w:rFonts w:eastAsiaTheme="minorHAnsi" w:cs="Arial"/>
          <w:color w:val="auto"/>
          <w:kern w:val="32"/>
          <w:szCs w:val="22"/>
          <w:lang w:bidi="ar-SA"/>
        </w:rPr>
      </w:pPr>
      <w:r w:rsidRPr="002C1915">
        <w:rPr>
          <w:rFonts w:eastAsiaTheme="minorHAnsi" w:cs="Arial"/>
          <w:color w:val="auto"/>
          <w:kern w:val="32"/>
          <w:szCs w:val="22"/>
          <w:lang w:bidi="ar-SA"/>
        </w:rPr>
        <w:t>5.</w:t>
      </w:r>
      <w:r w:rsidRPr="002C1915">
        <w:rPr>
          <w:rFonts w:eastAsiaTheme="minorHAnsi" w:cs="Arial"/>
          <w:color w:val="auto"/>
          <w:kern w:val="32"/>
          <w:szCs w:val="22"/>
          <w:lang w:bidi="ar-SA"/>
        </w:rPr>
        <w:tab/>
      </w:r>
      <w:r w:rsidRPr="002C1915">
        <w:rPr>
          <w:rFonts w:eastAsiaTheme="minorHAnsi" w:cs="Arial"/>
          <w:b/>
          <w:bCs/>
          <w:color w:val="auto"/>
          <w:kern w:val="32"/>
          <w:szCs w:val="22"/>
          <w:lang w:bidi="ar-SA"/>
        </w:rPr>
        <w:t>Limitation of Liability</w:t>
      </w:r>
      <w:r w:rsidRPr="002C1915">
        <w:rPr>
          <w:rFonts w:eastAsiaTheme="minorHAnsi" w:cs="Arial"/>
          <w:color w:val="auto"/>
          <w:kern w:val="32"/>
          <w:szCs w:val="22"/>
          <w:lang w:bidi="ar-SA"/>
        </w:rPr>
        <w:t>. IN NO EVENT WILL ADA BE LIABLE FOR ANY LOST PROFITS OR ANY DAMAGES, INCLUDING DIRECT, INDIRECT, INCIDENTAL, SPECIAL, CONSEQUENTIAL OR ANY OTHER TYPE OF DAMAGES, ARISING OUT OF USE OF THE CDT OR THE USE OF OR INABILITY TO USE THE CDT OR DOCUMENTATION, EVEN IF ADA HAS BEEN ADVISED OF THE POSSIBILITY OF SUCH DAMAGES. THIS LIMITATION OF LIABILITY SHALL APPLY TO ANY CLAIM OR CAUSE WHATSOEVER WHETHER SUCH CLAIM OR CAUSE IS IN CONTRACT, TORT OR OTHERWISE.</w:t>
      </w:r>
    </w:p>
    <w:p w14:paraId="1E57A6F6" w14:textId="77777777" w:rsidR="002C1915" w:rsidRPr="002C1915" w:rsidRDefault="002C1915" w:rsidP="009F14A9">
      <w:pPr>
        <w:widowControl w:val="0"/>
        <w:suppressAutoHyphens/>
        <w:ind w:left="720" w:hanging="720"/>
        <w:contextualSpacing/>
        <w:jc w:val="both"/>
        <w:outlineLvl w:val="0"/>
        <w:rPr>
          <w:rFonts w:eastAsiaTheme="minorHAnsi" w:cs="Arial"/>
          <w:color w:val="auto"/>
          <w:kern w:val="32"/>
          <w:szCs w:val="22"/>
          <w:lang w:bidi="ar-SA"/>
        </w:rPr>
      </w:pPr>
    </w:p>
    <w:p w14:paraId="23ACE224" w14:textId="77777777" w:rsidR="002C1915" w:rsidRPr="002C1915" w:rsidRDefault="002C1915" w:rsidP="009F14A9">
      <w:pPr>
        <w:widowControl w:val="0"/>
        <w:suppressAutoHyphens/>
        <w:ind w:left="720" w:hanging="720"/>
        <w:contextualSpacing/>
        <w:jc w:val="both"/>
        <w:outlineLvl w:val="0"/>
        <w:rPr>
          <w:rFonts w:eastAsiaTheme="minorHAnsi" w:cs="Arial"/>
          <w:color w:val="auto"/>
          <w:kern w:val="32"/>
          <w:szCs w:val="22"/>
          <w:lang w:bidi="ar-SA"/>
        </w:rPr>
      </w:pPr>
      <w:r w:rsidRPr="002C1915">
        <w:rPr>
          <w:rFonts w:eastAsiaTheme="minorHAnsi" w:cs="Arial"/>
          <w:color w:val="auto"/>
          <w:kern w:val="32"/>
          <w:szCs w:val="22"/>
          <w:lang w:bidi="ar-SA"/>
        </w:rPr>
        <w:t>6.</w:t>
      </w:r>
      <w:r w:rsidRPr="002C1915">
        <w:rPr>
          <w:rFonts w:eastAsiaTheme="minorHAnsi" w:cs="Arial"/>
          <w:color w:val="auto"/>
          <w:kern w:val="32"/>
          <w:szCs w:val="22"/>
          <w:lang w:bidi="ar-SA"/>
        </w:rPr>
        <w:tab/>
      </w:r>
      <w:r w:rsidRPr="002C1915">
        <w:rPr>
          <w:rFonts w:eastAsiaTheme="minorHAnsi" w:cs="Arial"/>
          <w:b/>
          <w:bCs/>
          <w:color w:val="auto"/>
          <w:kern w:val="32"/>
          <w:szCs w:val="22"/>
          <w:lang w:bidi="ar-SA"/>
        </w:rPr>
        <w:t>Indemnification</w:t>
      </w:r>
      <w:r w:rsidRPr="002C1915">
        <w:rPr>
          <w:rFonts w:eastAsiaTheme="minorHAnsi" w:cs="Arial"/>
          <w:color w:val="auto"/>
          <w:kern w:val="32"/>
          <w:szCs w:val="22"/>
          <w:lang w:bidi="ar-SA"/>
        </w:rPr>
        <w:t>. Participating Entity agrees to indemnify ADA (including reasonable attorneys' fees and costs of litigation) against and hold ADA harmless from any and all claims, liability, losses, damages and expenses resulting from Participating Entity's use of the CDT, in breach of any of the ADA End User Terms, or Participating Entity 's use of any data or documentation received from ADA, regardless of the form of action.</w:t>
      </w:r>
    </w:p>
    <w:p w14:paraId="3A6C5073" w14:textId="77777777" w:rsidR="002C1915" w:rsidRPr="002C1915" w:rsidRDefault="002C1915" w:rsidP="009F14A9">
      <w:pPr>
        <w:widowControl w:val="0"/>
        <w:suppressAutoHyphens/>
        <w:ind w:left="720" w:hanging="720"/>
        <w:contextualSpacing/>
        <w:jc w:val="both"/>
        <w:outlineLvl w:val="0"/>
        <w:rPr>
          <w:rFonts w:eastAsiaTheme="minorHAnsi" w:cs="Arial"/>
          <w:color w:val="auto"/>
          <w:kern w:val="32"/>
          <w:szCs w:val="22"/>
          <w:lang w:bidi="ar-SA"/>
        </w:rPr>
      </w:pPr>
    </w:p>
    <w:p w14:paraId="7ACB3F10" w14:textId="77777777" w:rsidR="009F14A9" w:rsidRDefault="002C1915" w:rsidP="009F14A9">
      <w:pPr>
        <w:widowControl w:val="0"/>
        <w:suppressAutoHyphens/>
        <w:ind w:left="720" w:hanging="720"/>
        <w:contextualSpacing/>
        <w:jc w:val="both"/>
        <w:outlineLvl w:val="0"/>
        <w:rPr>
          <w:rFonts w:eastAsiaTheme="minorHAnsi" w:cs="Arial"/>
          <w:color w:val="auto"/>
          <w:kern w:val="32"/>
          <w:szCs w:val="22"/>
          <w:lang w:bidi="ar-SA"/>
        </w:rPr>
      </w:pPr>
      <w:r w:rsidRPr="002C1915">
        <w:rPr>
          <w:rFonts w:eastAsiaTheme="minorHAnsi" w:cs="Arial"/>
          <w:color w:val="auto"/>
          <w:kern w:val="32"/>
          <w:szCs w:val="22"/>
          <w:lang w:bidi="ar-SA"/>
        </w:rPr>
        <w:t>7.</w:t>
      </w:r>
      <w:r w:rsidRPr="002C1915">
        <w:rPr>
          <w:rFonts w:eastAsiaTheme="minorHAnsi" w:cs="Arial"/>
          <w:color w:val="auto"/>
          <w:kern w:val="32"/>
          <w:szCs w:val="22"/>
          <w:lang w:bidi="ar-SA"/>
        </w:rPr>
        <w:tab/>
      </w:r>
      <w:r w:rsidRPr="002C1915">
        <w:rPr>
          <w:rFonts w:eastAsiaTheme="minorHAnsi" w:cs="Arial"/>
          <w:b/>
          <w:bCs/>
          <w:color w:val="auto"/>
          <w:kern w:val="32"/>
          <w:szCs w:val="22"/>
          <w:lang w:bidi="ar-SA"/>
        </w:rPr>
        <w:t>Third Party Beneficiary</w:t>
      </w:r>
      <w:r w:rsidRPr="002C1915">
        <w:rPr>
          <w:rFonts w:eastAsiaTheme="minorHAnsi" w:cs="Arial"/>
          <w:color w:val="auto"/>
          <w:kern w:val="32"/>
          <w:szCs w:val="22"/>
          <w:lang w:bidi="ar-SA"/>
        </w:rPr>
        <w:t xml:space="preserve">. The ADA is a direct and intended third party beneficiary of this End User License between HMS and Participating Entity; provided, however, ADA’s rights as a third party beneficiary are limited solely to the Participating Entity ’s use of the CDT outside the scope of these ADA End User Terms. </w:t>
      </w:r>
    </w:p>
    <w:p w14:paraId="31372C52" w14:textId="77777777" w:rsidR="009F14A9" w:rsidRDefault="009F14A9" w:rsidP="009F14A9">
      <w:pPr>
        <w:widowControl w:val="0"/>
        <w:suppressAutoHyphens/>
        <w:ind w:left="720" w:hanging="720"/>
        <w:contextualSpacing/>
        <w:jc w:val="both"/>
        <w:outlineLvl w:val="0"/>
        <w:rPr>
          <w:rFonts w:eastAsiaTheme="minorHAnsi" w:cs="Arial"/>
          <w:color w:val="auto"/>
          <w:kern w:val="32"/>
          <w:szCs w:val="22"/>
          <w:lang w:bidi="ar-SA"/>
        </w:rPr>
      </w:pPr>
    </w:p>
    <w:p w14:paraId="61F898A6" w14:textId="77777777" w:rsidR="009F14A9" w:rsidRDefault="009F14A9" w:rsidP="009F14A9">
      <w:pPr>
        <w:widowControl w:val="0"/>
        <w:suppressAutoHyphens/>
        <w:ind w:left="720" w:hanging="720"/>
        <w:contextualSpacing/>
        <w:jc w:val="both"/>
        <w:outlineLvl w:val="0"/>
        <w:rPr>
          <w:rFonts w:eastAsiaTheme="minorHAnsi" w:cs="Arial"/>
          <w:color w:val="auto"/>
          <w:kern w:val="32"/>
          <w:szCs w:val="22"/>
          <w:lang w:bidi="ar-SA"/>
        </w:rPr>
      </w:pPr>
    </w:p>
    <w:p w14:paraId="72E62C44" w14:textId="77777777" w:rsidR="009F14A9" w:rsidRDefault="009F14A9" w:rsidP="009F14A9">
      <w:pPr>
        <w:widowControl w:val="0"/>
        <w:suppressAutoHyphens/>
        <w:ind w:left="720" w:hanging="720"/>
        <w:contextualSpacing/>
        <w:jc w:val="both"/>
        <w:outlineLvl w:val="0"/>
        <w:rPr>
          <w:rFonts w:eastAsiaTheme="minorHAnsi" w:cs="Arial"/>
          <w:color w:val="auto"/>
          <w:kern w:val="32"/>
          <w:szCs w:val="22"/>
          <w:lang w:bidi="ar-SA"/>
        </w:rPr>
      </w:pPr>
    </w:p>
    <w:p w14:paraId="5D946A94" w14:textId="77777777" w:rsidR="009F14A9" w:rsidRDefault="009F14A9" w:rsidP="009F14A9">
      <w:pPr>
        <w:widowControl w:val="0"/>
        <w:suppressAutoHyphens/>
        <w:ind w:left="720" w:hanging="720"/>
        <w:contextualSpacing/>
        <w:jc w:val="both"/>
        <w:outlineLvl w:val="0"/>
        <w:rPr>
          <w:rFonts w:eastAsiaTheme="minorHAnsi" w:cs="Arial"/>
          <w:color w:val="auto"/>
          <w:kern w:val="32"/>
          <w:szCs w:val="22"/>
          <w:lang w:bidi="ar-SA"/>
        </w:rPr>
      </w:pPr>
    </w:p>
    <w:p w14:paraId="50AA4EB1" w14:textId="77777777" w:rsidR="009F14A9" w:rsidRDefault="009F14A9" w:rsidP="009F14A9">
      <w:pPr>
        <w:widowControl w:val="0"/>
        <w:suppressAutoHyphens/>
        <w:ind w:left="720" w:hanging="720"/>
        <w:contextualSpacing/>
        <w:jc w:val="both"/>
        <w:outlineLvl w:val="0"/>
        <w:rPr>
          <w:rFonts w:eastAsiaTheme="minorHAnsi" w:cs="Arial"/>
          <w:color w:val="auto"/>
          <w:kern w:val="32"/>
          <w:szCs w:val="22"/>
          <w:lang w:bidi="ar-SA"/>
        </w:rPr>
      </w:pPr>
    </w:p>
    <w:p w14:paraId="14DEC9E4" w14:textId="77777777" w:rsidR="009F14A9" w:rsidRDefault="009F14A9" w:rsidP="009F14A9">
      <w:pPr>
        <w:widowControl w:val="0"/>
        <w:suppressAutoHyphens/>
        <w:ind w:left="720" w:hanging="720"/>
        <w:contextualSpacing/>
        <w:jc w:val="both"/>
        <w:outlineLvl w:val="0"/>
        <w:rPr>
          <w:rFonts w:eastAsiaTheme="minorHAnsi" w:cs="Arial"/>
          <w:color w:val="auto"/>
          <w:kern w:val="32"/>
          <w:szCs w:val="22"/>
          <w:lang w:bidi="ar-SA"/>
        </w:rPr>
      </w:pPr>
    </w:p>
    <w:p w14:paraId="44303B56" w14:textId="77777777" w:rsidR="009F14A9" w:rsidRDefault="009F14A9" w:rsidP="009F14A9">
      <w:pPr>
        <w:widowControl w:val="0"/>
        <w:suppressAutoHyphens/>
        <w:ind w:left="720" w:hanging="720"/>
        <w:contextualSpacing/>
        <w:jc w:val="both"/>
        <w:outlineLvl w:val="0"/>
        <w:rPr>
          <w:rFonts w:eastAsiaTheme="minorHAnsi" w:cs="Arial"/>
          <w:color w:val="auto"/>
          <w:kern w:val="32"/>
          <w:szCs w:val="22"/>
          <w:lang w:bidi="ar-SA"/>
        </w:rPr>
      </w:pPr>
    </w:p>
    <w:p w14:paraId="6F71F879" w14:textId="77777777" w:rsidR="009F14A9" w:rsidRDefault="009F14A9" w:rsidP="009F14A9">
      <w:pPr>
        <w:widowControl w:val="0"/>
        <w:suppressAutoHyphens/>
        <w:ind w:left="720" w:hanging="720"/>
        <w:contextualSpacing/>
        <w:jc w:val="both"/>
        <w:outlineLvl w:val="0"/>
        <w:rPr>
          <w:rFonts w:eastAsiaTheme="minorHAnsi" w:cs="Arial"/>
          <w:color w:val="auto"/>
          <w:kern w:val="32"/>
          <w:szCs w:val="22"/>
          <w:lang w:bidi="ar-SA"/>
        </w:rPr>
      </w:pPr>
    </w:p>
    <w:p w14:paraId="3CE5F7FA" w14:textId="77777777" w:rsidR="009F14A9" w:rsidRDefault="009F14A9" w:rsidP="009F14A9">
      <w:pPr>
        <w:widowControl w:val="0"/>
        <w:suppressAutoHyphens/>
        <w:ind w:left="720" w:hanging="720"/>
        <w:contextualSpacing/>
        <w:jc w:val="both"/>
        <w:outlineLvl w:val="0"/>
        <w:rPr>
          <w:rFonts w:eastAsiaTheme="minorHAnsi" w:cs="Arial"/>
          <w:color w:val="auto"/>
          <w:kern w:val="32"/>
          <w:szCs w:val="22"/>
          <w:lang w:bidi="ar-SA"/>
        </w:rPr>
      </w:pPr>
    </w:p>
    <w:p w14:paraId="52433D15" w14:textId="77777777" w:rsidR="009F14A9" w:rsidRDefault="009F14A9" w:rsidP="009F14A9">
      <w:pPr>
        <w:widowControl w:val="0"/>
        <w:suppressAutoHyphens/>
        <w:ind w:left="720" w:hanging="720"/>
        <w:contextualSpacing/>
        <w:jc w:val="both"/>
        <w:outlineLvl w:val="0"/>
        <w:rPr>
          <w:rFonts w:eastAsiaTheme="minorHAnsi" w:cs="Arial"/>
          <w:color w:val="auto"/>
          <w:kern w:val="32"/>
          <w:szCs w:val="22"/>
          <w:lang w:bidi="ar-SA"/>
        </w:rPr>
      </w:pPr>
    </w:p>
    <w:p w14:paraId="78C42946" w14:textId="5D66F7F4" w:rsidR="002C1915" w:rsidRPr="009F14A9" w:rsidRDefault="002C1915" w:rsidP="009F14A9">
      <w:pPr>
        <w:widowControl w:val="0"/>
        <w:suppressAutoHyphens/>
        <w:ind w:left="720" w:hanging="720"/>
        <w:contextualSpacing/>
        <w:jc w:val="both"/>
        <w:outlineLvl w:val="0"/>
        <w:rPr>
          <w:rFonts w:eastAsiaTheme="minorHAnsi" w:cs="Arial"/>
          <w:color w:val="auto"/>
          <w:kern w:val="32"/>
          <w:szCs w:val="22"/>
          <w:lang w:bidi="ar-SA"/>
        </w:rPr>
      </w:pPr>
      <w:r w:rsidRPr="002C1915">
        <w:rPr>
          <w:rFonts w:eastAsiaTheme="minorHAnsi" w:cs="Arial"/>
          <w:b/>
          <w:bCs/>
          <w:color w:val="auto"/>
          <w:kern w:val="32"/>
          <w:szCs w:val="22"/>
          <w:lang w:bidi="ar-SA"/>
        </w:rPr>
        <w:lastRenderedPageBreak/>
        <w:t>C.</w:t>
      </w:r>
      <w:r w:rsidRPr="002C1915">
        <w:rPr>
          <w:rFonts w:eastAsiaTheme="minorHAnsi" w:cs="Arial"/>
          <w:bCs/>
          <w:color w:val="auto"/>
          <w:kern w:val="32"/>
          <w:szCs w:val="22"/>
          <w:lang w:bidi="ar-SA"/>
        </w:rPr>
        <w:tab/>
      </w:r>
      <w:r w:rsidRPr="002C1915">
        <w:rPr>
          <w:rFonts w:eastAsiaTheme="minorHAnsi" w:cs="Arial"/>
          <w:b/>
          <w:bCs/>
          <w:color w:val="auto"/>
          <w:kern w:val="32"/>
          <w:szCs w:val="22"/>
          <w:lang w:bidi="ar-SA"/>
        </w:rPr>
        <w:t xml:space="preserve">OPTUM SYMMETRY TERMS AND CONDITIONS </w:t>
      </w:r>
    </w:p>
    <w:p w14:paraId="187062EF" w14:textId="77777777" w:rsidR="002C1915" w:rsidRPr="002C1915" w:rsidRDefault="002C1915" w:rsidP="009F14A9">
      <w:pPr>
        <w:widowControl w:val="0"/>
        <w:suppressAutoHyphens/>
        <w:jc w:val="both"/>
        <w:rPr>
          <w:rFonts w:eastAsiaTheme="minorHAnsi" w:cs="Arial"/>
          <w:color w:val="auto"/>
          <w:szCs w:val="22"/>
          <w:lang w:bidi="ar-SA"/>
        </w:rPr>
      </w:pPr>
      <w:r w:rsidRPr="002C1915">
        <w:rPr>
          <w:rFonts w:eastAsiaTheme="minorHAnsi" w:cs="Arial"/>
          <w:b/>
          <w:color w:val="auto"/>
          <w:szCs w:val="22"/>
          <w:lang w:bidi="ar-SA"/>
        </w:rPr>
        <w:t>Note</w:t>
      </w:r>
      <w:r w:rsidRPr="002C1915">
        <w:rPr>
          <w:rFonts w:eastAsiaTheme="minorHAnsi" w:cs="Arial"/>
          <w:color w:val="auto"/>
          <w:szCs w:val="22"/>
          <w:lang w:bidi="ar-SA"/>
        </w:rPr>
        <w:t xml:space="preserve">:  </w:t>
      </w:r>
      <w:r w:rsidRPr="002C1915">
        <w:rPr>
          <w:rFonts w:eastAsiaTheme="minorHAnsi" w:cs="Arial"/>
          <w:color w:val="auto"/>
          <w:szCs w:val="22"/>
          <w:lang w:bidi="ar-SA"/>
        </w:rPr>
        <w:tab/>
        <w:t xml:space="preserve">The following terms only apply if Participating Entity chooses to use an aspect of the FraudCapture Services that involves use of the Optum Symmetry content. </w:t>
      </w:r>
    </w:p>
    <w:p w14:paraId="2A903215" w14:textId="77777777" w:rsidR="002C1915" w:rsidRPr="002C1915" w:rsidRDefault="002C1915" w:rsidP="009F14A9">
      <w:pPr>
        <w:widowControl w:val="0"/>
        <w:suppressAutoHyphens/>
        <w:jc w:val="both"/>
        <w:rPr>
          <w:rFonts w:eastAsiaTheme="minorHAnsi" w:cs="Arial"/>
          <w:color w:val="auto"/>
          <w:szCs w:val="22"/>
          <w:lang w:bidi="ar-SA"/>
        </w:rPr>
      </w:pPr>
    </w:p>
    <w:p w14:paraId="78DE1F80" w14:textId="77777777" w:rsidR="002C1915" w:rsidRPr="002C1915" w:rsidRDefault="002C1915" w:rsidP="009F14A9">
      <w:pPr>
        <w:widowControl w:val="0"/>
        <w:suppressAutoHyphens/>
        <w:jc w:val="both"/>
        <w:rPr>
          <w:rFonts w:eastAsiaTheme="minorHAnsi" w:cs="Arial"/>
          <w:color w:val="auto"/>
          <w:szCs w:val="22"/>
          <w:lang w:bidi="ar-SA"/>
        </w:rPr>
      </w:pPr>
      <w:r w:rsidRPr="002C1915">
        <w:rPr>
          <w:rFonts w:eastAsiaTheme="minorHAnsi" w:cs="Arial"/>
          <w:color w:val="auto"/>
          <w:szCs w:val="22"/>
          <w:lang w:bidi="ar-SA"/>
        </w:rPr>
        <w:t>Certain content of the Episode Treatment Group/Procedure Quality Measurement report(s) (“</w:t>
      </w:r>
      <w:r w:rsidRPr="002C1915">
        <w:rPr>
          <w:rFonts w:eastAsiaTheme="minorHAnsi" w:cs="Arial"/>
          <w:b/>
          <w:color w:val="auto"/>
          <w:szCs w:val="22"/>
          <w:lang w:bidi="ar-SA"/>
        </w:rPr>
        <w:t>ETG/PQM Based Reports</w:t>
      </w:r>
      <w:r w:rsidRPr="002C1915">
        <w:rPr>
          <w:rFonts w:eastAsiaTheme="minorHAnsi" w:cs="Arial"/>
          <w:color w:val="auto"/>
          <w:szCs w:val="22"/>
          <w:lang w:bidi="ar-SA"/>
        </w:rPr>
        <w:t>”) provided by HMS to Participating Entity under these Terms are sourced from content provided under license to HMS by OptumInsights, Inc. (“</w:t>
      </w:r>
      <w:r w:rsidRPr="002C1915">
        <w:rPr>
          <w:rFonts w:eastAsiaTheme="minorHAnsi" w:cs="Arial"/>
          <w:b/>
          <w:color w:val="auto"/>
          <w:szCs w:val="22"/>
          <w:lang w:bidi="ar-SA"/>
        </w:rPr>
        <w:t>Optum</w:t>
      </w:r>
      <w:r w:rsidRPr="002C1915">
        <w:rPr>
          <w:rFonts w:eastAsiaTheme="minorHAnsi" w:cs="Arial"/>
          <w:color w:val="auto"/>
          <w:szCs w:val="22"/>
          <w:lang w:bidi="ar-SA"/>
        </w:rPr>
        <w:t xml:space="preserve">”). Optum requires that any client of HMS receiving such report(s) from HMS be bound by the following Optum terms and conditions: </w:t>
      </w:r>
    </w:p>
    <w:p w14:paraId="7C6B6376" w14:textId="77777777" w:rsidR="002C1915" w:rsidRPr="002C1915" w:rsidRDefault="002C1915" w:rsidP="009F14A9">
      <w:pPr>
        <w:widowControl w:val="0"/>
        <w:suppressAutoHyphens/>
        <w:jc w:val="both"/>
        <w:rPr>
          <w:rFonts w:eastAsiaTheme="minorHAnsi" w:cs="Arial"/>
          <w:color w:val="auto"/>
          <w:szCs w:val="22"/>
          <w:lang w:bidi="ar-SA"/>
        </w:rPr>
      </w:pPr>
    </w:p>
    <w:p w14:paraId="3ED3B0B6" w14:textId="77777777" w:rsidR="002C1915" w:rsidRPr="002C1915" w:rsidRDefault="002C1915" w:rsidP="009F14A9">
      <w:pPr>
        <w:widowControl w:val="0"/>
        <w:numPr>
          <w:ilvl w:val="0"/>
          <w:numId w:val="69"/>
        </w:numPr>
        <w:suppressAutoHyphens/>
        <w:ind w:left="720" w:hanging="720"/>
        <w:jc w:val="both"/>
        <w:rPr>
          <w:rFonts w:eastAsiaTheme="minorHAnsi" w:cs="Arial"/>
          <w:color w:val="auto"/>
          <w:szCs w:val="22"/>
          <w:lang w:bidi="ar-SA"/>
        </w:rPr>
      </w:pPr>
      <w:r w:rsidRPr="002C1915">
        <w:rPr>
          <w:rFonts w:eastAsiaTheme="minorHAnsi" w:cs="Arial"/>
          <w:color w:val="auto"/>
          <w:szCs w:val="22"/>
          <w:lang w:bidi="ar-SA"/>
        </w:rPr>
        <w:t>Participating Entity shall maintain the confidentiality of the ETG/PQM Based Reports. Participating Entity shall not disclose, permit to be disclosed, or otherwise resell or transfer, with or without consideration, all or any portion of the ETG/PQM Based Reports to any third party except that Participating Entity may disclose the ETG/PQM Based Reports to its consultants, legal advisors, contractors or agents on a need to know basis (“</w:t>
      </w:r>
      <w:r w:rsidRPr="002C1915">
        <w:rPr>
          <w:rFonts w:eastAsiaTheme="minorHAnsi" w:cs="Arial"/>
          <w:b/>
          <w:bCs/>
          <w:color w:val="auto"/>
          <w:szCs w:val="22"/>
          <w:lang w:bidi="ar-SA"/>
        </w:rPr>
        <w:t>Authorized Representatives</w:t>
      </w:r>
      <w:r w:rsidRPr="002C1915">
        <w:rPr>
          <w:rFonts w:eastAsiaTheme="minorHAnsi" w:cs="Arial"/>
          <w:color w:val="auto"/>
          <w:szCs w:val="22"/>
          <w:lang w:bidi="ar-SA"/>
        </w:rPr>
        <w:t xml:space="preserve">”) for the purpose of assisting, advising or rendering services to Participating Entity . Prior to the release of any ETG/PQM Based Reports to an Authorized Representative, the Authorized Representative shall execute a nondisclosure agreement which will prohibit such Authorized Representative from using such ETG/PQM Based Reports other than to assist or advise Participating Entity and from disclosing such information to any third party. </w:t>
      </w:r>
    </w:p>
    <w:p w14:paraId="5A2EFFEC" w14:textId="77777777" w:rsidR="002C1915" w:rsidRPr="002C1915" w:rsidRDefault="002C1915" w:rsidP="009F14A9">
      <w:pPr>
        <w:widowControl w:val="0"/>
        <w:suppressAutoHyphens/>
        <w:ind w:left="720" w:hanging="720"/>
        <w:jc w:val="both"/>
        <w:rPr>
          <w:rFonts w:eastAsiaTheme="minorHAnsi" w:cs="Arial"/>
          <w:color w:val="auto"/>
          <w:szCs w:val="22"/>
          <w:lang w:bidi="ar-SA"/>
        </w:rPr>
      </w:pPr>
      <w:r w:rsidRPr="002C1915">
        <w:rPr>
          <w:rFonts w:eastAsiaTheme="minorHAnsi" w:cs="Arial"/>
          <w:color w:val="auto"/>
          <w:szCs w:val="22"/>
          <w:lang w:bidi="ar-SA"/>
        </w:rPr>
        <w:t xml:space="preserve"> </w:t>
      </w:r>
    </w:p>
    <w:p w14:paraId="581CD75A" w14:textId="77777777" w:rsidR="002C1915" w:rsidRPr="002C1915" w:rsidRDefault="002C1915" w:rsidP="009F14A9">
      <w:pPr>
        <w:widowControl w:val="0"/>
        <w:numPr>
          <w:ilvl w:val="0"/>
          <w:numId w:val="69"/>
        </w:numPr>
        <w:suppressAutoHyphens/>
        <w:ind w:left="720" w:hanging="720"/>
        <w:jc w:val="both"/>
        <w:rPr>
          <w:rFonts w:eastAsiaTheme="minorHAnsi" w:cs="Arial"/>
          <w:color w:val="auto"/>
          <w:szCs w:val="22"/>
          <w:lang w:bidi="ar-SA"/>
        </w:rPr>
      </w:pPr>
      <w:r w:rsidRPr="002C1915">
        <w:rPr>
          <w:rFonts w:eastAsiaTheme="minorHAnsi" w:cs="Arial"/>
          <w:color w:val="auto"/>
          <w:szCs w:val="22"/>
          <w:lang w:bidi="ar-SA"/>
        </w:rPr>
        <w:t>Participating Entity shall only use the ETG/PQM Based Reports for its own internal business purposes and shall not use the ETG/PQM Based Reports for any purpose outside the scope of these Terms.</w:t>
      </w:r>
    </w:p>
    <w:p w14:paraId="657E70A2" w14:textId="77777777" w:rsidR="002C1915" w:rsidRPr="002C1915" w:rsidRDefault="002C1915" w:rsidP="009F14A9">
      <w:pPr>
        <w:widowControl w:val="0"/>
        <w:suppressAutoHyphens/>
        <w:ind w:left="720" w:hanging="720"/>
        <w:jc w:val="both"/>
        <w:rPr>
          <w:rFonts w:eastAsiaTheme="minorHAnsi" w:cs="Arial"/>
          <w:color w:val="auto"/>
          <w:szCs w:val="22"/>
          <w:lang w:bidi="ar-SA"/>
        </w:rPr>
      </w:pPr>
    </w:p>
    <w:p w14:paraId="3EB3E7FE" w14:textId="77777777" w:rsidR="002C1915" w:rsidRPr="002C1915" w:rsidRDefault="002C1915" w:rsidP="009F14A9">
      <w:pPr>
        <w:widowControl w:val="0"/>
        <w:numPr>
          <w:ilvl w:val="0"/>
          <w:numId w:val="69"/>
        </w:numPr>
        <w:suppressAutoHyphens/>
        <w:ind w:left="720" w:hanging="720"/>
        <w:jc w:val="both"/>
        <w:rPr>
          <w:rFonts w:eastAsiaTheme="minorHAnsi" w:cs="Arial"/>
          <w:color w:val="auto"/>
          <w:szCs w:val="22"/>
          <w:lang w:bidi="ar-SA"/>
        </w:rPr>
      </w:pPr>
      <w:r w:rsidRPr="002C1915">
        <w:rPr>
          <w:rFonts w:eastAsiaTheme="minorHAnsi" w:cs="Arial"/>
          <w:color w:val="auto"/>
          <w:szCs w:val="22"/>
          <w:lang w:bidi="ar-SA"/>
        </w:rPr>
        <w:t xml:space="preserve">Optum disclaims all warranties of any kind relating to the ETG/PQM Based Reports, express or implied. </w:t>
      </w:r>
    </w:p>
    <w:p w14:paraId="16D7DFC1" w14:textId="77777777" w:rsidR="002C1915" w:rsidRPr="002C1915" w:rsidRDefault="002C1915" w:rsidP="009F14A9">
      <w:pPr>
        <w:widowControl w:val="0"/>
        <w:suppressAutoHyphens/>
        <w:ind w:left="720" w:hanging="720"/>
        <w:jc w:val="both"/>
        <w:rPr>
          <w:rFonts w:eastAsiaTheme="minorHAnsi" w:cs="Arial"/>
          <w:color w:val="auto"/>
          <w:szCs w:val="22"/>
          <w:lang w:bidi="ar-SA"/>
        </w:rPr>
      </w:pPr>
    </w:p>
    <w:p w14:paraId="72AFB8D7" w14:textId="77777777" w:rsidR="002C1915" w:rsidRPr="002C1915" w:rsidRDefault="002C1915" w:rsidP="009F14A9">
      <w:pPr>
        <w:widowControl w:val="0"/>
        <w:numPr>
          <w:ilvl w:val="0"/>
          <w:numId w:val="69"/>
        </w:numPr>
        <w:suppressAutoHyphens/>
        <w:ind w:left="720" w:hanging="720"/>
        <w:jc w:val="both"/>
        <w:rPr>
          <w:rFonts w:eastAsiaTheme="minorHAnsi" w:cs="Arial"/>
          <w:color w:val="auto"/>
          <w:szCs w:val="22"/>
          <w:lang w:bidi="ar-SA"/>
        </w:rPr>
      </w:pPr>
      <w:r w:rsidRPr="002C1915">
        <w:rPr>
          <w:rFonts w:eastAsiaTheme="minorHAnsi" w:cs="Arial"/>
          <w:color w:val="auto"/>
          <w:szCs w:val="22"/>
          <w:lang w:bidi="ar-SA"/>
        </w:rPr>
        <w:t>Optum shall not be liable to Participating Entity  for any indirect, incidental, consequential, special, punitive or exemplary damages. Optum’s liability to Participating Entity  for direct damages relating to HMS’ use of the Optum licensed software in generating the ETG/PQM Based Reports shall be limited to the amount Participating Entity  has paid for use of the ETG/PQM Based Reports in the year in which the cause of action arose.</w:t>
      </w:r>
    </w:p>
    <w:p w14:paraId="5A53061E" w14:textId="77777777" w:rsidR="002C1915" w:rsidRPr="002C1915" w:rsidRDefault="002C1915" w:rsidP="009F14A9">
      <w:pPr>
        <w:widowControl w:val="0"/>
        <w:suppressAutoHyphens/>
        <w:ind w:left="720" w:hanging="720"/>
        <w:jc w:val="both"/>
        <w:outlineLvl w:val="0"/>
        <w:rPr>
          <w:rFonts w:eastAsiaTheme="minorHAnsi" w:cs="Arial"/>
          <w:bCs/>
          <w:color w:val="auto"/>
          <w:szCs w:val="22"/>
          <w:lang w:bidi="ar-SA"/>
        </w:rPr>
      </w:pPr>
    </w:p>
    <w:p w14:paraId="3E1E8A09" w14:textId="77777777" w:rsidR="002C1915" w:rsidRPr="002C1915" w:rsidRDefault="002C1915" w:rsidP="009F14A9">
      <w:pPr>
        <w:widowControl w:val="0"/>
        <w:numPr>
          <w:ilvl w:val="0"/>
          <w:numId w:val="69"/>
        </w:numPr>
        <w:suppressAutoHyphens/>
        <w:ind w:left="720" w:hanging="720"/>
        <w:jc w:val="both"/>
        <w:outlineLvl w:val="0"/>
        <w:rPr>
          <w:rFonts w:eastAsiaTheme="minorHAnsi" w:cs="Arial"/>
          <w:bCs/>
          <w:color w:val="auto"/>
          <w:szCs w:val="22"/>
          <w:lang w:bidi="ar-SA"/>
        </w:rPr>
      </w:pPr>
      <w:r w:rsidRPr="002C1915">
        <w:rPr>
          <w:rFonts w:eastAsiaTheme="minorHAnsi" w:cs="Arial"/>
          <w:color w:val="auto"/>
          <w:szCs w:val="22"/>
          <w:lang w:bidi="ar-SA"/>
        </w:rPr>
        <w:t>Optum shall be a third party beneficiary under these Terms for purposes of enforcing its rights pertaining to the ETG/PQM Based Reports. Optum shall be expressly entitled to enforce its rights pursuant to the provisions of these terms as they relate to the ETG/PQM Based Reports, regardless of any alleged or actual breach or default hereunder by HMS, or any expiration or termination of these Terms.</w:t>
      </w:r>
    </w:p>
    <w:p w14:paraId="34A24CA5" w14:textId="77777777" w:rsidR="002C1915" w:rsidRPr="002C1915" w:rsidRDefault="002C1915" w:rsidP="009F14A9">
      <w:pPr>
        <w:widowControl w:val="0"/>
        <w:suppressAutoHyphens/>
        <w:contextualSpacing/>
        <w:rPr>
          <w:rFonts w:eastAsia="Calibri" w:cs="Arial"/>
          <w:color w:val="auto"/>
          <w:szCs w:val="24"/>
          <w:lang w:bidi="ar-SA"/>
        </w:rPr>
      </w:pPr>
    </w:p>
    <w:p w14:paraId="5F3616B8" w14:textId="77777777" w:rsidR="003E34B3" w:rsidRPr="00C54CF7" w:rsidRDefault="003E34B3" w:rsidP="009F14A9">
      <w:pPr>
        <w:pStyle w:val="Bullet2Double0"/>
        <w:widowControl w:val="0"/>
        <w:numPr>
          <w:ilvl w:val="0"/>
          <w:numId w:val="0"/>
        </w:numPr>
        <w:tabs>
          <w:tab w:val="clear" w:pos="576"/>
        </w:tabs>
        <w:suppressAutoHyphens/>
        <w:spacing w:after="0"/>
      </w:pPr>
    </w:p>
    <w:sectPr w:rsidR="003E34B3" w:rsidRPr="00C54CF7" w:rsidSect="009C4AB4">
      <w:headerReference w:type="default" r:id="rId14"/>
      <w:footerReference w:type="default" r:id="rId15"/>
      <w:pgSz w:w="12240" w:h="15840"/>
      <w:pgMar w:top="19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6F5C0" w14:textId="77777777" w:rsidR="00503018" w:rsidRDefault="00503018" w:rsidP="00836FCF">
      <w:r>
        <w:separator/>
      </w:r>
    </w:p>
  </w:endnote>
  <w:endnote w:type="continuationSeparator" w:id="0">
    <w:p w14:paraId="224AF912" w14:textId="77777777" w:rsidR="00503018" w:rsidRDefault="00503018" w:rsidP="00836FCF">
      <w:r>
        <w:continuationSeparator/>
      </w:r>
    </w:p>
  </w:endnote>
  <w:endnote w:type="continuationNotice" w:id="1">
    <w:p w14:paraId="467BFA20" w14:textId="77777777" w:rsidR="00503018" w:rsidRDefault="005030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Minion Pro">
    <w:altName w:val="Times New Roman"/>
    <w:panose1 w:val="00000000000000000000"/>
    <w:charset w:val="00"/>
    <w:family w:val="roman"/>
    <w:notTrueType/>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EFF36" w14:textId="52719D60" w:rsidR="00105FFF" w:rsidRDefault="005A2329">
    <w:pPr>
      <w:pStyle w:val="Footer"/>
    </w:pPr>
    <w:r w:rsidRPr="00BE51C3">
      <w:t>Gainwell Technologies</w:t>
    </w:r>
    <w:r w:rsidRPr="003354AB">
      <w:tab/>
      <w:t xml:space="preserve">Page </w:t>
    </w:r>
    <w:r w:rsidRPr="003354AB">
      <w:fldChar w:fldCharType="begin"/>
    </w:r>
    <w:r w:rsidRPr="00105FFF">
      <w:rPr>
        <w:rFonts w:cs="Arial"/>
        <w:sz w:val="18"/>
        <w:szCs w:val="18"/>
      </w:rPr>
      <w:instrText xml:space="preserve"> PAGE   \* MERGEFORMAT </w:instrText>
    </w:r>
    <w:r w:rsidRPr="003354AB">
      <w:fldChar w:fldCharType="separate"/>
    </w:r>
    <w:r>
      <w:t>1</w:t>
    </w:r>
    <w:r w:rsidRPr="003354A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CCF3F" w14:textId="77777777" w:rsidR="00503018" w:rsidRDefault="00503018" w:rsidP="00836FCF">
      <w:r>
        <w:separator/>
      </w:r>
    </w:p>
  </w:footnote>
  <w:footnote w:type="continuationSeparator" w:id="0">
    <w:p w14:paraId="1DEA5969" w14:textId="77777777" w:rsidR="00503018" w:rsidRDefault="00503018" w:rsidP="00836FCF">
      <w:r>
        <w:continuationSeparator/>
      </w:r>
    </w:p>
  </w:footnote>
  <w:footnote w:type="continuationNotice" w:id="1">
    <w:p w14:paraId="19B27F5E" w14:textId="77777777" w:rsidR="00503018" w:rsidRDefault="005030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50E15" w14:textId="77777777" w:rsidR="00967A96" w:rsidRPr="00C94E69" w:rsidRDefault="00967A96" w:rsidP="00967A96">
    <w:pPr>
      <w:rPr>
        <w:color w:val="2B3A44"/>
        <w:sz w:val="18"/>
        <w:szCs w:val="18"/>
      </w:rPr>
    </w:pPr>
    <w:r w:rsidRPr="00C94E69">
      <w:rPr>
        <w:color w:val="2B3A44"/>
        <w:sz w:val="18"/>
        <w:szCs w:val="18"/>
      </w:rPr>
      <w:t>The State of Utah Division of Purchasing</w:t>
    </w:r>
  </w:p>
  <w:p w14:paraId="4B19E5D0" w14:textId="77777777" w:rsidR="00967A96" w:rsidRPr="00C94E69" w:rsidRDefault="00967A96" w:rsidP="00967A96">
    <w:pPr>
      <w:rPr>
        <w:color w:val="2B3A44"/>
        <w:sz w:val="18"/>
        <w:szCs w:val="18"/>
      </w:rPr>
    </w:pPr>
    <w:r w:rsidRPr="00C94E69">
      <w:rPr>
        <w:color w:val="2B3A44"/>
        <w:sz w:val="18"/>
        <w:szCs w:val="18"/>
      </w:rPr>
      <w:t xml:space="preserve">NASPO ValuePoint Master Agreement for Cloud Solutions </w:t>
    </w:r>
  </w:p>
  <w:p w14:paraId="3B924084" w14:textId="77777777" w:rsidR="00967A96" w:rsidRPr="00C94E69" w:rsidRDefault="00967A96" w:rsidP="00967A96">
    <w:pPr>
      <w:rPr>
        <w:color w:val="2B3A44"/>
        <w:sz w:val="18"/>
        <w:szCs w:val="18"/>
      </w:rPr>
    </w:pPr>
    <w:r w:rsidRPr="00C94E69">
      <w:rPr>
        <w:color w:val="2B3A44"/>
        <w:sz w:val="18"/>
        <w:szCs w:val="18"/>
      </w:rPr>
      <w:t>Gainwell Amended Technical Response</w:t>
    </w:r>
  </w:p>
  <w:p w14:paraId="4A6A7BBC" w14:textId="77777777" w:rsidR="00292F18" w:rsidRPr="00C94E69" w:rsidRDefault="00292F18">
    <w:pPr>
      <w:pStyle w:val="Header"/>
      <w:rPr>
        <w:szCs w:val="18"/>
      </w:rPr>
    </w:pPr>
    <w:r w:rsidRPr="00C94E69">
      <w:rPr>
        <w:szCs w:val="18"/>
      </w:rPr>
      <w:t>Contract #: AR3094</w:t>
    </w:r>
  </w:p>
  <w:p w14:paraId="683E12E3" w14:textId="22E87202" w:rsidR="00967A96" w:rsidRDefault="002D31C1">
    <w:pPr>
      <w:pStyle w:val="Header"/>
    </w:pPr>
    <w:r w:rsidRPr="00C94E69">
      <w:rPr>
        <w:szCs w:val="18"/>
      </w:rPr>
      <w:t xml:space="preserve">December </w:t>
    </w:r>
    <w:r w:rsidR="003B2B15" w:rsidRPr="00C94E69">
      <w:rPr>
        <w:szCs w:val="18"/>
      </w:rPr>
      <w:t>2023</w:t>
    </w:r>
  </w:p>
</w:hdr>
</file>

<file path=word/intelligence2.xml><?xml version="1.0" encoding="utf-8"?>
<int2:intelligence xmlns:int2="http://schemas.microsoft.com/office/intelligence/2020/intelligence" xmlns:oel="http://schemas.microsoft.com/office/2019/extlst">
  <int2:observations>
    <int2:textHash int2:hashCode="QIxHKTfUT1UDfu" int2:id="Nk3OIRL1">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59AD2A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7B2CA1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1F4D47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B4A1ED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79EF5B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823A1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EC5AC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C2BB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0EC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F8A9D4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2941E0"/>
    <w:multiLevelType w:val="multilevel"/>
    <w:tmpl w:val="182A44F4"/>
    <w:lvl w:ilvl="0">
      <w:start w:val="1"/>
      <w:numFmt w:val="decimal"/>
      <w:pStyle w:val="NumbersAuto1Double"/>
      <w:lvlText w:val="%1."/>
      <w:lvlJc w:val="left"/>
      <w:pPr>
        <w:ind w:left="360" w:hanging="360"/>
      </w:pPr>
      <w:rPr>
        <w:rFonts w:ascii="Arial" w:hAnsi="Arial" w:hint="default"/>
        <w:sz w:val="22"/>
      </w:rPr>
    </w:lvl>
    <w:lvl w:ilvl="1">
      <w:start w:val="1"/>
      <w:numFmt w:val="lowerLetter"/>
      <w:pStyle w:val="NumbersAuto2Double"/>
      <w:lvlText w:val="%2."/>
      <w:lvlJc w:val="left"/>
      <w:pPr>
        <w:tabs>
          <w:tab w:val="num" w:pos="936"/>
        </w:tabs>
        <w:ind w:left="720" w:hanging="360"/>
      </w:pPr>
      <w:rPr>
        <w:rFonts w:ascii="Arial" w:hAnsi="Arial" w:hint="default"/>
        <w:sz w:val="22"/>
      </w:rPr>
    </w:lvl>
    <w:lvl w:ilvl="2">
      <w:start w:val="1"/>
      <w:numFmt w:val="lowerRoman"/>
      <w:pStyle w:val="NumbersAuto3Double"/>
      <w:lvlText w:val="%3."/>
      <w:lvlJc w:val="right"/>
      <w:pPr>
        <w:ind w:left="1080" w:hanging="216"/>
      </w:pPr>
      <w:rPr>
        <w:rFonts w:ascii="Arial" w:hAnsi="Arial" w:hint="default"/>
        <w:sz w:val="22"/>
      </w:rPr>
    </w:lvl>
    <w:lvl w:ilvl="3">
      <w:start w:val="1"/>
      <w:numFmt w:val="decimal"/>
      <w:lvlText w:val="%4."/>
      <w:lvlJc w:val="left"/>
      <w:pPr>
        <w:ind w:left="1512" w:hanging="432"/>
      </w:pPr>
      <w:rPr>
        <w:rFonts w:ascii="Arial" w:hAnsi="Arial" w:hint="default"/>
        <w:sz w:val="22"/>
      </w:rPr>
    </w:lvl>
    <w:lvl w:ilvl="4">
      <w:start w:val="1"/>
      <w:numFmt w:val="lowerLetter"/>
      <w:lvlText w:val="%5."/>
      <w:lvlJc w:val="left"/>
      <w:pPr>
        <w:ind w:left="1872"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053625FB"/>
    <w:multiLevelType w:val="hybridMultilevel"/>
    <w:tmpl w:val="F9968804"/>
    <w:lvl w:ilvl="0" w:tplc="952AF036">
      <w:start w:val="1"/>
      <w:numFmt w:val="bullet"/>
      <w:pStyle w:val="Index5"/>
      <w:lvlText w:val=""/>
      <w:lvlJc w:val="left"/>
      <w:pPr>
        <w:tabs>
          <w:tab w:val="num" w:pos="360"/>
        </w:tabs>
        <w:ind w:left="360" w:hanging="360"/>
      </w:pPr>
      <w:rPr>
        <w:rFonts w:ascii="Symbol" w:hAnsi="Symbol" w:hint="default"/>
        <w:b w:val="0"/>
        <w:i w:val="0"/>
        <w:color w:val="FFFFFF"/>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627828"/>
    <w:multiLevelType w:val="hybridMultilevel"/>
    <w:tmpl w:val="F77ACB20"/>
    <w:lvl w:ilvl="0" w:tplc="10CE3194">
      <w:start w:val="1"/>
      <w:numFmt w:val="bullet"/>
      <w:pStyle w:val="Bullet3Double"/>
      <w:lvlText w:val=""/>
      <w:lvlJc w:val="left"/>
      <w:pPr>
        <w:tabs>
          <w:tab w:val="num" w:pos="1080"/>
        </w:tabs>
        <w:ind w:left="1080" w:hanging="360"/>
      </w:pPr>
      <w:rPr>
        <w:rFonts w:ascii="Symbol" w:hAnsi="Symbol" w:hint="default"/>
        <w:b w:val="0"/>
        <w:i w:val="0"/>
        <w:color w:val="auto"/>
        <w:sz w:val="22"/>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7C364F4"/>
    <w:multiLevelType w:val="hybridMultilevel"/>
    <w:tmpl w:val="A2C03380"/>
    <w:lvl w:ilvl="0" w:tplc="1D024506">
      <w:start w:val="1"/>
      <w:numFmt w:val="bullet"/>
      <w:pStyle w:val="Bullet3Single"/>
      <w:lvlText w:val=""/>
      <w:lvlJc w:val="left"/>
      <w:pPr>
        <w:tabs>
          <w:tab w:val="num" w:pos="1080"/>
        </w:tabs>
        <w:ind w:left="1080" w:hanging="360"/>
      </w:pPr>
      <w:rPr>
        <w:rFonts w:ascii="Symbol" w:hAnsi="Symbol" w:hint="default"/>
        <w:b w:val="0"/>
        <w:i w:val="0"/>
        <w:color w:val="2B3A44"/>
        <w:sz w:val="22"/>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AFB67F5"/>
    <w:multiLevelType w:val="multilevel"/>
    <w:tmpl w:val="1392304C"/>
    <w:lvl w:ilvl="0">
      <w:start w:val="1"/>
      <w:numFmt w:val="decimal"/>
      <w:lvlText w:val="3.%1"/>
      <w:lvlJc w:val="left"/>
      <w:pPr>
        <w:ind w:left="1161" w:hanging="360"/>
      </w:pPr>
      <w:rPr>
        <w:rFonts w:hint="default"/>
      </w:rPr>
    </w:lvl>
    <w:lvl w:ilvl="1">
      <w:start w:val="1"/>
      <w:numFmt w:val="lowerLetter"/>
      <w:lvlText w:val="%2."/>
      <w:lvlJc w:val="left"/>
      <w:pPr>
        <w:ind w:left="1881" w:hanging="360"/>
      </w:pPr>
      <w:rPr>
        <w:rFonts w:hint="default"/>
      </w:rPr>
    </w:lvl>
    <w:lvl w:ilvl="2">
      <w:start w:val="1"/>
      <w:numFmt w:val="lowerRoman"/>
      <w:lvlText w:val="%3."/>
      <w:lvlJc w:val="right"/>
      <w:pPr>
        <w:ind w:left="2601" w:hanging="180"/>
      </w:pPr>
      <w:rPr>
        <w:rFonts w:hint="default"/>
      </w:rPr>
    </w:lvl>
    <w:lvl w:ilvl="3">
      <w:start w:val="1"/>
      <w:numFmt w:val="decimal"/>
      <w:lvlText w:val="%4."/>
      <w:lvlJc w:val="left"/>
      <w:pPr>
        <w:ind w:left="3321" w:hanging="360"/>
      </w:pPr>
      <w:rPr>
        <w:rFonts w:hint="default"/>
      </w:rPr>
    </w:lvl>
    <w:lvl w:ilvl="4">
      <w:start w:val="1"/>
      <w:numFmt w:val="lowerLetter"/>
      <w:lvlText w:val="%5."/>
      <w:lvlJc w:val="left"/>
      <w:pPr>
        <w:ind w:left="4041" w:hanging="360"/>
      </w:pPr>
      <w:rPr>
        <w:rFonts w:hint="default"/>
      </w:rPr>
    </w:lvl>
    <w:lvl w:ilvl="5">
      <w:start w:val="1"/>
      <w:numFmt w:val="lowerRoman"/>
      <w:lvlText w:val="%6."/>
      <w:lvlJc w:val="right"/>
      <w:pPr>
        <w:ind w:left="4761" w:hanging="180"/>
      </w:pPr>
      <w:rPr>
        <w:rFonts w:hint="default"/>
      </w:rPr>
    </w:lvl>
    <w:lvl w:ilvl="6">
      <w:start w:val="1"/>
      <w:numFmt w:val="decimal"/>
      <w:lvlText w:val="%7."/>
      <w:lvlJc w:val="left"/>
      <w:pPr>
        <w:ind w:left="5481" w:hanging="360"/>
      </w:pPr>
      <w:rPr>
        <w:rFonts w:hint="default"/>
      </w:rPr>
    </w:lvl>
    <w:lvl w:ilvl="7">
      <w:start w:val="1"/>
      <w:numFmt w:val="lowerLetter"/>
      <w:lvlText w:val="%8."/>
      <w:lvlJc w:val="left"/>
      <w:pPr>
        <w:ind w:left="6201" w:hanging="360"/>
      </w:pPr>
      <w:rPr>
        <w:rFonts w:hint="default"/>
      </w:rPr>
    </w:lvl>
    <w:lvl w:ilvl="8">
      <w:start w:val="1"/>
      <w:numFmt w:val="lowerRoman"/>
      <w:lvlText w:val="%9."/>
      <w:lvlJc w:val="right"/>
      <w:pPr>
        <w:ind w:left="6921" w:hanging="180"/>
      </w:pPr>
      <w:rPr>
        <w:rFonts w:hint="default"/>
      </w:rPr>
    </w:lvl>
  </w:abstractNum>
  <w:abstractNum w:abstractNumId="15" w15:restartNumberingAfterBreak="0">
    <w:nsid w:val="0FD5096C"/>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0EC67D5"/>
    <w:multiLevelType w:val="hybridMultilevel"/>
    <w:tmpl w:val="D7929720"/>
    <w:lvl w:ilvl="0" w:tplc="0AC0C342">
      <w:start w:val="1"/>
      <w:numFmt w:val="bullet"/>
      <w:pStyle w:val="NumbersAuto5Single"/>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13BF474C"/>
    <w:multiLevelType w:val="multilevel"/>
    <w:tmpl w:val="5C9ADAE8"/>
    <w:styleLink w:val="NumberAutoSingle"/>
    <w:lvl w:ilvl="0">
      <w:start w:val="1"/>
      <w:numFmt w:val="decimal"/>
      <w:lvlText w:val="%1."/>
      <w:lvlJc w:val="left"/>
      <w:pPr>
        <w:tabs>
          <w:tab w:val="num" w:pos="360"/>
        </w:tabs>
        <w:ind w:left="360" w:hanging="360"/>
      </w:pPr>
      <w:rPr>
        <w:rFonts w:ascii="Arial" w:hAnsi="Arial" w:hint="default"/>
        <w:sz w:val="22"/>
      </w:rPr>
    </w:lvl>
    <w:lvl w:ilvl="1">
      <w:start w:val="1"/>
      <w:numFmt w:val="lowerLetter"/>
      <w:lvlText w:val="%2."/>
      <w:lvlJc w:val="left"/>
      <w:pPr>
        <w:tabs>
          <w:tab w:val="num" w:pos="864"/>
        </w:tabs>
        <w:ind w:left="864" w:hanging="504"/>
      </w:pPr>
      <w:rPr>
        <w:rFonts w:ascii="Arial" w:hAnsi="Arial" w:hint="default"/>
        <w:sz w:val="22"/>
      </w:rPr>
    </w:lvl>
    <w:lvl w:ilvl="2">
      <w:start w:val="1"/>
      <w:numFmt w:val="lowerRoman"/>
      <w:lvlText w:val="%3."/>
      <w:lvlJc w:val="right"/>
      <w:pPr>
        <w:tabs>
          <w:tab w:val="num" w:pos="1368"/>
        </w:tabs>
        <w:ind w:left="1368" w:hanging="360"/>
      </w:pPr>
      <w:rPr>
        <w:rFonts w:ascii="Arial" w:hAnsi="Arial" w:hint="default"/>
        <w:sz w:val="22"/>
      </w:rPr>
    </w:lvl>
    <w:lvl w:ilvl="3">
      <w:start w:val="1"/>
      <w:numFmt w:val="bullet"/>
      <w:lvlText w:val=""/>
      <w:lvlJc w:val="left"/>
      <w:pPr>
        <w:tabs>
          <w:tab w:val="num" w:pos="1584"/>
        </w:tabs>
        <w:ind w:left="1584" w:hanging="216"/>
      </w:pPr>
      <w:rPr>
        <w:rFonts w:ascii="Symbol" w:hAnsi="Symbol" w:hint="default"/>
        <w:sz w:val="22"/>
      </w:rPr>
    </w:lvl>
    <w:lvl w:ilvl="4">
      <w:start w:val="1"/>
      <w:numFmt w:val="bullet"/>
      <w:lvlText w:val=""/>
      <w:lvlJc w:val="left"/>
      <w:pPr>
        <w:tabs>
          <w:tab w:val="num" w:pos="1944"/>
        </w:tabs>
        <w:ind w:left="1944" w:hanging="360"/>
      </w:pPr>
      <w:rPr>
        <w:rFonts w:ascii="Symbol" w:hAnsi="Symbol" w:hint="default"/>
        <w:color w:val="auto"/>
        <w:sz w:val="22"/>
      </w:rPr>
    </w:lvl>
    <w:lvl w:ilvl="5">
      <w:start w:val="1"/>
      <w:numFmt w:val="lowerRoman"/>
      <w:lvlText w:val="%6."/>
      <w:lvlJc w:val="right"/>
      <w:pPr>
        <w:tabs>
          <w:tab w:val="num" w:pos="5400"/>
        </w:tabs>
        <w:ind w:left="5400" w:hanging="180"/>
      </w:pPr>
      <w:rPr>
        <w:rFonts w:hint="default"/>
      </w:rPr>
    </w:lvl>
    <w:lvl w:ilvl="6">
      <w:start w:val="1"/>
      <w:numFmt w:val="decimal"/>
      <w:lvlText w:val="%7."/>
      <w:lvlJc w:val="left"/>
      <w:pPr>
        <w:tabs>
          <w:tab w:val="num" w:pos="6120"/>
        </w:tabs>
        <w:ind w:left="6120" w:hanging="360"/>
      </w:pPr>
      <w:rPr>
        <w:rFonts w:hint="default"/>
      </w:rPr>
    </w:lvl>
    <w:lvl w:ilvl="7">
      <w:start w:val="1"/>
      <w:numFmt w:val="lowerLetter"/>
      <w:lvlText w:val="%8."/>
      <w:lvlJc w:val="left"/>
      <w:pPr>
        <w:tabs>
          <w:tab w:val="num" w:pos="6840"/>
        </w:tabs>
        <w:ind w:left="6840" w:hanging="360"/>
      </w:pPr>
      <w:rPr>
        <w:rFonts w:hint="default"/>
      </w:rPr>
    </w:lvl>
    <w:lvl w:ilvl="8">
      <w:start w:val="1"/>
      <w:numFmt w:val="lowerRoman"/>
      <w:lvlText w:val="%9."/>
      <w:lvlJc w:val="right"/>
      <w:pPr>
        <w:tabs>
          <w:tab w:val="num" w:pos="7560"/>
        </w:tabs>
        <w:ind w:left="7560" w:hanging="180"/>
      </w:pPr>
      <w:rPr>
        <w:rFonts w:hint="default"/>
      </w:rPr>
    </w:lvl>
  </w:abstractNum>
  <w:abstractNum w:abstractNumId="18" w15:restartNumberingAfterBreak="0">
    <w:nsid w:val="179151C9"/>
    <w:multiLevelType w:val="hybridMultilevel"/>
    <w:tmpl w:val="E1FC16C2"/>
    <w:lvl w:ilvl="0" w:tplc="C05AC43E">
      <w:numFmt w:val="bullet"/>
      <w:lvlText w:val="•"/>
      <w:lvlJc w:val="left"/>
      <w:pPr>
        <w:tabs>
          <w:tab w:val="num" w:pos="0"/>
        </w:tabs>
        <w:ind w:left="0" w:firstLine="0"/>
      </w:pPr>
      <w:rPr>
        <w:rFonts w:ascii="Arial" w:eastAsia="PMingLiU" w:hAnsi="Arial" w:cs="Arial" w:hint="default"/>
        <w:color w:val="2B3A44"/>
        <w:sz w:val="22"/>
        <w:szCs w:val="1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AAE37D2"/>
    <w:multiLevelType w:val="hybridMultilevel"/>
    <w:tmpl w:val="49547C26"/>
    <w:lvl w:ilvl="0" w:tplc="0409000F">
      <w:start w:val="1"/>
      <w:numFmt w:val="decimal"/>
      <w:lvlText w:val="%1."/>
      <w:lvlJc w:val="left"/>
      <w:pPr>
        <w:tabs>
          <w:tab w:val="num" w:pos="1080"/>
        </w:tabs>
        <w:ind w:left="1080" w:hanging="360"/>
      </w:pPr>
      <w:rPr>
        <w:rFonts w:hint="default"/>
        <w:sz w:val="22"/>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0" w15:restartNumberingAfterBreak="0">
    <w:nsid w:val="1AED34C1"/>
    <w:multiLevelType w:val="hybridMultilevel"/>
    <w:tmpl w:val="92FA2D90"/>
    <w:lvl w:ilvl="0" w:tplc="6786EF72">
      <w:start w:val="1"/>
      <w:numFmt w:val="none"/>
      <w:pStyle w:val="Bullet3SubtextDouble"/>
      <w:lvlText w:val=""/>
      <w:lvlJc w:val="left"/>
      <w:pPr>
        <w:tabs>
          <w:tab w:val="num" w:pos="1080"/>
        </w:tabs>
        <w:ind w:left="108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1B6031E"/>
    <w:multiLevelType w:val="multilevel"/>
    <w:tmpl w:val="F85221A0"/>
    <w:styleLink w:val="Bullet1"/>
    <w:lvl w:ilvl="0">
      <w:start w:val="1"/>
      <w:numFmt w:val="bullet"/>
      <w:lvlText w:val=""/>
      <w:lvlJc w:val="left"/>
      <w:pPr>
        <w:tabs>
          <w:tab w:val="num" w:pos="216"/>
        </w:tabs>
        <w:ind w:left="216" w:hanging="216"/>
      </w:pPr>
      <w:rPr>
        <w:rFonts w:ascii="Symbol" w:hAnsi="Symbol"/>
        <w:sz w:val="20"/>
      </w:rPr>
    </w:lvl>
    <w:lvl w:ilvl="1">
      <w:start w:val="1"/>
      <w:numFmt w:val="bullet"/>
      <w:lvlText w:val=""/>
      <w:lvlJc w:val="left"/>
      <w:pPr>
        <w:tabs>
          <w:tab w:val="num" w:pos="432"/>
        </w:tabs>
        <w:ind w:left="216" w:firstLine="0"/>
      </w:pPr>
      <w:rPr>
        <w:rFonts w:ascii="Symbol" w:hAnsi="Symbol" w:hint="default"/>
        <w:color w:val="3859AC"/>
        <w:sz w:val="20"/>
      </w:rPr>
    </w:lvl>
    <w:lvl w:ilvl="2">
      <w:start w:val="1"/>
      <w:numFmt w:val="bullet"/>
      <w:lvlText w:val=""/>
      <w:lvlJc w:val="left"/>
      <w:pPr>
        <w:tabs>
          <w:tab w:val="num" w:pos="648"/>
        </w:tabs>
        <w:ind w:left="432" w:hanging="216"/>
      </w:pPr>
      <w:rPr>
        <w:rFonts w:ascii="Symbol" w:hAnsi="Symbol" w:hint="default"/>
        <w:sz w:val="20"/>
      </w:rPr>
    </w:lvl>
    <w:lvl w:ilvl="3">
      <w:start w:val="1"/>
      <w:numFmt w:val="bullet"/>
      <w:lvlText w:val=""/>
      <w:lvlJc w:val="left"/>
      <w:pPr>
        <w:tabs>
          <w:tab w:val="num" w:pos="864"/>
        </w:tabs>
        <w:ind w:left="648" w:hanging="432"/>
      </w:pPr>
      <w:rPr>
        <w:rFonts w:ascii="Symbol" w:hAnsi="Symbol" w:hint="default"/>
        <w:color w:val="3859AC"/>
        <w:sz w:val="20"/>
      </w:rPr>
    </w:lvl>
    <w:lvl w:ilvl="4">
      <w:start w:val="1"/>
      <w:numFmt w:val="bullet"/>
      <w:lvlText w:val=""/>
      <w:lvlJc w:val="left"/>
      <w:pPr>
        <w:tabs>
          <w:tab w:val="num" w:pos="1080"/>
        </w:tabs>
        <w:ind w:left="864" w:hanging="648"/>
      </w:pPr>
      <w:rPr>
        <w:rFonts w:ascii="Symbol" w:hAnsi="Symbol" w:hint="default"/>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3CE4319"/>
    <w:multiLevelType w:val="multilevel"/>
    <w:tmpl w:val="FC700078"/>
    <w:lvl w:ilvl="0">
      <w:start w:val="1"/>
      <w:numFmt w:val="decimal"/>
      <w:pStyle w:val="Heading1"/>
      <w:lvlText w:val="%1"/>
      <w:lvlJc w:val="left"/>
      <w:pPr>
        <w:ind w:left="3060" w:hanging="360"/>
      </w:pPr>
      <w:rPr>
        <w:rFonts w:hint="default"/>
      </w:rPr>
    </w:lvl>
    <w:lvl w:ilvl="1">
      <w:start w:val="1"/>
      <w:numFmt w:val="decimal"/>
      <w:pStyle w:val="Heading2"/>
      <w:lvlText w:val="%1.%2"/>
      <w:lvlJc w:val="left"/>
      <w:pPr>
        <w:ind w:left="792" w:hanging="792"/>
      </w:pPr>
      <w:rPr>
        <w:rFonts w:hint="default"/>
      </w:rPr>
    </w:lvl>
    <w:lvl w:ilvl="2">
      <w:start w:val="1"/>
      <w:numFmt w:val="decimal"/>
      <w:pStyle w:val="Heading3"/>
      <w:lvlText w:val="%1.%2.%3"/>
      <w:lvlJc w:val="left"/>
      <w:pPr>
        <w:ind w:left="1224" w:hanging="1224"/>
      </w:pPr>
      <w:rPr>
        <w:rFonts w:hint="default"/>
      </w:rPr>
    </w:lvl>
    <w:lvl w:ilvl="3">
      <w:start w:val="1"/>
      <w:numFmt w:val="decimal"/>
      <w:pStyle w:val="Heading4"/>
      <w:lvlText w:val="%1.%2.%3.%4"/>
      <w:lvlJc w:val="left"/>
      <w:pPr>
        <w:ind w:left="1728" w:hanging="1728"/>
      </w:pPr>
      <w:rPr>
        <w:rFonts w:hint="default"/>
      </w:rPr>
    </w:lvl>
    <w:lvl w:ilvl="4">
      <w:start w:val="1"/>
      <w:numFmt w:val="decimal"/>
      <w:pStyle w:val="Heading5"/>
      <w:lvlText w:val="%1.%2.%3.%4.%5"/>
      <w:lvlJc w:val="left"/>
      <w:pPr>
        <w:ind w:left="2232" w:hanging="2232"/>
      </w:pPr>
      <w:rPr>
        <w:rFonts w:hint="default"/>
      </w:rPr>
    </w:lvl>
    <w:lvl w:ilvl="5">
      <w:start w:val="1"/>
      <w:numFmt w:val="decimal"/>
      <w:pStyle w:val="Heading6"/>
      <w:lvlText w:val="%1.%2.%3.%4.%5.%6"/>
      <w:lvlJc w:val="left"/>
      <w:pPr>
        <w:ind w:left="2736" w:hanging="2736"/>
      </w:pPr>
      <w:rPr>
        <w:rFonts w:hint="default"/>
      </w:rPr>
    </w:lvl>
    <w:lvl w:ilvl="6">
      <w:start w:val="1"/>
      <w:numFmt w:val="decimal"/>
      <w:pStyle w:val="Heading7"/>
      <w:lvlText w:val="%1.%2.%3.%4.%5.%6.%7"/>
      <w:lvlJc w:val="left"/>
      <w:pPr>
        <w:ind w:left="3240" w:hanging="3240"/>
      </w:pPr>
      <w:rPr>
        <w:rFonts w:hint="default"/>
      </w:rPr>
    </w:lvl>
    <w:lvl w:ilvl="7">
      <w:start w:val="1"/>
      <w:numFmt w:val="decimal"/>
      <w:pStyle w:val="Heading8"/>
      <w:lvlText w:val="%1.%2.%3.%4.%5.%6.%7.%8"/>
      <w:lvlJc w:val="left"/>
      <w:pPr>
        <w:ind w:left="3744" w:hanging="3744"/>
      </w:pPr>
      <w:rPr>
        <w:rFonts w:hint="default"/>
      </w:rPr>
    </w:lvl>
    <w:lvl w:ilvl="8">
      <w:start w:val="1"/>
      <w:numFmt w:val="decimal"/>
      <w:pStyle w:val="Heading9"/>
      <w:lvlText w:val="%1.%2.%3.%4.%5.%6.%7.%8.%9"/>
      <w:lvlJc w:val="left"/>
      <w:pPr>
        <w:ind w:left="4320" w:hanging="4320"/>
      </w:pPr>
      <w:rPr>
        <w:rFonts w:hint="default"/>
      </w:rPr>
    </w:lvl>
  </w:abstractNum>
  <w:abstractNum w:abstractNumId="23" w15:restartNumberingAfterBreak="0">
    <w:nsid w:val="247960B6"/>
    <w:multiLevelType w:val="multilevel"/>
    <w:tmpl w:val="1F9E6E3A"/>
    <w:styleLink w:val="NumbersAutoDouble"/>
    <w:lvl w:ilvl="0">
      <w:start w:val="1"/>
      <w:numFmt w:val="decimal"/>
      <w:lvlText w:val="%1."/>
      <w:lvlJc w:val="left"/>
      <w:pPr>
        <w:tabs>
          <w:tab w:val="num" w:pos="360"/>
        </w:tabs>
        <w:ind w:left="360" w:hanging="360"/>
      </w:pPr>
      <w:rPr>
        <w:rFonts w:ascii="Arial" w:hAnsi="Arial" w:hint="default"/>
        <w:sz w:val="22"/>
      </w:rPr>
    </w:lvl>
    <w:lvl w:ilvl="1">
      <w:start w:val="1"/>
      <w:numFmt w:val="lowerLetter"/>
      <w:lvlText w:val="%2."/>
      <w:lvlJc w:val="left"/>
      <w:pPr>
        <w:tabs>
          <w:tab w:val="num" w:pos="1224"/>
        </w:tabs>
        <w:ind w:left="864" w:hanging="504"/>
      </w:pPr>
      <w:rPr>
        <w:rFonts w:hint="default"/>
      </w:rPr>
    </w:lvl>
    <w:lvl w:ilvl="2">
      <w:start w:val="1"/>
      <w:numFmt w:val="lowerRoman"/>
      <w:lvlText w:val="%3."/>
      <w:lvlJc w:val="right"/>
      <w:pPr>
        <w:tabs>
          <w:tab w:val="num" w:pos="1224"/>
        </w:tabs>
        <w:ind w:left="864" w:firstLine="144"/>
      </w:pPr>
      <w:rPr>
        <w:rFonts w:hint="default"/>
      </w:rPr>
    </w:lvl>
    <w:lvl w:ilvl="3">
      <w:start w:val="1"/>
      <w:numFmt w:val="bullet"/>
      <w:lvlText w:val=""/>
      <w:lvlJc w:val="left"/>
      <w:pPr>
        <w:tabs>
          <w:tab w:val="num" w:pos="1584"/>
        </w:tabs>
        <w:ind w:left="1584" w:hanging="216"/>
      </w:pPr>
      <w:rPr>
        <w:rFonts w:ascii="Symbol" w:hAnsi="Symbol" w:hint="default"/>
      </w:rPr>
    </w:lvl>
    <w:lvl w:ilvl="4">
      <w:start w:val="1"/>
      <w:numFmt w:val="bullet"/>
      <w:lvlText w:val=""/>
      <w:lvlJc w:val="left"/>
      <w:pPr>
        <w:tabs>
          <w:tab w:val="num" w:pos="1944"/>
        </w:tabs>
        <w:ind w:left="1944" w:hanging="360"/>
      </w:pPr>
      <w:rPr>
        <w:rFonts w:ascii="Symbol" w:hAnsi="Symbol"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26C45A36"/>
    <w:multiLevelType w:val="hybridMultilevel"/>
    <w:tmpl w:val="A9F22F02"/>
    <w:lvl w:ilvl="0" w:tplc="C9487782">
      <w:start w:val="1"/>
      <w:numFmt w:val="bullet"/>
      <w:pStyle w:val="TableText10Bullet2Double"/>
      <w:lvlText w:val="–"/>
      <w:lvlJc w:val="left"/>
      <w:pPr>
        <w:tabs>
          <w:tab w:val="num" w:pos="216"/>
        </w:tabs>
        <w:ind w:left="216" w:firstLine="0"/>
      </w:pPr>
      <w:rPr>
        <w:rFonts w:ascii="Arial" w:hAnsi="Arial" w:hint="default"/>
        <w:color w:val="auto"/>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8F6184E"/>
    <w:multiLevelType w:val="hybridMultilevel"/>
    <w:tmpl w:val="98A6C152"/>
    <w:lvl w:ilvl="0" w:tplc="D8E42D2A">
      <w:numFmt w:val="none"/>
      <w:pStyle w:val="Bullet2SubtextDouble"/>
      <w:lvlText w:val=""/>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2C9F1755"/>
    <w:multiLevelType w:val="hybridMultilevel"/>
    <w:tmpl w:val="7CA43084"/>
    <w:lvl w:ilvl="0" w:tplc="44D04A22">
      <w:start w:val="1"/>
      <w:numFmt w:val="decimal"/>
      <w:pStyle w:val="NumbersAutoBold"/>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2CD514B2"/>
    <w:multiLevelType w:val="hybridMultilevel"/>
    <w:tmpl w:val="E4426702"/>
    <w:lvl w:ilvl="0" w:tplc="39526D26">
      <w:start w:val="2"/>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E482A23"/>
    <w:multiLevelType w:val="hybridMultilevel"/>
    <w:tmpl w:val="2ACAD30C"/>
    <w:lvl w:ilvl="0" w:tplc="31D40EEE">
      <w:start w:val="1"/>
      <w:numFmt w:val="decimal"/>
      <w:lvlText w:val="2.%1"/>
      <w:lvlJc w:val="left"/>
      <w:pPr>
        <w:ind w:left="1161" w:hanging="360"/>
      </w:pPr>
      <w:rPr>
        <w:rFonts w:hint="default"/>
        <w:sz w:val="22"/>
        <w:szCs w:val="22"/>
      </w:rPr>
    </w:lvl>
    <w:lvl w:ilvl="1" w:tplc="04090019" w:tentative="1">
      <w:start w:val="1"/>
      <w:numFmt w:val="lowerLetter"/>
      <w:lvlText w:val="%2."/>
      <w:lvlJc w:val="left"/>
      <w:pPr>
        <w:ind w:left="1881" w:hanging="360"/>
      </w:pPr>
    </w:lvl>
    <w:lvl w:ilvl="2" w:tplc="0409001B" w:tentative="1">
      <w:start w:val="1"/>
      <w:numFmt w:val="lowerRoman"/>
      <w:lvlText w:val="%3."/>
      <w:lvlJc w:val="right"/>
      <w:pPr>
        <w:ind w:left="2601" w:hanging="180"/>
      </w:pPr>
    </w:lvl>
    <w:lvl w:ilvl="3" w:tplc="0409000F" w:tentative="1">
      <w:start w:val="1"/>
      <w:numFmt w:val="decimal"/>
      <w:lvlText w:val="%4."/>
      <w:lvlJc w:val="left"/>
      <w:pPr>
        <w:ind w:left="3321" w:hanging="360"/>
      </w:pPr>
    </w:lvl>
    <w:lvl w:ilvl="4" w:tplc="04090019" w:tentative="1">
      <w:start w:val="1"/>
      <w:numFmt w:val="lowerLetter"/>
      <w:lvlText w:val="%5."/>
      <w:lvlJc w:val="left"/>
      <w:pPr>
        <w:ind w:left="4041" w:hanging="360"/>
      </w:pPr>
    </w:lvl>
    <w:lvl w:ilvl="5" w:tplc="0409001B" w:tentative="1">
      <w:start w:val="1"/>
      <w:numFmt w:val="lowerRoman"/>
      <w:lvlText w:val="%6."/>
      <w:lvlJc w:val="right"/>
      <w:pPr>
        <w:ind w:left="4761" w:hanging="180"/>
      </w:pPr>
    </w:lvl>
    <w:lvl w:ilvl="6" w:tplc="0409000F" w:tentative="1">
      <w:start w:val="1"/>
      <w:numFmt w:val="decimal"/>
      <w:lvlText w:val="%7."/>
      <w:lvlJc w:val="left"/>
      <w:pPr>
        <w:ind w:left="5481" w:hanging="360"/>
      </w:pPr>
    </w:lvl>
    <w:lvl w:ilvl="7" w:tplc="04090019" w:tentative="1">
      <w:start w:val="1"/>
      <w:numFmt w:val="lowerLetter"/>
      <w:lvlText w:val="%8."/>
      <w:lvlJc w:val="left"/>
      <w:pPr>
        <w:ind w:left="6201" w:hanging="360"/>
      </w:pPr>
    </w:lvl>
    <w:lvl w:ilvl="8" w:tplc="0409001B" w:tentative="1">
      <w:start w:val="1"/>
      <w:numFmt w:val="lowerRoman"/>
      <w:lvlText w:val="%9."/>
      <w:lvlJc w:val="right"/>
      <w:pPr>
        <w:ind w:left="6921" w:hanging="180"/>
      </w:pPr>
    </w:lvl>
  </w:abstractNum>
  <w:abstractNum w:abstractNumId="29" w15:restartNumberingAfterBreak="0">
    <w:nsid w:val="328258C6"/>
    <w:multiLevelType w:val="hybridMultilevel"/>
    <w:tmpl w:val="E9B6845A"/>
    <w:lvl w:ilvl="0" w:tplc="047A3D54">
      <w:start w:val="1"/>
      <w:numFmt w:val="bullet"/>
      <w:pStyle w:val="Bullet3Double0"/>
      <w:lvlText w:val=""/>
      <w:lvlJc w:val="left"/>
      <w:pPr>
        <w:tabs>
          <w:tab w:val="num" w:pos="1080"/>
        </w:tabs>
        <w:ind w:left="1080" w:hanging="360"/>
      </w:pPr>
      <w:rPr>
        <w:rFonts w:ascii="Symbol" w:hAnsi="Symbol" w:hint="default"/>
        <w:b w:val="0"/>
        <w:i w:val="0"/>
        <w:color w:val="2B3A44"/>
        <w:sz w:val="22"/>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3F61AD4"/>
    <w:multiLevelType w:val="multilevel"/>
    <w:tmpl w:val="61708DE2"/>
    <w:lvl w:ilvl="0">
      <w:start w:val="5"/>
      <w:numFmt w:val="decimal"/>
      <w:lvlText w:val="%1"/>
      <w:lvlJc w:val="left"/>
      <w:pPr>
        <w:ind w:left="360" w:hanging="360"/>
      </w:pPr>
      <w:rPr>
        <w:rFonts w:cs="Times New Roman" w:hint="default"/>
        <w:u w:val="single"/>
      </w:rPr>
    </w:lvl>
    <w:lvl w:ilvl="1">
      <w:start w:val="1"/>
      <w:numFmt w:val="decimal"/>
      <w:lvlText w:val="%1.%2"/>
      <w:lvlJc w:val="left"/>
      <w:pPr>
        <w:ind w:left="360" w:hanging="360"/>
      </w:pPr>
      <w:rPr>
        <w:rFonts w:cs="Times New Roman" w:hint="default"/>
        <w:u w:val="none"/>
      </w:rPr>
    </w:lvl>
    <w:lvl w:ilvl="2">
      <w:start w:val="1"/>
      <w:numFmt w:val="decimal"/>
      <w:lvlText w:val="%1.%2.%3"/>
      <w:lvlJc w:val="left"/>
      <w:pPr>
        <w:ind w:left="818" w:hanging="720"/>
      </w:pPr>
      <w:rPr>
        <w:rFonts w:cs="Times New Roman" w:hint="default"/>
        <w:sz w:val="22"/>
        <w:szCs w:val="22"/>
        <w:u w:val="none"/>
      </w:rPr>
    </w:lvl>
    <w:lvl w:ilvl="3">
      <w:start w:val="1"/>
      <w:numFmt w:val="decimal"/>
      <w:lvlText w:val="%1.%2.%3.%4"/>
      <w:lvlJc w:val="left"/>
      <w:pPr>
        <w:ind w:left="867" w:hanging="720"/>
      </w:pPr>
      <w:rPr>
        <w:rFonts w:cs="Times New Roman" w:hint="default"/>
        <w:u w:val="single"/>
      </w:rPr>
    </w:lvl>
    <w:lvl w:ilvl="4">
      <w:start w:val="1"/>
      <w:numFmt w:val="decimal"/>
      <w:lvlText w:val="%1.%2.%3.%4.%5"/>
      <w:lvlJc w:val="left"/>
      <w:pPr>
        <w:ind w:left="1276" w:hanging="1080"/>
      </w:pPr>
      <w:rPr>
        <w:rFonts w:cs="Times New Roman" w:hint="default"/>
        <w:u w:val="single"/>
      </w:rPr>
    </w:lvl>
    <w:lvl w:ilvl="5">
      <w:start w:val="1"/>
      <w:numFmt w:val="decimal"/>
      <w:lvlText w:val="%1.%2.%3.%4.%5.%6"/>
      <w:lvlJc w:val="left"/>
      <w:pPr>
        <w:ind w:left="1325" w:hanging="1080"/>
      </w:pPr>
      <w:rPr>
        <w:rFonts w:cs="Times New Roman" w:hint="default"/>
        <w:u w:val="single"/>
      </w:rPr>
    </w:lvl>
    <w:lvl w:ilvl="6">
      <w:start w:val="1"/>
      <w:numFmt w:val="decimal"/>
      <w:lvlText w:val="%1.%2.%3.%4.%5.%6.%7"/>
      <w:lvlJc w:val="left"/>
      <w:pPr>
        <w:ind w:left="1734" w:hanging="1440"/>
      </w:pPr>
      <w:rPr>
        <w:rFonts w:cs="Times New Roman" w:hint="default"/>
        <w:u w:val="single"/>
      </w:rPr>
    </w:lvl>
    <w:lvl w:ilvl="7">
      <w:start w:val="1"/>
      <w:numFmt w:val="decimal"/>
      <w:lvlText w:val="%1.%2.%3.%4.%5.%6.%7.%8"/>
      <w:lvlJc w:val="left"/>
      <w:pPr>
        <w:ind w:left="1783" w:hanging="1440"/>
      </w:pPr>
      <w:rPr>
        <w:rFonts w:cs="Times New Roman" w:hint="default"/>
        <w:u w:val="single"/>
      </w:rPr>
    </w:lvl>
    <w:lvl w:ilvl="8">
      <w:start w:val="1"/>
      <w:numFmt w:val="decimal"/>
      <w:lvlText w:val="%1.%2.%3.%4.%5.%6.%7.%8.%9"/>
      <w:lvlJc w:val="left"/>
      <w:pPr>
        <w:ind w:left="2192" w:hanging="1800"/>
      </w:pPr>
      <w:rPr>
        <w:rFonts w:cs="Times New Roman" w:hint="default"/>
        <w:u w:val="single"/>
      </w:rPr>
    </w:lvl>
  </w:abstractNum>
  <w:abstractNum w:abstractNumId="31" w15:restartNumberingAfterBreak="0">
    <w:nsid w:val="36854438"/>
    <w:multiLevelType w:val="hybridMultilevel"/>
    <w:tmpl w:val="4CEEBCDA"/>
    <w:lvl w:ilvl="0" w:tplc="7F1CD2C4">
      <w:numFmt w:val="none"/>
      <w:pStyle w:val="Bullet2SubtextSingle"/>
      <w:lvlText w:val=""/>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36B44979"/>
    <w:multiLevelType w:val="hybridMultilevel"/>
    <w:tmpl w:val="58E49746"/>
    <w:lvl w:ilvl="0" w:tplc="CD8E605C">
      <w:start w:val="1"/>
      <w:numFmt w:val="decimal"/>
      <w:lvlText w:val="%1."/>
      <w:lvlJc w:val="left"/>
      <w:pPr>
        <w:ind w:left="810" w:hanging="360"/>
      </w:pPr>
      <w:rPr>
        <w:rFonts w:hint="default"/>
        <w:sz w:val="22"/>
        <w:szCs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3" w15:restartNumberingAfterBreak="0">
    <w:nsid w:val="375D2A69"/>
    <w:multiLevelType w:val="hybridMultilevel"/>
    <w:tmpl w:val="DCB82ECA"/>
    <w:lvl w:ilvl="0" w:tplc="C05AC43E">
      <w:numFmt w:val="bullet"/>
      <w:lvlText w:val="•"/>
      <w:lvlJc w:val="left"/>
      <w:pPr>
        <w:tabs>
          <w:tab w:val="num" w:pos="0"/>
        </w:tabs>
        <w:ind w:left="0" w:firstLine="0"/>
      </w:pPr>
      <w:rPr>
        <w:rFonts w:ascii="Arial" w:eastAsia="PMingLiU" w:hAnsi="Arial" w:cs="Arial" w:hint="default"/>
        <w:color w:val="2B3A44"/>
        <w:sz w:val="22"/>
        <w:szCs w:val="1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91E6C3C"/>
    <w:multiLevelType w:val="hybridMultilevel"/>
    <w:tmpl w:val="AE348852"/>
    <w:lvl w:ilvl="0" w:tplc="C05AC43E">
      <w:numFmt w:val="bullet"/>
      <w:lvlText w:val="•"/>
      <w:lvlJc w:val="left"/>
      <w:pPr>
        <w:tabs>
          <w:tab w:val="num" w:pos="0"/>
        </w:tabs>
        <w:ind w:left="0" w:firstLine="0"/>
      </w:pPr>
      <w:rPr>
        <w:rFonts w:ascii="Arial" w:eastAsia="PMingLiU" w:hAnsi="Arial" w:cs="Arial" w:hint="default"/>
        <w:color w:val="2B3A44"/>
        <w:sz w:val="22"/>
        <w:szCs w:val="18"/>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A7F5CEA"/>
    <w:multiLevelType w:val="multilevel"/>
    <w:tmpl w:val="F9586C0C"/>
    <w:lvl w:ilvl="0">
      <w:start w:val="1"/>
      <w:numFmt w:val="decimal"/>
      <w:lvlText w:val="%1"/>
      <w:lvlJc w:val="left"/>
      <w:pPr>
        <w:ind w:left="450" w:hanging="450"/>
      </w:pPr>
      <w:rPr>
        <w:rFonts w:hint="default"/>
      </w:rPr>
    </w:lvl>
    <w:lvl w:ilvl="1">
      <w:start w:val="14"/>
      <w:numFmt w:val="decimal"/>
      <w:lvlText w:val="%1.%2"/>
      <w:lvlJc w:val="left"/>
      <w:pPr>
        <w:ind w:left="450" w:hanging="45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3E9104DE"/>
    <w:multiLevelType w:val="multilevel"/>
    <w:tmpl w:val="D67A957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400D648A"/>
    <w:multiLevelType w:val="hybridMultilevel"/>
    <w:tmpl w:val="3F062D20"/>
    <w:lvl w:ilvl="0" w:tplc="C05AC43E">
      <w:numFmt w:val="bullet"/>
      <w:lvlText w:val="•"/>
      <w:lvlJc w:val="left"/>
      <w:pPr>
        <w:tabs>
          <w:tab w:val="num" w:pos="0"/>
        </w:tabs>
        <w:ind w:left="0" w:firstLine="0"/>
      </w:pPr>
      <w:rPr>
        <w:rFonts w:ascii="Arial" w:eastAsia="PMingLiU" w:hAnsi="Arial" w:cs="Arial" w:hint="default"/>
        <w:color w:val="2B3A44"/>
        <w:sz w:val="22"/>
        <w:szCs w:val="1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31C43D3"/>
    <w:multiLevelType w:val="hybridMultilevel"/>
    <w:tmpl w:val="AED25FF8"/>
    <w:lvl w:ilvl="0" w:tplc="319811B0">
      <w:start w:val="1"/>
      <w:numFmt w:val="bullet"/>
      <w:pStyle w:val="Bullet1Double"/>
      <w:lvlText w:val=""/>
      <w:lvlJc w:val="left"/>
      <w:pPr>
        <w:tabs>
          <w:tab w:val="num" w:pos="0"/>
        </w:tabs>
        <w:ind w:left="0" w:firstLine="0"/>
      </w:pPr>
      <w:rPr>
        <w:rFonts w:ascii="Symbol" w:hAnsi="Symbol" w:hint="default"/>
        <w:color w:val="2B3A44"/>
        <w:sz w:val="22"/>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3E31F5A"/>
    <w:multiLevelType w:val="hybridMultilevel"/>
    <w:tmpl w:val="8FCA9E8A"/>
    <w:lvl w:ilvl="0" w:tplc="C5DE90CE">
      <w:start w:val="1"/>
      <w:numFmt w:val="bullet"/>
      <w:pStyle w:val="NumbersAuto4Double"/>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44635F84"/>
    <w:multiLevelType w:val="hybridMultilevel"/>
    <w:tmpl w:val="45A8AE10"/>
    <w:lvl w:ilvl="0" w:tplc="1806F360">
      <w:start w:val="1"/>
      <w:numFmt w:val="none"/>
      <w:pStyle w:val="Bullet3SubtextSingle"/>
      <w:lvlText w:val=""/>
      <w:lvlJc w:val="left"/>
      <w:pPr>
        <w:tabs>
          <w:tab w:val="num" w:pos="1080"/>
        </w:tabs>
        <w:ind w:left="108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44901257"/>
    <w:multiLevelType w:val="multilevel"/>
    <w:tmpl w:val="21DEC29E"/>
    <w:lvl w:ilvl="0">
      <w:start w:val="5"/>
      <w:numFmt w:val="decimal"/>
      <w:lvlText w:val="%1"/>
      <w:lvlJc w:val="left"/>
      <w:pPr>
        <w:ind w:left="375" w:hanging="375"/>
      </w:pPr>
      <w:rPr>
        <w:rFonts w:hint="default"/>
      </w:rPr>
    </w:lvl>
    <w:lvl w:ilvl="1">
      <w:start w:val="3"/>
      <w:numFmt w:val="decimal"/>
      <w:lvlText w:val="%1.%2"/>
      <w:lvlJc w:val="left"/>
      <w:pPr>
        <w:ind w:left="465" w:hanging="375"/>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72171C4"/>
    <w:multiLevelType w:val="multilevel"/>
    <w:tmpl w:val="50AAE700"/>
    <w:lvl w:ilvl="0">
      <w:start w:val="1"/>
      <w:numFmt w:val="decimal"/>
      <w:pStyle w:val="NumbersAutoBoldDouble"/>
      <w:lvlText w:val="%1."/>
      <w:lvlJc w:val="left"/>
      <w:pPr>
        <w:tabs>
          <w:tab w:val="num" w:pos="425"/>
        </w:tabs>
        <w:ind w:left="425" w:hanging="425"/>
      </w:pPr>
      <w:rPr>
        <w:rFonts w:hint="default"/>
        <w:b/>
        <w:i w:val="0"/>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decimal"/>
      <w:lvlText w:val="%4."/>
      <w:lvlJc w:val="left"/>
      <w:pPr>
        <w:tabs>
          <w:tab w:val="num" w:pos="1701"/>
        </w:tabs>
        <w:ind w:left="1701" w:hanging="425"/>
      </w:pPr>
      <w:rPr>
        <w:rFonts w:hint="default"/>
      </w:rPr>
    </w:lvl>
    <w:lvl w:ilvl="4">
      <w:start w:val="1"/>
      <w:numFmt w:val="lowerLetter"/>
      <w:lvlText w:val="%5."/>
      <w:lvlJc w:val="left"/>
      <w:pPr>
        <w:tabs>
          <w:tab w:val="num" w:pos="2126"/>
        </w:tabs>
        <w:ind w:left="2126" w:hanging="425"/>
      </w:pPr>
      <w:rPr>
        <w:rFonts w:hint="default"/>
      </w:rPr>
    </w:lvl>
    <w:lvl w:ilvl="5">
      <w:start w:val="1"/>
      <w:numFmt w:val="lowerRoman"/>
      <w:lvlText w:val="%6."/>
      <w:lvlJc w:val="left"/>
      <w:pPr>
        <w:tabs>
          <w:tab w:val="num" w:pos="2552"/>
        </w:tabs>
        <w:ind w:left="2552" w:hanging="426"/>
      </w:pPr>
      <w:rPr>
        <w:rFonts w:hint="default"/>
      </w:rPr>
    </w:lvl>
    <w:lvl w:ilvl="6">
      <w:start w:val="1"/>
      <w:numFmt w:val="decimal"/>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Roman"/>
      <w:lvlText w:val="%9."/>
      <w:lvlJc w:val="right"/>
      <w:pPr>
        <w:tabs>
          <w:tab w:val="num" w:pos="3827"/>
        </w:tabs>
        <w:ind w:left="3827" w:hanging="425"/>
      </w:pPr>
      <w:rPr>
        <w:rFonts w:hint="default"/>
      </w:rPr>
    </w:lvl>
  </w:abstractNum>
  <w:abstractNum w:abstractNumId="43" w15:restartNumberingAfterBreak="0">
    <w:nsid w:val="491A2E14"/>
    <w:multiLevelType w:val="hybridMultilevel"/>
    <w:tmpl w:val="287ECABE"/>
    <w:lvl w:ilvl="0" w:tplc="C05AC43E">
      <w:numFmt w:val="bullet"/>
      <w:lvlText w:val="•"/>
      <w:lvlJc w:val="left"/>
      <w:pPr>
        <w:tabs>
          <w:tab w:val="num" w:pos="0"/>
        </w:tabs>
        <w:ind w:left="0" w:firstLine="0"/>
      </w:pPr>
      <w:rPr>
        <w:rFonts w:ascii="Arial" w:eastAsia="PMingLiU" w:hAnsi="Arial" w:cs="Arial" w:hint="default"/>
        <w:color w:val="2B3A44"/>
        <w:sz w:val="22"/>
        <w:szCs w:val="1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9D375EB"/>
    <w:multiLevelType w:val="hybridMultilevel"/>
    <w:tmpl w:val="6AB4F974"/>
    <w:lvl w:ilvl="0" w:tplc="765AE598">
      <w:start w:val="1"/>
      <w:numFmt w:val="bullet"/>
      <w:pStyle w:val="CvrLtrBullet1Double"/>
      <w:lvlText w:val=""/>
      <w:lvlJc w:val="left"/>
      <w:pPr>
        <w:tabs>
          <w:tab w:val="num" w:pos="0"/>
        </w:tabs>
        <w:ind w:left="0" w:firstLine="0"/>
      </w:pPr>
      <w:rPr>
        <w:rFonts w:ascii="Symbol" w:hAnsi="Symbol" w:hint="default"/>
        <w:color w:val="2B3A44"/>
        <w:sz w:val="22"/>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A377730"/>
    <w:multiLevelType w:val="hybridMultilevel"/>
    <w:tmpl w:val="C0BC90F4"/>
    <w:lvl w:ilvl="0" w:tplc="C05AC43E">
      <w:numFmt w:val="bullet"/>
      <w:lvlText w:val="•"/>
      <w:lvlJc w:val="left"/>
      <w:pPr>
        <w:tabs>
          <w:tab w:val="num" w:pos="0"/>
        </w:tabs>
        <w:ind w:left="0" w:firstLine="0"/>
      </w:pPr>
      <w:rPr>
        <w:rFonts w:ascii="Arial" w:eastAsia="PMingLiU" w:hAnsi="Arial" w:cs="Arial" w:hint="default"/>
        <w:color w:val="2B3A44"/>
        <w:sz w:val="22"/>
        <w:szCs w:val="1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A4502F3"/>
    <w:multiLevelType w:val="hybridMultilevel"/>
    <w:tmpl w:val="977C00F0"/>
    <w:lvl w:ilvl="0" w:tplc="55089122">
      <w:start w:val="1"/>
      <w:numFmt w:val="bullet"/>
      <w:pStyle w:val="Bullet5Double"/>
      <w:lvlText w:val=""/>
      <w:lvlJc w:val="left"/>
      <w:pPr>
        <w:tabs>
          <w:tab w:val="num" w:pos="1800"/>
        </w:tabs>
        <w:ind w:left="1800" w:hanging="360"/>
      </w:pPr>
      <w:rPr>
        <w:rFonts w:ascii="Symbol" w:hAnsi="Symbol" w:hint="default"/>
        <w:b w:val="0"/>
        <w:i w:val="0"/>
        <w:color w:val="2B3A44"/>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A93317F"/>
    <w:multiLevelType w:val="hybridMultilevel"/>
    <w:tmpl w:val="1494DA42"/>
    <w:lvl w:ilvl="0" w:tplc="F6CA42FC">
      <w:start w:val="1"/>
      <w:numFmt w:val="bullet"/>
      <w:pStyle w:val="QuotationAttribute"/>
      <w:lvlText w:val=""/>
      <w:lvlJc w:val="left"/>
      <w:pPr>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B024701"/>
    <w:multiLevelType w:val="hybridMultilevel"/>
    <w:tmpl w:val="9EAE0F16"/>
    <w:lvl w:ilvl="0" w:tplc="2F9CF242">
      <w:start w:val="1"/>
      <w:numFmt w:val="bullet"/>
      <w:pStyle w:val="RightSidebarBullet"/>
      <w:lvlText w:val=""/>
      <w:lvlJc w:val="left"/>
      <w:pPr>
        <w:ind w:left="720" w:hanging="360"/>
      </w:pPr>
      <w:rPr>
        <w:rFonts w:ascii="Symbol" w:hAnsi="Symbol" w:hint="default"/>
        <w:b w:val="0"/>
        <w:i w:val="0"/>
        <w:color w:val="2B3A44"/>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E8D4B31"/>
    <w:multiLevelType w:val="multilevel"/>
    <w:tmpl w:val="CD608386"/>
    <w:lvl w:ilvl="0">
      <w:start w:val="1"/>
      <w:numFmt w:val="decimal"/>
      <w:pStyle w:val="NumbersAutoSingle"/>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decimal"/>
      <w:lvlText w:val="%4."/>
      <w:lvlJc w:val="left"/>
      <w:pPr>
        <w:tabs>
          <w:tab w:val="num" w:pos="1701"/>
        </w:tabs>
        <w:ind w:left="1701" w:hanging="425"/>
      </w:pPr>
      <w:rPr>
        <w:rFonts w:hint="default"/>
      </w:rPr>
    </w:lvl>
    <w:lvl w:ilvl="4">
      <w:start w:val="1"/>
      <w:numFmt w:val="lowerLetter"/>
      <w:lvlText w:val="%5."/>
      <w:lvlJc w:val="left"/>
      <w:pPr>
        <w:tabs>
          <w:tab w:val="num" w:pos="2126"/>
        </w:tabs>
        <w:ind w:left="2126" w:hanging="425"/>
      </w:pPr>
      <w:rPr>
        <w:rFonts w:hint="default"/>
      </w:rPr>
    </w:lvl>
    <w:lvl w:ilvl="5">
      <w:start w:val="1"/>
      <w:numFmt w:val="lowerRoman"/>
      <w:lvlText w:val="%6."/>
      <w:lvlJc w:val="left"/>
      <w:pPr>
        <w:tabs>
          <w:tab w:val="num" w:pos="2552"/>
        </w:tabs>
        <w:ind w:left="2552" w:hanging="426"/>
      </w:pPr>
      <w:rPr>
        <w:rFonts w:hint="default"/>
      </w:rPr>
    </w:lvl>
    <w:lvl w:ilvl="6">
      <w:start w:val="1"/>
      <w:numFmt w:val="decimal"/>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Roman"/>
      <w:lvlText w:val="%9."/>
      <w:lvlJc w:val="right"/>
      <w:pPr>
        <w:tabs>
          <w:tab w:val="num" w:pos="3827"/>
        </w:tabs>
        <w:ind w:left="3827" w:hanging="425"/>
      </w:pPr>
      <w:rPr>
        <w:rFonts w:hint="default"/>
      </w:rPr>
    </w:lvl>
  </w:abstractNum>
  <w:abstractNum w:abstractNumId="50" w15:restartNumberingAfterBreak="0">
    <w:nsid w:val="4EEF5CD1"/>
    <w:multiLevelType w:val="hybridMultilevel"/>
    <w:tmpl w:val="AD18F9FE"/>
    <w:lvl w:ilvl="0" w:tplc="0F6E649A">
      <w:start w:val="1"/>
      <w:numFmt w:val="bullet"/>
      <w:pStyle w:val="Bullet2Double"/>
      <w:lvlText w:val="–"/>
      <w:lvlJc w:val="left"/>
      <w:pPr>
        <w:tabs>
          <w:tab w:val="num" w:pos="360"/>
        </w:tabs>
        <w:ind w:left="360" w:firstLine="0"/>
      </w:pPr>
      <w:rPr>
        <w:rFonts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1F320D1"/>
    <w:multiLevelType w:val="hybridMultilevel"/>
    <w:tmpl w:val="D7A470AC"/>
    <w:lvl w:ilvl="0" w:tplc="D9AC270E">
      <w:start w:val="1"/>
      <w:numFmt w:val="bullet"/>
      <w:pStyle w:val="Bullet2Single"/>
      <w:lvlText w:val=""/>
      <w:lvlJc w:val="left"/>
      <w:pPr>
        <w:ind w:left="360" w:hanging="360"/>
      </w:pPr>
      <w:rPr>
        <w:rFonts w:ascii="Symbol" w:hAnsi="Symbol" w:hint="default"/>
        <w:color w:val="2B3A44"/>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52606411"/>
    <w:multiLevelType w:val="hybridMultilevel"/>
    <w:tmpl w:val="799AA6C8"/>
    <w:lvl w:ilvl="0" w:tplc="D856D74C">
      <w:start w:val="1"/>
      <w:numFmt w:val="bullet"/>
      <w:pStyle w:val="Bullet4Single"/>
      <w:lvlText w:val="–"/>
      <w:lvlJc w:val="left"/>
      <w:pPr>
        <w:ind w:left="1224" w:hanging="360"/>
      </w:pPr>
      <w:rPr>
        <w:rFonts w:hint="default"/>
        <w:b w:val="0"/>
        <w:bCs w:val="0"/>
        <w:i w:val="0"/>
        <w:iCs w:val="0"/>
        <w:caps w:val="0"/>
        <w:smallCaps w:val="0"/>
        <w:strike w:val="0"/>
        <w:dstrike w:val="0"/>
        <w:outline w:val="0"/>
        <w:shadow w:val="0"/>
        <w:emboss w:val="0"/>
        <w:imprint w:val="0"/>
        <w:noProof w:val="0"/>
        <w:vanish w:val="0"/>
        <w:color w:val="2B3A44"/>
        <w:spacing w:val="0"/>
        <w:w w:val="153"/>
        <w:kern w:val="0"/>
        <w:position w:val="0"/>
        <w:sz w:val="18"/>
        <w:szCs w:val="9"/>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76D3893"/>
    <w:multiLevelType w:val="hybridMultilevel"/>
    <w:tmpl w:val="49663EBA"/>
    <w:lvl w:ilvl="0" w:tplc="04090003">
      <w:start w:val="1"/>
      <w:numFmt w:val="bullet"/>
      <w:lvlText w:val="o"/>
      <w:lvlJc w:val="left"/>
      <w:pPr>
        <w:tabs>
          <w:tab w:val="num" w:pos="360"/>
        </w:tabs>
        <w:ind w:left="360" w:firstLine="0"/>
      </w:pPr>
      <w:rPr>
        <w:rFonts w:ascii="Courier New" w:hAnsi="Courier New" w:cs="Courier New" w:hint="default"/>
        <w:b w:val="0"/>
        <w:bCs w:val="0"/>
        <w:i w:val="0"/>
        <w:iCs w:val="0"/>
        <w:caps w:val="0"/>
        <w:smallCaps w:val="0"/>
        <w:strike w:val="0"/>
        <w:dstrike w:val="0"/>
        <w:outline w:val="0"/>
        <w:shadow w:val="0"/>
        <w:emboss w:val="0"/>
        <w:imprint w:val="0"/>
        <w:noProof w:val="0"/>
        <w:vanish w:val="0"/>
        <w:color w:val="2B3A44"/>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8713F96"/>
    <w:multiLevelType w:val="multilevel"/>
    <w:tmpl w:val="2972605C"/>
    <w:lvl w:ilvl="0">
      <w:start w:val="5"/>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58975F13"/>
    <w:multiLevelType w:val="hybridMultilevel"/>
    <w:tmpl w:val="8EA2410C"/>
    <w:lvl w:ilvl="0" w:tplc="D27C8F52">
      <w:start w:val="1"/>
      <w:numFmt w:val="bullet"/>
      <w:pStyle w:val="TableText10Bullet1Single"/>
      <w:lvlText w:val=""/>
      <w:lvlJc w:val="left"/>
      <w:pPr>
        <w:ind w:left="720" w:hanging="360"/>
      </w:pPr>
      <w:rPr>
        <w:rFonts w:ascii="Symbol" w:hAnsi="Symbol" w:hint="default"/>
        <w:b w:val="0"/>
        <w:i w:val="0"/>
        <w:color w:val="2B3A44"/>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96A74CB"/>
    <w:multiLevelType w:val="multilevel"/>
    <w:tmpl w:val="D564FC24"/>
    <w:lvl w:ilvl="0">
      <w:start w:val="1"/>
      <w:numFmt w:val="bullet"/>
      <w:pStyle w:val="Bullet10"/>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CDD55CC"/>
    <w:multiLevelType w:val="multilevel"/>
    <w:tmpl w:val="5288B3B2"/>
    <w:lvl w:ilvl="0">
      <w:start w:val="1"/>
      <w:numFmt w:val="decimal"/>
      <w:pStyle w:val="TableCaptionAuto"/>
      <w:lvlText w:val="Table %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5DE43643"/>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615B31E9"/>
    <w:multiLevelType w:val="hybridMultilevel"/>
    <w:tmpl w:val="6A36FCA0"/>
    <w:lvl w:ilvl="0" w:tplc="0AA484D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48D40D9"/>
    <w:multiLevelType w:val="hybridMultilevel"/>
    <w:tmpl w:val="7EC842B8"/>
    <w:lvl w:ilvl="0" w:tplc="F2A0A6D6">
      <w:start w:val="1"/>
      <w:numFmt w:val="bullet"/>
      <w:pStyle w:val="CvrLtrBullet1Single"/>
      <w:lvlText w:val=""/>
      <w:lvlJc w:val="left"/>
      <w:pPr>
        <w:tabs>
          <w:tab w:val="num" w:pos="0"/>
        </w:tabs>
        <w:ind w:left="0" w:firstLine="0"/>
      </w:pPr>
      <w:rPr>
        <w:rFonts w:ascii="Symbol" w:hAnsi="Symbol" w:hint="default"/>
        <w:color w:val="2B3A44"/>
        <w:sz w:val="22"/>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7560C7B"/>
    <w:multiLevelType w:val="hybridMultilevel"/>
    <w:tmpl w:val="EFD0ACDE"/>
    <w:lvl w:ilvl="0" w:tplc="3F7A9630">
      <w:start w:val="1"/>
      <w:numFmt w:val="bullet"/>
      <w:pStyle w:val="Bullet3Single0"/>
      <w:lvlText w:val=""/>
      <w:lvlJc w:val="left"/>
      <w:pPr>
        <w:ind w:left="360" w:hanging="360"/>
      </w:pPr>
      <w:rPr>
        <w:rFonts w:ascii="Symbol" w:hAnsi="Symbol" w:hint="default"/>
        <w:color w:val="2B3A4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6828240D"/>
    <w:multiLevelType w:val="hybridMultilevel"/>
    <w:tmpl w:val="A038143E"/>
    <w:lvl w:ilvl="0" w:tplc="EB5E2EB8">
      <w:start w:val="1"/>
      <w:numFmt w:val="bullet"/>
      <w:pStyle w:val="Bullet2Double0"/>
      <w:lvlText w:val="–"/>
      <w:lvlJc w:val="left"/>
      <w:pPr>
        <w:tabs>
          <w:tab w:val="num" w:pos="360"/>
        </w:tabs>
        <w:ind w:left="360" w:firstLine="0"/>
      </w:pPr>
      <w:rPr>
        <w:rFonts w:hint="default"/>
        <w:b w:val="0"/>
        <w:bCs w:val="0"/>
        <w:i w:val="0"/>
        <w:iCs w:val="0"/>
        <w:caps w:val="0"/>
        <w:smallCaps w:val="0"/>
        <w:strike w:val="0"/>
        <w:dstrike w:val="0"/>
        <w:outline w:val="0"/>
        <w:shadow w:val="0"/>
        <w:emboss w:val="0"/>
        <w:imprint w:val="0"/>
        <w:noProof w:val="0"/>
        <w:vanish w:val="0"/>
        <w:color w:val="2B3A44"/>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8F2595D"/>
    <w:multiLevelType w:val="hybridMultilevel"/>
    <w:tmpl w:val="AD7E384E"/>
    <w:lvl w:ilvl="0" w:tplc="59D24DEE">
      <w:start w:val="1"/>
      <w:numFmt w:val="bullet"/>
      <w:pStyle w:val="Bullet4Double"/>
      <w:lvlText w:val="–"/>
      <w:lvlJc w:val="left"/>
      <w:pPr>
        <w:ind w:left="1224" w:hanging="360"/>
      </w:pPr>
      <w:rPr>
        <w:rFonts w:hint="default"/>
        <w:b w:val="0"/>
        <w:bCs w:val="0"/>
        <w:i w:val="0"/>
        <w:iCs w:val="0"/>
        <w:caps w:val="0"/>
        <w:smallCaps w:val="0"/>
        <w:strike w:val="0"/>
        <w:dstrike w:val="0"/>
        <w:outline w:val="0"/>
        <w:shadow w:val="0"/>
        <w:emboss w:val="0"/>
        <w:imprint w:val="0"/>
        <w:noProof w:val="0"/>
        <w:vanish w:val="0"/>
        <w:color w:val="2B3A44"/>
        <w:spacing w:val="0"/>
        <w:w w:val="153"/>
        <w:kern w:val="0"/>
        <w:position w:val="0"/>
        <w:sz w:val="18"/>
        <w:szCs w:val="9"/>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A701A56"/>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6C9C73EB"/>
    <w:multiLevelType w:val="multilevel"/>
    <w:tmpl w:val="9F3E8A68"/>
    <w:lvl w:ilvl="0">
      <w:start w:val="1"/>
      <w:numFmt w:val="decimal"/>
      <w:pStyle w:val="FigureCaptionAuto"/>
      <w:lvlText w:val="Figure %1."/>
      <w:lvlJc w:val="left"/>
      <w:pPr>
        <w:tabs>
          <w:tab w:val="num" w:pos="1980"/>
        </w:tabs>
        <w:ind w:left="13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6" w15:restartNumberingAfterBreak="0">
    <w:nsid w:val="717C7D74"/>
    <w:multiLevelType w:val="hybridMultilevel"/>
    <w:tmpl w:val="14FA329A"/>
    <w:lvl w:ilvl="0" w:tplc="85D01422">
      <w:start w:val="1"/>
      <w:numFmt w:val="bullet"/>
      <w:pStyle w:val="Bullet1Single"/>
      <w:lvlText w:val=""/>
      <w:lvlJc w:val="left"/>
      <w:pPr>
        <w:ind w:left="720" w:hanging="360"/>
      </w:pPr>
      <w:rPr>
        <w:rFonts w:ascii="Symbol" w:hAnsi="Symbol" w:hint="default"/>
        <w:b w:val="0"/>
        <w:i w:val="0"/>
        <w:color w:val="2B3A44"/>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21609E8"/>
    <w:multiLevelType w:val="hybridMultilevel"/>
    <w:tmpl w:val="3E0E2EA0"/>
    <w:lvl w:ilvl="0" w:tplc="C05AC43E">
      <w:numFmt w:val="bullet"/>
      <w:lvlText w:val="•"/>
      <w:lvlJc w:val="left"/>
      <w:pPr>
        <w:tabs>
          <w:tab w:val="num" w:pos="0"/>
        </w:tabs>
        <w:ind w:left="0" w:firstLine="0"/>
      </w:pPr>
      <w:rPr>
        <w:rFonts w:ascii="Arial" w:eastAsia="PMingLiU" w:hAnsi="Arial" w:cs="Arial" w:hint="default"/>
        <w:color w:val="2B3A44"/>
        <w:sz w:val="22"/>
        <w:szCs w:val="1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35E2BE0"/>
    <w:multiLevelType w:val="hybridMultilevel"/>
    <w:tmpl w:val="A83C91AE"/>
    <w:lvl w:ilvl="0" w:tplc="43D846DE">
      <w:start w:val="1"/>
      <w:numFmt w:val="bullet"/>
      <w:pStyle w:val="TableText10Bullet2Single"/>
      <w:lvlText w:val="–"/>
      <w:lvlJc w:val="left"/>
      <w:pPr>
        <w:tabs>
          <w:tab w:val="num" w:pos="1440"/>
        </w:tabs>
        <w:ind w:left="1440" w:hanging="360"/>
      </w:pPr>
      <w:rPr>
        <w:rFonts w:ascii="Arial" w:hAnsi="Arial" w:hint="default"/>
        <w:b w:val="0"/>
        <w:i w:val="0"/>
        <w:color w:val="2B3A44"/>
        <w:sz w:val="18"/>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4D844BA"/>
    <w:multiLevelType w:val="multilevel"/>
    <w:tmpl w:val="4CC481F0"/>
    <w:lvl w:ilvl="0">
      <w:start w:val="1"/>
      <w:numFmt w:val="decimal"/>
      <w:pStyle w:val="NumbersAutoDouble0"/>
      <w:lvlText w:val="%1."/>
      <w:lvlJc w:val="left"/>
      <w:pPr>
        <w:tabs>
          <w:tab w:val="num" w:pos="425"/>
        </w:tabs>
        <w:ind w:left="425" w:hanging="425"/>
      </w:pPr>
      <w:rPr>
        <w:rFonts w:hint="default"/>
        <w:b w:val="0"/>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decimal"/>
      <w:lvlText w:val="%4."/>
      <w:lvlJc w:val="left"/>
      <w:pPr>
        <w:tabs>
          <w:tab w:val="num" w:pos="1701"/>
        </w:tabs>
        <w:ind w:left="1701" w:hanging="425"/>
      </w:pPr>
      <w:rPr>
        <w:rFonts w:hint="default"/>
      </w:rPr>
    </w:lvl>
    <w:lvl w:ilvl="4">
      <w:start w:val="1"/>
      <w:numFmt w:val="lowerLetter"/>
      <w:lvlText w:val="%5."/>
      <w:lvlJc w:val="left"/>
      <w:pPr>
        <w:tabs>
          <w:tab w:val="num" w:pos="2126"/>
        </w:tabs>
        <w:ind w:left="2126" w:hanging="425"/>
      </w:pPr>
      <w:rPr>
        <w:rFonts w:hint="default"/>
      </w:rPr>
    </w:lvl>
    <w:lvl w:ilvl="5">
      <w:start w:val="1"/>
      <w:numFmt w:val="lowerRoman"/>
      <w:lvlText w:val="%6."/>
      <w:lvlJc w:val="left"/>
      <w:pPr>
        <w:tabs>
          <w:tab w:val="num" w:pos="2552"/>
        </w:tabs>
        <w:ind w:left="2552" w:hanging="426"/>
      </w:pPr>
      <w:rPr>
        <w:rFonts w:hint="default"/>
      </w:rPr>
    </w:lvl>
    <w:lvl w:ilvl="6">
      <w:start w:val="1"/>
      <w:numFmt w:val="decimal"/>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Roman"/>
      <w:lvlText w:val="%9."/>
      <w:lvlJc w:val="right"/>
      <w:pPr>
        <w:tabs>
          <w:tab w:val="num" w:pos="3827"/>
        </w:tabs>
        <w:ind w:left="3827" w:hanging="425"/>
      </w:pPr>
      <w:rPr>
        <w:rFonts w:hint="default"/>
      </w:rPr>
    </w:lvl>
  </w:abstractNum>
  <w:abstractNum w:abstractNumId="70" w15:restartNumberingAfterBreak="0">
    <w:nsid w:val="75D420E1"/>
    <w:multiLevelType w:val="hybridMultilevel"/>
    <w:tmpl w:val="6A0CE5D4"/>
    <w:lvl w:ilvl="0" w:tplc="B6FED078">
      <w:start w:val="1"/>
      <w:numFmt w:val="bullet"/>
      <w:pStyle w:val="Bullet5Single"/>
      <w:lvlText w:val=""/>
      <w:lvlJc w:val="left"/>
      <w:pPr>
        <w:tabs>
          <w:tab w:val="num" w:pos="1800"/>
        </w:tabs>
        <w:ind w:left="1800" w:hanging="360"/>
      </w:pPr>
      <w:rPr>
        <w:rFonts w:ascii="Symbol" w:hAnsi="Symbol" w:hint="default"/>
        <w:b w:val="0"/>
        <w:i w:val="0"/>
        <w:color w:val="2B3A44"/>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D0447D6"/>
    <w:multiLevelType w:val="hybridMultilevel"/>
    <w:tmpl w:val="BEA8E498"/>
    <w:lvl w:ilvl="0" w:tplc="3AA06F7C">
      <w:start w:val="1"/>
      <w:numFmt w:val="bullet"/>
      <w:pStyle w:val="Bullet1Double0"/>
      <w:lvlText w:val=""/>
      <w:lvlJc w:val="left"/>
      <w:pPr>
        <w:tabs>
          <w:tab w:val="num" w:pos="0"/>
        </w:tabs>
        <w:ind w:left="0" w:firstLine="0"/>
      </w:pPr>
      <w:rPr>
        <w:rFonts w:ascii="Symbol" w:hAnsi="Symbol" w:hint="default"/>
        <w:b w:val="0"/>
        <w:i w:val="0"/>
        <w:color w:val="2B3A44"/>
        <w:sz w:val="20"/>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DB7372C"/>
    <w:multiLevelType w:val="hybridMultilevel"/>
    <w:tmpl w:val="6D04B3AC"/>
    <w:lvl w:ilvl="0" w:tplc="C05AC43E">
      <w:numFmt w:val="bullet"/>
      <w:lvlText w:val="•"/>
      <w:lvlJc w:val="left"/>
      <w:pPr>
        <w:tabs>
          <w:tab w:val="num" w:pos="0"/>
        </w:tabs>
        <w:ind w:left="0" w:firstLine="0"/>
      </w:pPr>
      <w:rPr>
        <w:rFonts w:ascii="Arial" w:eastAsia="PMingLiU" w:hAnsi="Arial" w:cs="Arial" w:hint="default"/>
        <w:color w:val="2B3A44"/>
        <w:sz w:val="22"/>
        <w:szCs w:val="1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E461CE0"/>
    <w:multiLevelType w:val="hybridMultilevel"/>
    <w:tmpl w:val="07B89B9E"/>
    <w:lvl w:ilvl="0" w:tplc="C05AC43E">
      <w:numFmt w:val="bullet"/>
      <w:lvlText w:val="•"/>
      <w:lvlJc w:val="left"/>
      <w:pPr>
        <w:tabs>
          <w:tab w:val="num" w:pos="0"/>
        </w:tabs>
        <w:ind w:left="0" w:firstLine="0"/>
      </w:pPr>
      <w:rPr>
        <w:rFonts w:ascii="Arial" w:eastAsia="PMingLiU" w:hAnsi="Arial" w:cs="Arial" w:hint="default"/>
        <w:color w:val="2B3A44"/>
        <w:sz w:val="22"/>
        <w:szCs w:val="1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7EC76419"/>
    <w:multiLevelType w:val="multilevel"/>
    <w:tmpl w:val="7096CD58"/>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913901622">
    <w:abstractNumId w:val="55"/>
  </w:num>
  <w:num w:numId="2" w16cid:durableId="903611382">
    <w:abstractNumId w:val="49"/>
  </w:num>
  <w:num w:numId="3" w16cid:durableId="2102755139">
    <w:abstractNumId w:val="26"/>
  </w:num>
  <w:num w:numId="4" w16cid:durableId="1851331370">
    <w:abstractNumId w:val="69"/>
  </w:num>
  <w:num w:numId="5" w16cid:durableId="777023717">
    <w:abstractNumId w:val="42"/>
  </w:num>
  <w:num w:numId="6" w16cid:durableId="1639997623">
    <w:abstractNumId w:val="50"/>
  </w:num>
  <w:num w:numId="7" w16cid:durableId="1209877301">
    <w:abstractNumId w:val="12"/>
  </w:num>
  <w:num w:numId="8" w16cid:durableId="765228619">
    <w:abstractNumId w:val="58"/>
  </w:num>
  <w:num w:numId="9" w16cid:durableId="853685637">
    <w:abstractNumId w:val="64"/>
  </w:num>
  <w:num w:numId="10" w16cid:durableId="1763722521">
    <w:abstractNumId w:val="15"/>
  </w:num>
  <w:num w:numId="11" w16cid:durableId="1209368171">
    <w:abstractNumId w:val="11"/>
  </w:num>
  <w:num w:numId="12" w16cid:durableId="1172992096">
    <w:abstractNumId w:val="9"/>
  </w:num>
  <w:num w:numId="13" w16cid:durableId="797334244">
    <w:abstractNumId w:val="7"/>
  </w:num>
  <w:num w:numId="14" w16cid:durableId="237256670">
    <w:abstractNumId w:val="6"/>
  </w:num>
  <w:num w:numId="15" w16cid:durableId="949318827">
    <w:abstractNumId w:val="5"/>
  </w:num>
  <w:num w:numId="16" w16cid:durableId="132336407">
    <w:abstractNumId w:val="4"/>
  </w:num>
  <w:num w:numId="17" w16cid:durableId="1651713665">
    <w:abstractNumId w:val="8"/>
  </w:num>
  <w:num w:numId="18" w16cid:durableId="1591431907">
    <w:abstractNumId w:val="3"/>
  </w:num>
  <w:num w:numId="19" w16cid:durableId="1584098930">
    <w:abstractNumId w:val="2"/>
  </w:num>
  <w:num w:numId="20" w16cid:durableId="1358389122">
    <w:abstractNumId w:val="1"/>
  </w:num>
  <w:num w:numId="21" w16cid:durableId="1827625813">
    <w:abstractNumId w:val="0"/>
  </w:num>
  <w:num w:numId="22" w16cid:durableId="1336372811">
    <w:abstractNumId w:val="17"/>
  </w:num>
  <w:num w:numId="23" w16cid:durableId="1668509596">
    <w:abstractNumId w:val="23"/>
  </w:num>
  <w:num w:numId="24" w16cid:durableId="121190868">
    <w:abstractNumId w:val="10"/>
  </w:num>
  <w:num w:numId="25" w16cid:durableId="1147472843">
    <w:abstractNumId w:val="39"/>
  </w:num>
  <w:num w:numId="26" w16cid:durableId="1733044102">
    <w:abstractNumId w:val="16"/>
  </w:num>
  <w:num w:numId="27" w16cid:durableId="398331789">
    <w:abstractNumId w:val="21"/>
  </w:num>
  <w:num w:numId="28" w16cid:durableId="1380088735">
    <w:abstractNumId w:val="65"/>
  </w:num>
  <w:num w:numId="29" w16cid:durableId="747310056">
    <w:abstractNumId w:val="47"/>
  </w:num>
  <w:num w:numId="30" w16cid:durableId="1328704237">
    <w:abstractNumId w:val="57"/>
  </w:num>
  <w:num w:numId="31" w16cid:durableId="1986009353">
    <w:abstractNumId w:val="25"/>
  </w:num>
  <w:num w:numId="32" w16cid:durableId="1343122825">
    <w:abstractNumId w:val="31"/>
  </w:num>
  <w:num w:numId="33" w16cid:durableId="42947533">
    <w:abstractNumId w:val="20"/>
  </w:num>
  <w:num w:numId="34" w16cid:durableId="2060981520">
    <w:abstractNumId w:val="40"/>
  </w:num>
  <w:num w:numId="35" w16cid:durableId="617763378">
    <w:abstractNumId w:val="24"/>
  </w:num>
  <w:num w:numId="36" w16cid:durableId="111750726">
    <w:abstractNumId w:val="22"/>
  </w:num>
  <w:num w:numId="37" w16cid:durableId="1550917621">
    <w:abstractNumId w:val="38"/>
  </w:num>
  <w:num w:numId="38" w16cid:durableId="1345746805">
    <w:abstractNumId w:val="62"/>
  </w:num>
  <w:num w:numId="39" w16cid:durableId="914246569">
    <w:abstractNumId w:val="29"/>
  </w:num>
  <w:num w:numId="40" w16cid:durableId="751318042">
    <w:abstractNumId w:val="46"/>
  </w:num>
  <w:num w:numId="41" w16cid:durableId="490098440">
    <w:abstractNumId w:val="68"/>
  </w:num>
  <w:num w:numId="42" w16cid:durableId="627588797">
    <w:abstractNumId w:val="63"/>
  </w:num>
  <w:num w:numId="43" w16cid:durableId="993947003">
    <w:abstractNumId w:val="52"/>
  </w:num>
  <w:num w:numId="44" w16cid:durableId="1816754340">
    <w:abstractNumId w:val="48"/>
  </w:num>
  <w:num w:numId="45" w16cid:durableId="306323878">
    <w:abstractNumId w:val="66"/>
  </w:num>
  <w:num w:numId="46" w16cid:durableId="351079005">
    <w:abstractNumId w:val="51"/>
  </w:num>
  <w:num w:numId="47" w16cid:durableId="1988776240">
    <w:abstractNumId w:val="61"/>
  </w:num>
  <w:num w:numId="48" w16cid:durableId="1200168754">
    <w:abstractNumId w:val="71"/>
  </w:num>
  <w:num w:numId="49" w16cid:durableId="1100026270">
    <w:abstractNumId w:val="60"/>
  </w:num>
  <w:num w:numId="50" w16cid:durableId="1890022444">
    <w:abstractNumId w:val="44"/>
  </w:num>
  <w:num w:numId="51" w16cid:durableId="1517961241">
    <w:abstractNumId w:val="13"/>
  </w:num>
  <w:num w:numId="52" w16cid:durableId="1038554234">
    <w:abstractNumId w:val="70"/>
  </w:num>
  <w:num w:numId="53" w16cid:durableId="1887061687">
    <w:abstractNumId w:val="56"/>
  </w:num>
  <w:num w:numId="54" w16cid:durableId="875234509">
    <w:abstractNumId w:val="45"/>
  </w:num>
  <w:num w:numId="55" w16cid:durableId="240212755">
    <w:abstractNumId w:val="53"/>
  </w:num>
  <w:num w:numId="56" w16cid:durableId="1373311433">
    <w:abstractNumId w:val="18"/>
  </w:num>
  <w:num w:numId="57" w16cid:durableId="696078648">
    <w:abstractNumId w:val="67"/>
  </w:num>
  <w:num w:numId="58" w16cid:durableId="380637320">
    <w:abstractNumId w:val="34"/>
  </w:num>
  <w:num w:numId="59" w16cid:durableId="1183325039">
    <w:abstractNumId w:val="37"/>
  </w:num>
  <w:num w:numId="60" w16cid:durableId="1801848978">
    <w:abstractNumId w:val="73"/>
  </w:num>
  <w:num w:numId="61" w16cid:durableId="1923954678">
    <w:abstractNumId w:val="43"/>
  </w:num>
  <w:num w:numId="62" w16cid:durableId="1080441678">
    <w:abstractNumId w:val="33"/>
  </w:num>
  <w:num w:numId="63" w16cid:durableId="1609655694">
    <w:abstractNumId w:val="72"/>
  </w:num>
  <w:num w:numId="64" w16cid:durableId="291518587">
    <w:abstractNumId w:val="27"/>
  </w:num>
  <w:num w:numId="65" w16cid:durableId="2008364513">
    <w:abstractNumId w:val="74"/>
  </w:num>
  <w:num w:numId="66" w16cid:durableId="899244107">
    <w:abstractNumId w:val="30"/>
  </w:num>
  <w:num w:numId="67" w16cid:durableId="1976565773">
    <w:abstractNumId w:val="35"/>
  </w:num>
  <w:num w:numId="68" w16cid:durableId="455951211">
    <w:abstractNumId w:val="59"/>
  </w:num>
  <w:num w:numId="69" w16cid:durableId="884756724">
    <w:abstractNumId w:val="19"/>
  </w:num>
  <w:num w:numId="70" w16cid:durableId="1767380841">
    <w:abstractNumId w:val="54"/>
  </w:num>
  <w:num w:numId="71" w16cid:durableId="1410544260">
    <w:abstractNumId w:val="41"/>
  </w:num>
  <w:num w:numId="72" w16cid:durableId="810636769">
    <w:abstractNumId w:val="32"/>
  </w:num>
  <w:num w:numId="73" w16cid:durableId="1571847440">
    <w:abstractNumId w:val="28"/>
  </w:num>
  <w:num w:numId="74" w16cid:durableId="284509934">
    <w:abstractNumId w:val="14"/>
  </w:num>
  <w:num w:numId="75" w16cid:durableId="1471048057">
    <w:abstractNumId w:val="36"/>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linkStyles/>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EyNDC3sDA2MzW1MDdT0lEKTi0uzszPAykwrAUAMVeEySwAAAA="/>
  </w:docVars>
  <w:rsids>
    <w:rsidRoot w:val="005B3E16"/>
    <w:rsid w:val="00003A5A"/>
    <w:rsid w:val="00004A41"/>
    <w:rsid w:val="000101C9"/>
    <w:rsid w:val="00013682"/>
    <w:rsid w:val="00013831"/>
    <w:rsid w:val="000232CD"/>
    <w:rsid w:val="00023E9F"/>
    <w:rsid w:val="00025B32"/>
    <w:rsid w:val="0002730C"/>
    <w:rsid w:val="0002756C"/>
    <w:rsid w:val="00027EDA"/>
    <w:rsid w:val="00027FE9"/>
    <w:rsid w:val="00032224"/>
    <w:rsid w:val="00036810"/>
    <w:rsid w:val="000404B7"/>
    <w:rsid w:val="00043571"/>
    <w:rsid w:val="00050844"/>
    <w:rsid w:val="00052C75"/>
    <w:rsid w:val="000538EB"/>
    <w:rsid w:val="00053EAC"/>
    <w:rsid w:val="00055164"/>
    <w:rsid w:val="00055634"/>
    <w:rsid w:val="00056BDF"/>
    <w:rsid w:val="00057B92"/>
    <w:rsid w:val="000601D7"/>
    <w:rsid w:val="000636C8"/>
    <w:rsid w:val="000649E4"/>
    <w:rsid w:val="00065932"/>
    <w:rsid w:val="00071466"/>
    <w:rsid w:val="000714AE"/>
    <w:rsid w:val="0007543B"/>
    <w:rsid w:val="0007710B"/>
    <w:rsid w:val="00084C8C"/>
    <w:rsid w:val="00084FBD"/>
    <w:rsid w:val="0008533B"/>
    <w:rsid w:val="00085F1C"/>
    <w:rsid w:val="000A0A8F"/>
    <w:rsid w:val="000A0ACE"/>
    <w:rsid w:val="000A3E6D"/>
    <w:rsid w:val="000A4D3A"/>
    <w:rsid w:val="000A570F"/>
    <w:rsid w:val="000A7CBF"/>
    <w:rsid w:val="000B1185"/>
    <w:rsid w:val="000B2479"/>
    <w:rsid w:val="000B3160"/>
    <w:rsid w:val="000B377D"/>
    <w:rsid w:val="000C0E41"/>
    <w:rsid w:val="000C0EEA"/>
    <w:rsid w:val="000C1B69"/>
    <w:rsid w:val="000D096D"/>
    <w:rsid w:val="000D6D29"/>
    <w:rsid w:val="000D765F"/>
    <w:rsid w:val="000E59B7"/>
    <w:rsid w:val="000E73E0"/>
    <w:rsid w:val="000F3784"/>
    <w:rsid w:val="000F4D45"/>
    <w:rsid w:val="000F7059"/>
    <w:rsid w:val="000F7D6A"/>
    <w:rsid w:val="00103F31"/>
    <w:rsid w:val="00105FFF"/>
    <w:rsid w:val="001100DE"/>
    <w:rsid w:val="00117480"/>
    <w:rsid w:val="0012086E"/>
    <w:rsid w:val="0012394C"/>
    <w:rsid w:val="00124E4D"/>
    <w:rsid w:val="001331BE"/>
    <w:rsid w:val="001372DF"/>
    <w:rsid w:val="001378E4"/>
    <w:rsid w:val="00143893"/>
    <w:rsid w:val="001470FA"/>
    <w:rsid w:val="00155046"/>
    <w:rsid w:val="00162282"/>
    <w:rsid w:val="0016335C"/>
    <w:rsid w:val="00164EDA"/>
    <w:rsid w:val="00165BF6"/>
    <w:rsid w:val="001661E8"/>
    <w:rsid w:val="00166D4A"/>
    <w:rsid w:val="001677BC"/>
    <w:rsid w:val="00176B50"/>
    <w:rsid w:val="0018363B"/>
    <w:rsid w:val="001867D7"/>
    <w:rsid w:val="0019314B"/>
    <w:rsid w:val="001951B6"/>
    <w:rsid w:val="00196742"/>
    <w:rsid w:val="001A26E5"/>
    <w:rsid w:val="001A5E76"/>
    <w:rsid w:val="001B1A68"/>
    <w:rsid w:val="001B27B6"/>
    <w:rsid w:val="001B419E"/>
    <w:rsid w:val="001B6596"/>
    <w:rsid w:val="001C0EA1"/>
    <w:rsid w:val="001C231B"/>
    <w:rsid w:val="001C561D"/>
    <w:rsid w:val="001C5814"/>
    <w:rsid w:val="001C672D"/>
    <w:rsid w:val="001C6A88"/>
    <w:rsid w:val="001D2E78"/>
    <w:rsid w:val="001D38FD"/>
    <w:rsid w:val="001D3C19"/>
    <w:rsid w:val="001D7D5B"/>
    <w:rsid w:val="001E3129"/>
    <w:rsid w:val="001E45B8"/>
    <w:rsid w:val="001F0F27"/>
    <w:rsid w:val="001F120C"/>
    <w:rsid w:val="001F12B9"/>
    <w:rsid w:val="001F3867"/>
    <w:rsid w:val="00204FFE"/>
    <w:rsid w:val="002129EB"/>
    <w:rsid w:val="00215584"/>
    <w:rsid w:val="00215F27"/>
    <w:rsid w:val="00216C98"/>
    <w:rsid w:val="00220E0B"/>
    <w:rsid w:val="00220F96"/>
    <w:rsid w:val="00224688"/>
    <w:rsid w:val="00233A9F"/>
    <w:rsid w:val="002351C5"/>
    <w:rsid w:val="00242AA3"/>
    <w:rsid w:val="002454E7"/>
    <w:rsid w:val="00247BD2"/>
    <w:rsid w:val="00247FCB"/>
    <w:rsid w:val="00251F6C"/>
    <w:rsid w:val="00261891"/>
    <w:rsid w:val="00267B0B"/>
    <w:rsid w:val="00267B2A"/>
    <w:rsid w:val="00270B42"/>
    <w:rsid w:val="0027284F"/>
    <w:rsid w:val="00272C71"/>
    <w:rsid w:val="002738DD"/>
    <w:rsid w:val="00276BF6"/>
    <w:rsid w:val="00276C2E"/>
    <w:rsid w:val="00292F18"/>
    <w:rsid w:val="0029582D"/>
    <w:rsid w:val="002A161C"/>
    <w:rsid w:val="002A3A0D"/>
    <w:rsid w:val="002C097C"/>
    <w:rsid w:val="002C1915"/>
    <w:rsid w:val="002C4513"/>
    <w:rsid w:val="002D31C1"/>
    <w:rsid w:val="002D4DEC"/>
    <w:rsid w:val="002E1537"/>
    <w:rsid w:val="002E195A"/>
    <w:rsid w:val="002E76E4"/>
    <w:rsid w:val="002F076C"/>
    <w:rsid w:val="002F6DAF"/>
    <w:rsid w:val="002F6F95"/>
    <w:rsid w:val="00304BFA"/>
    <w:rsid w:val="003053DC"/>
    <w:rsid w:val="00313CAA"/>
    <w:rsid w:val="00315F04"/>
    <w:rsid w:val="00317073"/>
    <w:rsid w:val="00317805"/>
    <w:rsid w:val="00317950"/>
    <w:rsid w:val="00320974"/>
    <w:rsid w:val="0032168D"/>
    <w:rsid w:val="00325E14"/>
    <w:rsid w:val="00326E24"/>
    <w:rsid w:val="00344574"/>
    <w:rsid w:val="003530FB"/>
    <w:rsid w:val="00354828"/>
    <w:rsid w:val="00355B02"/>
    <w:rsid w:val="00362180"/>
    <w:rsid w:val="003648F9"/>
    <w:rsid w:val="003648FE"/>
    <w:rsid w:val="00365AC8"/>
    <w:rsid w:val="0037135D"/>
    <w:rsid w:val="00371C60"/>
    <w:rsid w:val="00372211"/>
    <w:rsid w:val="00373D3A"/>
    <w:rsid w:val="003772F3"/>
    <w:rsid w:val="00381D09"/>
    <w:rsid w:val="00381F01"/>
    <w:rsid w:val="00383FF9"/>
    <w:rsid w:val="00385D56"/>
    <w:rsid w:val="003B28B4"/>
    <w:rsid w:val="003B2B15"/>
    <w:rsid w:val="003C2C14"/>
    <w:rsid w:val="003C4E04"/>
    <w:rsid w:val="003D2FAA"/>
    <w:rsid w:val="003D31F6"/>
    <w:rsid w:val="003D480E"/>
    <w:rsid w:val="003E0305"/>
    <w:rsid w:val="003E34B3"/>
    <w:rsid w:val="003E47BE"/>
    <w:rsid w:val="003E5327"/>
    <w:rsid w:val="003F407C"/>
    <w:rsid w:val="003F464A"/>
    <w:rsid w:val="00405B9D"/>
    <w:rsid w:val="0041146B"/>
    <w:rsid w:val="00413231"/>
    <w:rsid w:val="00414AC9"/>
    <w:rsid w:val="00416557"/>
    <w:rsid w:val="00420CB5"/>
    <w:rsid w:val="0042386E"/>
    <w:rsid w:val="00425596"/>
    <w:rsid w:val="004338CB"/>
    <w:rsid w:val="00433EE5"/>
    <w:rsid w:val="0044221F"/>
    <w:rsid w:val="00442497"/>
    <w:rsid w:val="00446824"/>
    <w:rsid w:val="004471B1"/>
    <w:rsid w:val="004502A2"/>
    <w:rsid w:val="00456096"/>
    <w:rsid w:val="00460275"/>
    <w:rsid w:val="0046031A"/>
    <w:rsid w:val="00465410"/>
    <w:rsid w:val="0047066C"/>
    <w:rsid w:val="004778EB"/>
    <w:rsid w:val="00485300"/>
    <w:rsid w:val="0048606B"/>
    <w:rsid w:val="00491948"/>
    <w:rsid w:val="0049423B"/>
    <w:rsid w:val="00494F56"/>
    <w:rsid w:val="004978CA"/>
    <w:rsid w:val="004A2F7E"/>
    <w:rsid w:val="004A6843"/>
    <w:rsid w:val="004C2755"/>
    <w:rsid w:val="004D02B9"/>
    <w:rsid w:val="004D041F"/>
    <w:rsid w:val="004D0F33"/>
    <w:rsid w:val="004D269A"/>
    <w:rsid w:val="004D26A0"/>
    <w:rsid w:val="004D61C4"/>
    <w:rsid w:val="004D77EC"/>
    <w:rsid w:val="004F0810"/>
    <w:rsid w:val="004F163A"/>
    <w:rsid w:val="004F4A43"/>
    <w:rsid w:val="00500014"/>
    <w:rsid w:val="00503018"/>
    <w:rsid w:val="00503046"/>
    <w:rsid w:val="00503508"/>
    <w:rsid w:val="00503CDA"/>
    <w:rsid w:val="00507118"/>
    <w:rsid w:val="005128DD"/>
    <w:rsid w:val="00512AD6"/>
    <w:rsid w:val="0051503B"/>
    <w:rsid w:val="00524F99"/>
    <w:rsid w:val="00525826"/>
    <w:rsid w:val="00527C2B"/>
    <w:rsid w:val="00530617"/>
    <w:rsid w:val="0053277F"/>
    <w:rsid w:val="005360AB"/>
    <w:rsid w:val="00543B7D"/>
    <w:rsid w:val="00550E84"/>
    <w:rsid w:val="00551E52"/>
    <w:rsid w:val="005549DA"/>
    <w:rsid w:val="00557E08"/>
    <w:rsid w:val="00560DAC"/>
    <w:rsid w:val="00564DC0"/>
    <w:rsid w:val="005653AD"/>
    <w:rsid w:val="0057422F"/>
    <w:rsid w:val="0057508E"/>
    <w:rsid w:val="00581BFD"/>
    <w:rsid w:val="005864FB"/>
    <w:rsid w:val="00586520"/>
    <w:rsid w:val="005915EB"/>
    <w:rsid w:val="00592D84"/>
    <w:rsid w:val="00596AE3"/>
    <w:rsid w:val="005A0066"/>
    <w:rsid w:val="005A2329"/>
    <w:rsid w:val="005A3DEC"/>
    <w:rsid w:val="005A7472"/>
    <w:rsid w:val="005B1E07"/>
    <w:rsid w:val="005B3B80"/>
    <w:rsid w:val="005B3E16"/>
    <w:rsid w:val="005B570C"/>
    <w:rsid w:val="005B686E"/>
    <w:rsid w:val="005C539C"/>
    <w:rsid w:val="005C689D"/>
    <w:rsid w:val="005D31B2"/>
    <w:rsid w:val="005D4DCD"/>
    <w:rsid w:val="005D6825"/>
    <w:rsid w:val="005D6F52"/>
    <w:rsid w:val="005E0D9C"/>
    <w:rsid w:val="005E2235"/>
    <w:rsid w:val="005E2962"/>
    <w:rsid w:val="005F219A"/>
    <w:rsid w:val="005F2D28"/>
    <w:rsid w:val="005F7078"/>
    <w:rsid w:val="00601C92"/>
    <w:rsid w:val="0060241E"/>
    <w:rsid w:val="00602669"/>
    <w:rsid w:val="006047C5"/>
    <w:rsid w:val="0061097B"/>
    <w:rsid w:val="0061135B"/>
    <w:rsid w:val="00612996"/>
    <w:rsid w:val="00615973"/>
    <w:rsid w:val="00616E50"/>
    <w:rsid w:val="00620674"/>
    <w:rsid w:val="0062398B"/>
    <w:rsid w:val="00624784"/>
    <w:rsid w:val="00624837"/>
    <w:rsid w:val="00627A99"/>
    <w:rsid w:val="0064196F"/>
    <w:rsid w:val="00644CA0"/>
    <w:rsid w:val="00646B5C"/>
    <w:rsid w:val="006479B8"/>
    <w:rsid w:val="00662643"/>
    <w:rsid w:val="006663E6"/>
    <w:rsid w:val="00666A66"/>
    <w:rsid w:val="00670225"/>
    <w:rsid w:val="00681336"/>
    <w:rsid w:val="006850F7"/>
    <w:rsid w:val="0068769C"/>
    <w:rsid w:val="00693072"/>
    <w:rsid w:val="006A4442"/>
    <w:rsid w:val="006B3956"/>
    <w:rsid w:val="006B52DD"/>
    <w:rsid w:val="006B6693"/>
    <w:rsid w:val="006C2CE0"/>
    <w:rsid w:val="006C3DAA"/>
    <w:rsid w:val="006C48E5"/>
    <w:rsid w:val="006C6E2A"/>
    <w:rsid w:val="006C70AD"/>
    <w:rsid w:val="006D0D7B"/>
    <w:rsid w:val="006D2380"/>
    <w:rsid w:val="006D360F"/>
    <w:rsid w:val="006D362C"/>
    <w:rsid w:val="006D37E1"/>
    <w:rsid w:val="006D7546"/>
    <w:rsid w:val="006E119C"/>
    <w:rsid w:val="006E58D9"/>
    <w:rsid w:val="006F5224"/>
    <w:rsid w:val="006F6F5D"/>
    <w:rsid w:val="00703765"/>
    <w:rsid w:val="00703E4C"/>
    <w:rsid w:val="00710F3E"/>
    <w:rsid w:val="00715ABE"/>
    <w:rsid w:val="00721C41"/>
    <w:rsid w:val="00727023"/>
    <w:rsid w:val="00732DBA"/>
    <w:rsid w:val="00734A36"/>
    <w:rsid w:val="00737691"/>
    <w:rsid w:val="00742C06"/>
    <w:rsid w:val="00743DF4"/>
    <w:rsid w:val="00744F9F"/>
    <w:rsid w:val="00746F5C"/>
    <w:rsid w:val="00747B9A"/>
    <w:rsid w:val="00760577"/>
    <w:rsid w:val="007635C6"/>
    <w:rsid w:val="00764327"/>
    <w:rsid w:val="00767AD8"/>
    <w:rsid w:val="00767F69"/>
    <w:rsid w:val="00770C98"/>
    <w:rsid w:val="00776353"/>
    <w:rsid w:val="00784694"/>
    <w:rsid w:val="00785BBE"/>
    <w:rsid w:val="00796BDC"/>
    <w:rsid w:val="007A18FF"/>
    <w:rsid w:val="007A263E"/>
    <w:rsid w:val="007A2DBD"/>
    <w:rsid w:val="007A4260"/>
    <w:rsid w:val="007A6D49"/>
    <w:rsid w:val="007B032C"/>
    <w:rsid w:val="007B062E"/>
    <w:rsid w:val="007B09CA"/>
    <w:rsid w:val="007B378F"/>
    <w:rsid w:val="007B3C12"/>
    <w:rsid w:val="007B5320"/>
    <w:rsid w:val="007B642E"/>
    <w:rsid w:val="007C20A3"/>
    <w:rsid w:val="007C2527"/>
    <w:rsid w:val="007C38DC"/>
    <w:rsid w:val="007C3A36"/>
    <w:rsid w:val="007C3ED4"/>
    <w:rsid w:val="007C5D1D"/>
    <w:rsid w:val="007C644D"/>
    <w:rsid w:val="007C741D"/>
    <w:rsid w:val="007C7C66"/>
    <w:rsid w:val="007D417B"/>
    <w:rsid w:val="007D4202"/>
    <w:rsid w:val="007E57AE"/>
    <w:rsid w:val="007E7C91"/>
    <w:rsid w:val="007F0B91"/>
    <w:rsid w:val="007F10EE"/>
    <w:rsid w:val="007F1275"/>
    <w:rsid w:val="007F298F"/>
    <w:rsid w:val="007F362A"/>
    <w:rsid w:val="007F768B"/>
    <w:rsid w:val="007F7BB5"/>
    <w:rsid w:val="008010ED"/>
    <w:rsid w:val="00801B8B"/>
    <w:rsid w:val="00805103"/>
    <w:rsid w:val="00810744"/>
    <w:rsid w:val="00816121"/>
    <w:rsid w:val="00817A58"/>
    <w:rsid w:val="00824505"/>
    <w:rsid w:val="0082574E"/>
    <w:rsid w:val="00826BD1"/>
    <w:rsid w:val="00827586"/>
    <w:rsid w:val="00832000"/>
    <w:rsid w:val="00836EA8"/>
    <w:rsid w:val="00836FCF"/>
    <w:rsid w:val="00841248"/>
    <w:rsid w:val="008446E6"/>
    <w:rsid w:val="00845C98"/>
    <w:rsid w:val="0084722A"/>
    <w:rsid w:val="00851FCB"/>
    <w:rsid w:val="008533AA"/>
    <w:rsid w:val="008555DC"/>
    <w:rsid w:val="008573FC"/>
    <w:rsid w:val="008575E9"/>
    <w:rsid w:val="00860214"/>
    <w:rsid w:val="00861A3A"/>
    <w:rsid w:val="00862C59"/>
    <w:rsid w:val="00864944"/>
    <w:rsid w:val="008666D6"/>
    <w:rsid w:val="00867FCE"/>
    <w:rsid w:val="00875195"/>
    <w:rsid w:val="00875CEC"/>
    <w:rsid w:val="00876086"/>
    <w:rsid w:val="0087731B"/>
    <w:rsid w:val="00877504"/>
    <w:rsid w:val="008800E0"/>
    <w:rsid w:val="00881AFC"/>
    <w:rsid w:val="0088451B"/>
    <w:rsid w:val="008910D9"/>
    <w:rsid w:val="008A24E8"/>
    <w:rsid w:val="008A445C"/>
    <w:rsid w:val="008B515C"/>
    <w:rsid w:val="008B7C7F"/>
    <w:rsid w:val="008C039E"/>
    <w:rsid w:val="008C239B"/>
    <w:rsid w:val="008C7C61"/>
    <w:rsid w:val="008D0453"/>
    <w:rsid w:val="008D7CD5"/>
    <w:rsid w:val="008F0D5C"/>
    <w:rsid w:val="00903332"/>
    <w:rsid w:val="00915573"/>
    <w:rsid w:val="00915B91"/>
    <w:rsid w:val="009162EF"/>
    <w:rsid w:val="0091753F"/>
    <w:rsid w:val="009220AE"/>
    <w:rsid w:val="00922848"/>
    <w:rsid w:val="009250EA"/>
    <w:rsid w:val="009301D1"/>
    <w:rsid w:val="00931285"/>
    <w:rsid w:val="009314D0"/>
    <w:rsid w:val="00940456"/>
    <w:rsid w:val="00940871"/>
    <w:rsid w:val="0094411B"/>
    <w:rsid w:val="009450CF"/>
    <w:rsid w:val="009506A2"/>
    <w:rsid w:val="00950BF7"/>
    <w:rsid w:val="00952993"/>
    <w:rsid w:val="00952C90"/>
    <w:rsid w:val="0095487F"/>
    <w:rsid w:val="00955FA9"/>
    <w:rsid w:val="0096025E"/>
    <w:rsid w:val="00961158"/>
    <w:rsid w:val="009676E3"/>
    <w:rsid w:val="00967A96"/>
    <w:rsid w:val="00972A3C"/>
    <w:rsid w:val="0097367D"/>
    <w:rsid w:val="00976945"/>
    <w:rsid w:val="0097717B"/>
    <w:rsid w:val="0098049B"/>
    <w:rsid w:val="00981BBC"/>
    <w:rsid w:val="00984AE2"/>
    <w:rsid w:val="00990AF7"/>
    <w:rsid w:val="00991EC2"/>
    <w:rsid w:val="00995440"/>
    <w:rsid w:val="00996429"/>
    <w:rsid w:val="00997173"/>
    <w:rsid w:val="00997863"/>
    <w:rsid w:val="009A25A7"/>
    <w:rsid w:val="009A3D4A"/>
    <w:rsid w:val="009B06F4"/>
    <w:rsid w:val="009B0C93"/>
    <w:rsid w:val="009B374A"/>
    <w:rsid w:val="009B461F"/>
    <w:rsid w:val="009B6B14"/>
    <w:rsid w:val="009C0DB8"/>
    <w:rsid w:val="009C330E"/>
    <w:rsid w:val="009C42BF"/>
    <w:rsid w:val="009C4AB4"/>
    <w:rsid w:val="009D065F"/>
    <w:rsid w:val="009D68CA"/>
    <w:rsid w:val="009D6F00"/>
    <w:rsid w:val="009E585E"/>
    <w:rsid w:val="009E72E9"/>
    <w:rsid w:val="009F14A9"/>
    <w:rsid w:val="009F5DAA"/>
    <w:rsid w:val="009F6246"/>
    <w:rsid w:val="00A02E78"/>
    <w:rsid w:val="00A1240C"/>
    <w:rsid w:val="00A21059"/>
    <w:rsid w:val="00A21083"/>
    <w:rsid w:val="00A271D4"/>
    <w:rsid w:val="00A31489"/>
    <w:rsid w:val="00A43F13"/>
    <w:rsid w:val="00A44A2B"/>
    <w:rsid w:val="00A47422"/>
    <w:rsid w:val="00A5138F"/>
    <w:rsid w:val="00A53991"/>
    <w:rsid w:val="00A6654B"/>
    <w:rsid w:val="00A7239F"/>
    <w:rsid w:val="00A76529"/>
    <w:rsid w:val="00A7735D"/>
    <w:rsid w:val="00A77EAC"/>
    <w:rsid w:val="00A8113A"/>
    <w:rsid w:val="00A856A9"/>
    <w:rsid w:val="00A87BE0"/>
    <w:rsid w:val="00A903F2"/>
    <w:rsid w:val="00A977C2"/>
    <w:rsid w:val="00AA55A9"/>
    <w:rsid w:val="00AA56DF"/>
    <w:rsid w:val="00AB1579"/>
    <w:rsid w:val="00AB2D17"/>
    <w:rsid w:val="00AB4D0D"/>
    <w:rsid w:val="00AB551C"/>
    <w:rsid w:val="00AC3D59"/>
    <w:rsid w:val="00AC4A4C"/>
    <w:rsid w:val="00AC50F3"/>
    <w:rsid w:val="00AD31B0"/>
    <w:rsid w:val="00AD3DD8"/>
    <w:rsid w:val="00AD48CE"/>
    <w:rsid w:val="00AD7CAE"/>
    <w:rsid w:val="00AE0DC6"/>
    <w:rsid w:val="00AE7218"/>
    <w:rsid w:val="00AE7D4F"/>
    <w:rsid w:val="00B01B94"/>
    <w:rsid w:val="00B100D6"/>
    <w:rsid w:val="00B11BC0"/>
    <w:rsid w:val="00B15DB9"/>
    <w:rsid w:val="00B162EF"/>
    <w:rsid w:val="00B169FA"/>
    <w:rsid w:val="00B2769F"/>
    <w:rsid w:val="00B3426E"/>
    <w:rsid w:val="00B4147E"/>
    <w:rsid w:val="00B429A9"/>
    <w:rsid w:val="00B42FAF"/>
    <w:rsid w:val="00B4626E"/>
    <w:rsid w:val="00B5106E"/>
    <w:rsid w:val="00B52240"/>
    <w:rsid w:val="00B52F9D"/>
    <w:rsid w:val="00B54AC5"/>
    <w:rsid w:val="00B5577E"/>
    <w:rsid w:val="00B57004"/>
    <w:rsid w:val="00B608C3"/>
    <w:rsid w:val="00B617CC"/>
    <w:rsid w:val="00B72E21"/>
    <w:rsid w:val="00B73496"/>
    <w:rsid w:val="00B73E30"/>
    <w:rsid w:val="00B7477D"/>
    <w:rsid w:val="00B81E1E"/>
    <w:rsid w:val="00B87D7B"/>
    <w:rsid w:val="00B94FA7"/>
    <w:rsid w:val="00BA2F2B"/>
    <w:rsid w:val="00BA37E3"/>
    <w:rsid w:val="00BA59B0"/>
    <w:rsid w:val="00BB3EB9"/>
    <w:rsid w:val="00BB4A31"/>
    <w:rsid w:val="00BC7BA2"/>
    <w:rsid w:val="00BD3E0F"/>
    <w:rsid w:val="00BE358D"/>
    <w:rsid w:val="00BE3C53"/>
    <w:rsid w:val="00BE55E6"/>
    <w:rsid w:val="00BE6288"/>
    <w:rsid w:val="00BE671C"/>
    <w:rsid w:val="00BE6843"/>
    <w:rsid w:val="00C01F7E"/>
    <w:rsid w:val="00C12CBD"/>
    <w:rsid w:val="00C157E3"/>
    <w:rsid w:val="00C1717F"/>
    <w:rsid w:val="00C20883"/>
    <w:rsid w:val="00C22807"/>
    <w:rsid w:val="00C23DA6"/>
    <w:rsid w:val="00C245FC"/>
    <w:rsid w:val="00C263F0"/>
    <w:rsid w:val="00C302C4"/>
    <w:rsid w:val="00C3041E"/>
    <w:rsid w:val="00C32656"/>
    <w:rsid w:val="00C32E98"/>
    <w:rsid w:val="00C412D7"/>
    <w:rsid w:val="00C42822"/>
    <w:rsid w:val="00C42E36"/>
    <w:rsid w:val="00C4651F"/>
    <w:rsid w:val="00C50014"/>
    <w:rsid w:val="00C506FB"/>
    <w:rsid w:val="00C566BC"/>
    <w:rsid w:val="00C634E8"/>
    <w:rsid w:val="00C63F9F"/>
    <w:rsid w:val="00C6739B"/>
    <w:rsid w:val="00C71176"/>
    <w:rsid w:val="00C74981"/>
    <w:rsid w:val="00C763E3"/>
    <w:rsid w:val="00C80414"/>
    <w:rsid w:val="00C829F1"/>
    <w:rsid w:val="00C870CC"/>
    <w:rsid w:val="00C9029A"/>
    <w:rsid w:val="00C90677"/>
    <w:rsid w:val="00C92D09"/>
    <w:rsid w:val="00C9385A"/>
    <w:rsid w:val="00C93DF3"/>
    <w:rsid w:val="00C94942"/>
    <w:rsid w:val="00C94E69"/>
    <w:rsid w:val="00C968B0"/>
    <w:rsid w:val="00C97A7F"/>
    <w:rsid w:val="00CA629D"/>
    <w:rsid w:val="00CA63EF"/>
    <w:rsid w:val="00CB19E7"/>
    <w:rsid w:val="00CB5273"/>
    <w:rsid w:val="00CB7076"/>
    <w:rsid w:val="00CC0342"/>
    <w:rsid w:val="00CC041A"/>
    <w:rsid w:val="00CC42CD"/>
    <w:rsid w:val="00CC4628"/>
    <w:rsid w:val="00CD07F0"/>
    <w:rsid w:val="00CD3304"/>
    <w:rsid w:val="00CD60CF"/>
    <w:rsid w:val="00CD6313"/>
    <w:rsid w:val="00CE0A9D"/>
    <w:rsid w:val="00CE20EE"/>
    <w:rsid w:val="00CE58D7"/>
    <w:rsid w:val="00CF44E3"/>
    <w:rsid w:val="00D047C7"/>
    <w:rsid w:val="00D04B61"/>
    <w:rsid w:val="00D1046F"/>
    <w:rsid w:val="00D216F1"/>
    <w:rsid w:val="00D25CA1"/>
    <w:rsid w:val="00D2633E"/>
    <w:rsid w:val="00D2767E"/>
    <w:rsid w:val="00D30CA3"/>
    <w:rsid w:val="00D346B9"/>
    <w:rsid w:val="00D42872"/>
    <w:rsid w:val="00D440F5"/>
    <w:rsid w:val="00D44C5E"/>
    <w:rsid w:val="00D47258"/>
    <w:rsid w:val="00D510AD"/>
    <w:rsid w:val="00D5135D"/>
    <w:rsid w:val="00D542BC"/>
    <w:rsid w:val="00D55AE6"/>
    <w:rsid w:val="00D57D73"/>
    <w:rsid w:val="00D637F5"/>
    <w:rsid w:val="00D744DF"/>
    <w:rsid w:val="00D86802"/>
    <w:rsid w:val="00D87653"/>
    <w:rsid w:val="00D90194"/>
    <w:rsid w:val="00D920DF"/>
    <w:rsid w:val="00D9342C"/>
    <w:rsid w:val="00D93E57"/>
    <w:rsid w:val="00DA1DB9"/>
    <w:rsid w:val="00DB1144"/>
    <w:rsid w:val="00DB1B81"/>
    <w:rsid w:val="00DB1CB8"/>
    <w:rsid w:val="00DB37B1"/>
    <w:rsid w:val="00DB608D"/>
    <w:rsid w:val="00DB717C"/>
    <w:rsid w:val="00DB7A2E"/>
    <w:rsid w:val="00DC130D"/>
    <w:rsid w:val="00DD043E"/>
    <w:rsid w:val="00DE2C15"/>
    <w:rsid w:val="00DE36CD"/>
    <w:rsid w:val="00DF406E"/>
    <w:rsid w:val="00DF704C"/>
    <w:rsid w:val="00E06349"/>
    <w:rsid w:val="00E07366"/>
    <w:rsid w:val="00E11875"/>
    <w:rsid w:val="00E12E96"/>
    <w:rsid w:val="00E225A1"/>
    <w:rsid w:val="00E243E8"/>
    <w:rsid w:val="00E25CCD"/>
    <w:rsid w:val="00E26DEC"/>
    <w:rsid w:val="00E3393B"/>
    <w:rsid w:val="00E40BC8"/>
    <w:rsid w:val="00E42289"/>
    <w:rsid w:val="00E42F2F"/>
    <w:rsid w:val="00E44CA1"/>
    <w:rsid w:val="00E45367"/>
    <w:rsid w:val="00E546A6"/>
    <w:rsid w:val="00E6080B"/>
    <w:rsid w:val="00E64CAD"/>
    <w:rsid w:val="00E6547C"/>
    <w:rsid w:val="00E668B0"/>
    <w:rsid w:val="00E6737C"/>
    <w:rsid w:val="00E7036A"/>
    <w:rsid w:val="00E75C49"/>
    <w:rsid w:val="00E76984"/>
    <w:rsid w:val="00E76BC7"/>
    <w:rsid w:val="00E809FF"/>
    <w:rsid w:val="00E81DB2"/>
    <w:rsid w:val="00E824AA"/>
    <w:rsid w:val="00E849EA"/>
    <w:rsid w:val="00E84B36"/>
    <w:rsid w:val="00E866C2"/>
    <w:rsid w:val="00E8743A"/>
    <w:rsid w:val="00E90505"/>
    <w:rsid w:val="00E905E3"/>
    <w:rsid w:val="00E90E86"/>
    <w:rsid w:val="00E91C6A"/>
    <w:rsid w:val="00E967EF"/>
    <w:rsid w:val="00E978E4"/>
    <w:rsid w:val="00EA0AB6"/>
    <w:rsid w:val="00EA30D7"/>
    <w:rsid w:val="00EA5EDA"/>
    <w:rsid w:val="00EA6AD2"/>
    <w:rsid w:val="00EB4BA7"/>
    <w:rsid w:val="00EB6AA9"/>
    <w:rsid w:val="00EC15C9"/>
    <w:rsid w:val="00EC19DA"/>
    <w:rsid w:val="00EC308D"/>
    <w:rsid w:val="00EC3DB1"/>
    <w:rsid w:val="00ED38C5"/>
    <w:rsid w:val="00ED4813"/>
    <w:rsid w:val="00ED579C"/>
    <w:rsid w:val="00ED5C51"/>
    <w:rsid w:val="00ED6D69"/>
    <w:rsid w:val="00EE0FFE"/>
    <w:rsid w:val="00EE3E29"/>
    <w:rsid w:val="00EE748F"/>
    <w:rsid w:val="00EF0040"/>
    <w:rsid w:val="00EF0A65"/>
    <w:rsid w:val="00EF14A8"/>
    <w:rsid w:val="00EF20DF"/>
    <w:rsid w:val="00EF20F1"/>
    <w:rsid w:val="00F0360C"/>
    <w:rsid w:val="00F06ABA"/>
    <w:rsid w:val="00F12265"/>
    <w:rsid w:val="00F14BAA"/>
    <w:rsid w:val="00F30490"/>
    <w:rsid w:val="00F34B78"/>
    <w:rsid w:val="00F55AC1"/>
    <w:rsid w:val="00F56773"/>
    <w:rsid w:val="00F56EAA"/>
    <w:rsid w:val="00F61409"/>
    <w:rsid w:val="00F6212C"/>
    <w:rsid w:val="00F66B26"/>
    <w:rsid w:val="00F67225"/>
    <w:rsid w:val="00F727B3"/>
    <w:rsid w:val="00F80A70"/>
    <w:rsid w:val="00F907E1"/>
    <w:rsid w:val="00F96539"/>
    <w:rsid w:val="00FA2FF5"/>
    <w:rsid w:val="00FA3FE1"/>
    <w:rsid w:val="00FA667E"/>
    <w:rsid w:val="00FC7999"/>
    <w:rsid w:val="00FD08A8"/>
    <w:rsid w:val="00FD67E9"/>
    <w:rsid w:val="00FE57D8"/>
    <w:rsid w:val="00FE68D1"/>
    <w:rsid w:val="00FF7FDE"/>
    <w:rsid w:val="03373F2F"/>
    <w:rsid w:val="038E7ED7"/>
    <w:rsid w:val="03BD5CAB"/>
    <w:rsid w:val="05FFF8BA"/>
    <w:rsid w:val="06AB79B5"/>
    <w:rsid w:val="0792F88C"/>
    <w:rsid w:val="09E260C2"/>
    <w:rsid w:val="0A1F1428"/>
    <w:rsid w:val="0A309542"/>
    <w:rsid w:val="0ACF2B79"/>
    <w:rsid w:val="0B2F6443"/>
    <w:rsid w:val="0B73C1EC"/>
    <w:rsid w:val="0BB13196"/>
    <w:rsid w:val="0C23BCE0"/>
    <w:rsid w:val="0EF07B5B"/>
    <w:rsid w:val="0F3BACA7"/>
    <w:rsid w:val="0FDB82AC"/>
    <w:rsid w:val="0FE459A5"/>
    <w:rsid w:val="12119528"/>
    <w:rsid w:val="124F7990"/>
    <w:rsid w:val="12913171"/>
    <w:rsid w:val="136801E3"/>
    <w:rsid w:val="1394BA6C"/>
    <w:rsid w:val="14C8BC01"/>
    <w:rsid w:val="15EBBEA6"/>
    <w:rsid w:val="16A7BB6D"/>
    <w:rsid w:val="18C31C7E"/>
    <w:rsid w:val="18FE20FD"/>
    <w:rsid w:val="1926DD38"/>
    <w:rsid w:val="19D4B881"/>
    <w:rsid w:val="19E1192D"/>
    <w:rsid w:val="1B91D33C"/>
    <w:rsid w:val="1CC80B0E"/>
    <w:rsid w:val="1D2DA39D"/>
    <w:rsid w:val="1E5E91B7"/>
    <w:rsid w:val="1EBCCD0A"/>
    <w:rsid w:val="1F76DEE0"/>
    <w:rsid w:val="1F9D71BC"/>
    <w:rsid w:val="21C90329"/>
    <w:rsid w:val="234CDDFF"/>
    <w:rsid w:val="238ABFF0"/>
    <w:rsid w:val="267C5767"/>
    <w:rsid w:val="26A493A8"/>
    <w:rsid w:val="27EC2D09"/>
    <w:rsid w:val="28999520"/>
    <w:rsid w:val="2D1BB222"/>
    <w:rsid w:val="2EEC7C3D"/>
    <w:rsid w:val="2F2EB0E9"/>
    <w:rsid w:val="30E3CD78"/>
    <w:rsid w:val="31F8C2D9"/>
    <w:rsid w:val="330D956F"/>
    <w:rsid w:val="3368BF69"/>
    <w:rsid w:val="34D00ABA"/>
    <w:rsid w:val="378CCD66"/>
    <w:rsid w:val="38159992"/>
    <w:rsid w:val="38FC37BD"/>
    <w:rsid w:val="39289DC7"/>
    <w:rsid w:val="3990FFB6"/>
    <w:rsid w:val="39E80D2A"/>
    <w:rsid w:val="3AF4F87A"/>
    <w:rsid w:val="3B88F973"/>
    <w:rsid w:val="3C35239B"/>
    <w:rsid w:val="3D1A4312"/>
    <w:rsid w:val="3DCFA8E0"/>
    <w:rsid w:val="3DD760F4"/>
    <w:rsid w:val="408A39DF"/>
    <w:rsid w:val="409CE8B5"/>
    <w:rsid w:val="410C1EB2"/>
    <w:rsid w:val="42E25E70"/>
    <w:rsid w:val="42E41F7B"/>
    <w:rsid w:val="43386FC2"/>
    <w:rsid w:val="43A6E97C"/>
    <w:rsid w:val="442188AD"/>
    <w:rsid w:val="44662896"/>
    <w:rsid w:val="44F435BD"/>
    <w:rsid w:val="454CBEB3"/>
    <w:rsid w:val="46266F4F"/>
    <w:rsid w:val="46F5B352"/>
    <w:rsid w:val="47E25702"/>
    <w:rsid w:val="4927B6CD"/>
    <w:rsid w:val="4928F65A"/>
    <w:rsid w:val="4937077B"/>
    <w:rsid w:val="4C6435B0"/>
    <w:rsid w:val="4CC2AE1C"/>
    <w:rsid w:val="4D03F693"/>
    <w:rsid w:val="4DCCA44D"/>
    <w:rsid w:val="4DF27F31"/>
    <w:rsid w:val="51F202A2"/>
    <w:rsid w:val="5217D213"/>
    <w:rsid w:val="54F24E43"/>
    <w:rsid w:val="55CF0109"/>
    <w:rsid w:val="56C2EB42"/>
    <w:rsid w:val="57E05100"/>
    <w:rsid w:val="5947591B"/>
    <w:rsid w:val="5A358396"/>
    <w:rsid w:val="5B566B9E"/>
    <w:rsid w:val="5B59C127"/>
    <w:rsid w:val="5EDCE4F9"/>
    <w:rsid w:val="608FFFBA"/>
    <w:rsid w:val="6138CFE0"/>
    <w:rsid w:val="6419F804"/>
    <w:rsid w:val="66283956"/>
    <w:rsid w:val="665694E8"/>
    <w:rsid w:val="671F0E97"/>
    <w:rsid w:val="695467FB"/>
    <w:rsid w:val="6A51839B"/>
    <w:rsid w:val="6B2025F0"/>
    <w:rsid w:val="6B5626D7"/>
    <w:rsid w:val="6C8FA8A8"/>
    <w:rsid w:val="6D1CE606"/>
    <w:rsid w:val="6F36CC3D"/>
    <w:rsid w:val="7059BE72"/>
    <w:rsid w:val="711E887E"/>
    <w:rsid w:val="716AD1DF"/>
    <w:rsid w:val="71B1F063"/>
    <w:rsid w:val="728EC25E"/>
    <w:rsid w:val="747D58D6"/>
    <w:rsid w:val="75AF9268"/>
    <w:rsid w:val="76EA4F20"/>
    <w:rsid w:val="783FD09C"/>
    <w:rsid w:val="78588349"/>
    <w:rsid w:val="78637375"/>
    <w:rsid w:val="7A566B4F"/>
    <w:rsid w:val="7BFDBF04"/>
    <w:rsid w:val="7CEE0EEF"/>
    <w:rsid w:val="7E833935"/>
    <w:rsid w:val="7EEE5408"/>
    <w:rsid w:val="7F3EE0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FEDF8A"/>
  <w15:chartTrackingRefBased/>
  <w15:docId w15:val="{EB014B82-95C7-4F48-AC34-1CABF5958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D5C"/>
    <w:pPr>
      <w:spacing w:after="0" w:line="240" w:lineRule="auto"/>
    </w:pPr>
    <w:rPr>
      <w:rFonts w:ascii="Arial" w:eastAsia="PMingLiU" w:hAnsi="Arial" w:cs="Times New Roman"/>
      <w:color w:val="000000"/>
      <w:szCs w:val="20"/>
      <w:lang w:bidi="ar-DZ"/>
    </w:rPr>
  </w:style>
  <w:style w:type="paragraph" w:styleId="Heading1">
    <w:name w:val="heading 1"/>
    <w:next w:val="BodyText"/>
    <w:link w:val="Heading1Char"/>
    <w:qFormat/>
    <w:rsid w:val="008F0D5C"/>
    <w:pPr>
      <w:keepNext/>
      <w:pageBreakBefore/>
      <w:numPr>
        <w:numId w:val="36"/>
      </w:numPr>
      <w:pBdr>
        <w:bottom w:val="single" w:sz="8" w:space="1" w:color="00EEAE"/>
      </w:pBdr>
      <w:spacing w:after="120" w:line="240" w:lineRule="auto"/>
      <w:ind w:left="1080" w:hanging="1080"/>
      <w:outlineLvl w:val="0"/>
    </w:pPr>
    <w:rPr>
      <w:rFonts w:ascii="Arial" w:eastAsia="PMingLiU" w:hAnsi="Arial" w:cs="Arial"/>
      <w:b/>
      <w:bCs/>
      <w:color w:val="2B3A44"/>
      <w:kern w:val="32"/>
      <w:sz w:val="48"/>
      <w:szCs w:val="32"/>
      <w:lang w:bidi="ar-DZ"/>
    </w:rPr>
  </w:style>
  <w:style w:type="paragraph" w:styleId="Heading2">
    <w:name w:val="heading 2"/>
    <w:next w:val="BodyText"/>
    <w:link w:val="Heading2Char"/>
    <w:qFormat/>
    <w:rsid w:val="008F0D5C"/>
    <w:pPr>
      <w:keepNext/>
      <w:numPr>
        <w:ilvl w:val="1"/>
        <w:numId w:val="36"/>
      </w:numPr>
      <w:pBdr>
        <w:bottom w:val="single" w:sz="8" w:space="1" w:color="00EEAE"/>
      </w:pBdr>
      <w:spacing w:before="240" w:after="120" w:line="240" w:lineRule="auto"/>
      <w:ind w:left="1080" w:hanging="1080"/>
      <w:outlineLvl w:val="1"/>
    </w:pPr>
    <w:rPr>
      <w:rFonts w:ascii="Arial" w:eastAsia="PMingLiU" w:hAnsi="Arial" w:cs="Arial"/>
      <w:b/>
      <w:bCs/>
      <w:iCs/>
      <w:color w:val="2B3A44"/>
      <w:sz w:val="44"/>
      <w:szCs w:val="28"/>
      <w:lang w:bidi="ar-DZ"/>
    </w:rPr>
  </w:style>
  <w:style w:type="paragraph" w:styleId="Heading3">
    <w:name w:val="heading 3"/>
    <w:next w:val="BodyText"/>
    <w:link w:val="Heading3Char"/>
    <w:qFormat/>
    <w:rsid w:val="008F0D5C"/>
    <w:pPr>
      <w:keepNext/>
      <w:numPr>
        <w:ilvl w:val="2"/>
        <w:numId w:val="36"/>
      </w:numPr>
      <w:spacing w:before="240" w:after="120" w:line="240" w:lineRule="auto"/>
      <w:ind w:left="1440" w:hanging="1440"/>
      <w:outlineLvl w:val="2"/>
    </w:pPr>
    <w:rPr>
      <w:rFonts w:ascii="Arial" w:eastAsia="PMingLiU" w:hAnsi="Arial" w:cs="Arial"/>
      <w:b/>
      <w:bCs/>
      <w:color w:val="2B3A44"/>
      <w:sz w:val="40"/>
      <w:szCs w:val="26"/>
      <w:lang w:bidi="ar-DZ"/>
    </w:rPr>
  </w:style>
  <w:style w:type="paragraph" w:styleId="Heading4">
    <w:name w:val="heading 4"/>
    <w:next w:val="BodyText"/>
    <w:link w:val="Heading4Char"/>
    <w:qFormat/>
    <w:rsid w:val="008F0D5C"/>
    <w:pPr>
      <w:keepNext/>
      <w:keepLines/>
      <w:numPr>
        <w:ilvl w:val="3"/>
        <w:numId w:val="36"/>
      </w:numPr>
      <w:tabs>
        <w:tab w:val="left" w:pos="1440"/>
      </w:tabs>
      <w:spacing w:before="240" w:after="120" w:line="240" w:lineRule="auto"/>
      <w:ind w:left="1440" w:hanging="1440"/>
      <w:outlineLvl w:val="3"/>
    </w:pPr>
    <w:rPr>
      <w:rFonts w:ascii="Arial" w:eastAsia="PMingLiU" w:hAnsi="Arial" w:cs="Times New Roman"/>
      <w:b/>
      <w:bCs/>
      <w:color w:val="2B3A44"/>
      <w:sz w:val="36"/>
      <w:szCs w:val="28"/>
      <w:lang w:bidi="ar-DZ"/>
    </w:rPr>
  </w:style>
  <w:style w:type="paragraph" w:styleId="Heading5">
    <w:name w:val="heading 5"/>
    <w:next w:val="BodyText"/>
    <w:link w:val="Heading5Char"/>
    <w:qFormat/>
    <w:rsid w:val="008F0D5C"/>
    <w:pPr>
      <w:keepNext/>
      <w:keepLines/>
      <w:numPr>
        <w:ilvl w:val="4"/>
        <w:numId w:val="36"/>
      </w:numPr>
      <w:spacing w:before="240" w:after="120" w:line="240" w:lineRule="auto"/>
      <w:ind w:left="1728" w:hanging="1728"/>
      <w:outlineLvl w:val="4"/>
    </w:pPr>
    <w:rPr>
      <w:rFonts w:ascii="Arial" w:eastAsia="PMingLiU" w:hAnsi="Arial" w:cs="Times New Roman"/>
      <w:b/>
      <w:bCs/>
      <w:iCs/>
      <w:color w:val="2B3A44"/>
      <w:sz w:val="32"/>
      <w:szCs w:val="26"/>
      <w:lang w:bidi="ar-DZ"/>
    </w:rPr>
  </w:style>
  <w:style w:type="paragraph" w:styleId="Heading6">
    <w:name w:val="heading 6"/>
    <w:next w:val="BodyText"/>
    <w:link w:val="Heading6Char"/>
    <w:qFormat/>
    <w:rsid w:val="008F0D5C"/>
    <w:pPr>
      <w:keepNext/>
      <w:keepLines/>
      <w:numPr>
        <w:ilvl w:val="5"/>
        <w:numId w:val="36"/>
      </w:numPr>
      <w:spacing w:before="240" w:after="120" w:line="240" w:lineRule="auto"/>
      <w:ind w:left="1728" w:hanging="1728"/>
      <w:outlineLvl w:val="5"/>
    </w:pPr>
    <w:rPr>
      <w:rFonts w:ascii="Arial" w:eastAsia="PMingLiU" w:hAnsi="Arial" w:cs="Times New Roman"/>
      <w:b/>
      <w:bCs/>
      <w:color w:val="2B3A44"/>
      <w:sz w:val="28"/>
      <w:lang w:bidi="ar-DZ"/>
    </w:rPr>
  </w:style>
  <w:style w:type="paragraph" w:styleId="Heading7">
    <w:name w:val="heading 7"/>
    <w:basedOn w:val="Normal"/>
    <w:next w:val="Normal"/>
    <w:link w:val="Heading7Char"/>
    <w:semiHidden/>
    <w:qFormat/>
    <w:rsid w:val="008F0D5C"/>
    <w:pPr>
      <w:numPr>
        <w:ilvl w:val="6"/>
        <w:numId w:val="36"/>
      </w:numPr>
      <w:spacing w:before="240" w:after="60"/>
      <w:outlineLvl w:val="6"/>
    </w:pPr>
    <w:rPr>
      <w:rFonts w:ascii="Times New Roman" w:hAnsi="Times New Roman"/>
      <w:sz w:val="24"/>
      <w:szCs w:val="24"/>
    </w:rPr>
  </w:style>
  <w:style w:type="paragraph" w:styleId="Heading8">
    <w:name w:val="heading 8"/>
    <w:basedOn w:val="Normal"/>
    <w:next w:val="Normal"/>
    <w:link w:val="Heading8Char"/>
    <w:semiHidden/>
    <w:qFormat/>
    <w:rsid w:val="008F0D5C"/>
    <w:pPr>
      <w:numPr>
        <w:ilvl w:val="7"/>
        <w:numId w:val="36"/>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semiHidden/>
    <w:qFormat/>
    <w:rsid w:val="008F0D5C"/>
    <w:pPr>
      <w:numPr>
        <w:ilvl w:val="8"/>
        <w:numId w:val="36"/>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8F0D5C"/>
    <w:pPr>
      <w:ind w:left="720"/>
      <w:contextualSpacing/>
    </w:pPr>
  </w:style>
  <w:style w:type="table" w:styleId="TableGrid">
    <w:name w:val="Table Grid"/>
    <w:aliases w:val="Yellow,Equifax table,Header Table,VF_Table,Smart Text Table,Deloitte Table Grid,Table Definitions Grid,Table Definitions Grid1,Table Grid WDS,FirstDataRFP,Table IVV,Table Grid 3 column,Iowa MMIS Deliverable Table"/>
    <w:basedOn w:val="TableNormal"/>
    <w:uiPriority w:val="39"/>
    <w:rsid w:val="008F0D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C3041E"/>
    <w:rPr>
      <w:rFonts w:ascii="Arial" w:eastAsia="PMingLiU" w:hAnsi="Arial" w:cs="Times New Roman"/>
      <w:color w:val="000000"/>
      <w:szCs w:val="20"/>
      <w:lang w:bidi="ar-DZ"/>
    </w:rPr>
  </w:style>
  <w:style w:type="paragraph" w:styleId="Revision">
    <w:name w:val="Revision"/>
    <w:hidden/>
    <w:uiPriority w:val="99"/>
    <w:semiHidden/>
    <w:rsid w:val="00D90194"/>
    <w:pPr>
      <w:spacing w:after="0" w:line="240" w:lineRule="auto"/>
    </w:pPr>
  </w:style>
  <w:style w:type="character" w:styleId="CommentReference">
    <w:name w:val="annotation reference"/>
    <w:uiPriority w:val="99"/>
    <w:semiHidden/>
    <w:rsid w:val="008F0D5C"/>
    <w:rPr>
      <w:sz w:val="16"/>
      <w:szCs w:val="16"/>
      <w:lang w:val="en-US" w:bidi="ar-DZ"/>
    </w:rPr>
  </w:style>
  <w:style w:type="paragraph" w:styleId="CommentText">
    <w:name w:val="annotation text"/>
    <w:basedOn w:val="Normal"/>
    <w:link w:val="CommentTextChar"/>
    <w:uiPriority w:val="99"/>
    <w:rsid w:val="008F0D5C"/>
    <w:rPr>
      <w:sz w:val="20"/>
    </w:rPr>
  </w:style>
  <w:style w:type="character" w:customStyle="1" w:styleId="CommentTextChar">
    <w:name w:val="Comment Text Char"/>
    <w:basedOn w:val="DefaultParagraphFont"/>
    <w:link w:val="CommentText"/>
    <w:uiPriority w:val="99"/>
    <w:rsid w:val="008F0D5C"/>
    <w:rPr>
      <w:rFonts w:ascii="Arial" w:eastAsia="PMingLiU" w:hAnsi="Arial" w:cs="Times New Roman"/>
      <w:color w:val="000000"/>
      <w:sz w:val="20"/>
      <w:szCs w:val="20"/>
      <w:lang w:bidi="ar-DZ"/>
    </w:rPr>
  </w:style>
  <w:style w:type="paragraph" w:styleId="CommentSubject">
    <w:name w:val="annotation subject"/>
    <w:basedOn w:val="CommentText"/>
    <w:next w:val="CommentText"/>
    <w:link w:val="CommentSubjectChar"/>
    <w:semiHidden/>
    <w:rsid w:val="008F0D5C"/>
    <w:rPr>
      <w:b/>
      <w:bCs/>
    </w:rPr>
  </w:style>
  <w:style w:type="character" w:customStyle="1" w:styleId="CommentSubjectChar">
    <w:name w:val="Comment Subject Char"/>
    <w:basedOn w:val="CommentTextChar"/>
    <w:link w:val="CommentSubject"/>
    <w:semiHidden/>
    <w:rsid w:val="008F0D5C"/>
    <w:rPr>
      <w:rFonts w:ascii="Arial" w:eastAsia="PMingLiU" w:hAnsi="Arial" w:cs="Times New Roman"/>
      <w:b/>
      <w:bCs/>
      <w:color w:val="000000"/>
      <w:sz w:val="20"/>
      <w:szCs w:val="20"/>
      <w:lang w:bidi="ar-DZ"/>
    </w:rPr>
  </w:style>
  <w:style w:type="paragraph" w:styleId="Header">
    <w:name w:val="header"/>
    <w:basedOn w:val="Normal"/>
    <w:link w:val="HeaderChar"/>
    <w:uiPriority w:val="99"/>
    <w:rsid w:val="008F0D5C"/>
    <w:rPr>
      <w:color w:val="2B3A44"/>
      <w:sz w:val="18"/>
    </w:rPr>
  </w:style>
  <w:style w:type="character" w:customStyle="1" w:styleId="HeaderChar">
    <w:name w:val="Header Char"/>
    <w:basedOn w:val="DefaultParagraphFont"/>
    <w:link w:val="Header"/>
    <w:uiPriority w:val="99"/>
    <w:rsid w:val="008F0D5C"/>
    <w:rPr>
      <w:rFonts w:ascii="Arial" w:eastAsia="PMingLiU" w:hAnsi="Arial" w:cs="Times New Roman"/>
      <w:color w:val="2B3A44"/>
      <w:sz w:val="18"/>
      <w:szCs w:val="20"/>
      <w:lang w:bidi="ar-DZ"/>
    </w:rPr>
  </w:style>
  <w:style w:type="paragraph" w:styleId="Footer">
    <w:name w:val="footer"/>
    <w:link w:val="FooterChar"/>
    <w:uiPriority w:val="99"/>
    <w:rsid w:val="008F0D5C"/>
    <w:pPr>
      <w:tabs>
        <w:tab w:val="right" w:pos="9360"/>
      </w:tabs>
      <w:spacing w:after="0" w:line="480" w:lineRule="auto"/>
    </w:pPr>
    <w:rPr>
      <w:rFonts w:ascii="Arial" w:eastAsia="PMingLiU" w:hAnsi="Arial" w:cs="Times New Roman"/>
      <w:noProof/>
      <w:color w:val="2B3A44"/>
      <w:sz w:val="16"/>
      <w:szCs w:val="20"/>
    </w:rPr>
  </w:style>
  <w:style w:type="character" w:customStyle="1" w:styleId="FooterChar">
    <w:name w:val="Footer Char"/>
    <w:basedOn w:val="DefaultParagraphFont"/>
    <w:link w:val="Footer"/>
    <w:uiPriority w:val="99"/>
    <w:rsid w:val="008F0D5C"/>
    <w:rPr>
      <w:rFonts w:ascii="Arial" w:eastAsia="PMingLiU" w:hAnsi="Arial" w:cs="Times New Roman"/>
      <w:noProof/>
      <w:color w:val="2B3A44"/>
      <w:sz w:val="16"/>
      <w:szCs w:val="20"/>
    </w:rPr>
  </w:style>
  <w:style w:type="character" w:styleId="UnresolvedMention">
    <w:name w:val="Unresolved Mention"/>
    <w:basedOn w:val="DefaultParagraphFont"/>
    <w:uiPriority w:val="99"/>
    <w:unhideWhenUsed/>
    <w:rsid w:val="007F10EE"/>
    <w:rPr>
      <w:color w:val="605E5C"/>
      <w:shd w:val="clear" w:color="auto" w:fill="E1DFDD"/>
    </w:rPr>
  </w:style>
  <w:style w:type="character" w:styleId="Mention">
    <w:name w:val="Mention"/>
    <w:basedOn w:val="DefaultParagraphFont"/>
    <w:uiPriority w:val="99"/>
    <w:unhideWhenUsed/>
    <w:rsid w:val="007F10EE"/>
    <w:rPr>
      <w:color w:val="2B579A"/>
      <w:shd w:val="clear" w:color="auto" w:fill="E1DFDD"/>
    </w:rPr>
  </w:style>
  <w:style w:type="paragraph" w:customStyle="1" w:styleId="TableText10Bullet1Single">
    <w:name w:val="*Table Text 10 Bullet #1 Single"/>
    <w:uiPriority w:val="1"/>
    <w:rsid w:val="008F0D5C"/>
    <w:pPr>
      <w:numPr>
        <w:numId w:val="1"/>
      </w:numPr>
      <w:tabs>
        <w:tab w:val="left" w:pos="216"/>
      </w:tabs>
      <w:spacing w:after="20" w:line="240" w:lineRule="auto"/>
      <w:ind w:left="216" w:hanging="216"/>
    </w:pPr>
    <w:rPr>
      <w:rFonts w:ascii="Arial" w:eastAsia="PMingLiU" w:hAnsi="Arial" w:cs="Times New Roman"/>
      <w:color w:val="2B3A44"/>
      <w:sz w:val="20"/>
      <w:szCs w:val="20"/>
      <w:lang w:bidi="ar-DZ"/>
    </w:rPr>
  </w:style>
  <w:style w:type="paragraph" w:customStyle="1" w:styleId="TableHeading9">
    <w:name w:val="*Table Heading 9"/>
    <w:basedOn w:val="TableText9BoldDouble"/>
    <w:uiPriority w:val="1"/>
    <w:qFormat/>
    <w:rsid w:val="008F0D5C"/>
  </w:style>
  <w:style w:type="paragraph" w:customStyle="1" w:styleId="TableText9Bullet1Single">
    <w:name w:val="*Table Text 9 Bullet #1 Single"/>
    <w:basedOn w:val="TableText10Bullet1Single"/>
    <w:uiPriority w:val="1"/>
    <w:qFormat/>
    <w:rsid w:val="008F0D5C"/>
    <w:rPr>
      <w:sz w:val="18"/>
    </w:rPr>
  </w:style>
  <w:style w:type="paragraph" w:customStyle="1" w:styleId="TableText9Single">
    <w:name w:val="*Table Text 9 Single"/>
    <w:basedOn w:val="TableText10Single"/>
    <w:uiPriority w:val="1"/>
    <w:qFormat/>
    <w:rsid w:val="008F0D5C"/>
    <w:rPr>
      <w:sz w:val="18"/>
    </w:rPr>
  </w:style>
  <w:style w:type="table" w:customStyle="1" w:styleId="TableGridWDS1">
    <w:name w:val="Table Grid WDS1"/>
    <w:basedOn w:val="TableNormal"/>
    <w:next w:val="TableGrid"/>
    <w:uiPriority w:val="39"/>
    <w:rsid w:val="00C26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F0D5C"/>
    <w:rPr>
      <w:rFonts w:ascii="Arial" w:eastAsia="PMingLiU" w:hAnsi="Arial" w:cs="Arial"/>
      <w:b/>
      <w:bCs/>
      <w:color w:val="2B3A44"/>
      <w:kern w:val="32"/>
      <w:sz w:val="48"/>
      <w:szCs w:val="32"/>
      <w:lang w:bidi="ar-DZ"/>
    </w:rPr>
  </w:style>
  <w:style w:type="character" w:customStyle="1" w:styleId="Heading2Char">
    <w:name w:val="Heading 2 Char"/>
    <w:basedOn w:val="DefaultParagraphFont"/>
    <w:link w:val="Heading2"/>
    <w:rsid w:val="008F0D5C"/>
    <w:rPr>
      <w:rFonts w:ascii="Arial" w:eastAsia="PMingLiU" w:hAnsi="Arial" w:cs="Arial"/>
      <w:b/>
      <w:bCs/>
      <w:iCs/>
      <w:color w:val="2B3A44"/>
      <w:sz w:val="44"/>
      <w:szCs w:val="28"/>
      <w:lang w:bidi="ar-DZ"/>
    </w:rPr>
  </w:style>
  <w:style w:type="character" w:customStyle="1" w:styleId="Heading3Char">
    <w:name w:val="Heading 3 Char"/>
    <w:basedOn w:val="DefaultParagraphFont"/>
    <w:link w:val="Heading3"/>
    <w:rsid w:val="008F0D5C"/>
    <w:rPr>
      <w:rFonts w:ascii="Arial" w:eastAsia="PMingLiU" w:hAnsi="Arial" w:cs="Arial"/>
      <w:b/>
      <w:bCs/>
      <w:color w:val="2B3A44"/>
      <w:sz w:val="40"/>
      <w:szCs w:val="26"/>
      <w:lang w:bidi="ar-DZ"/>
    </w:rPr>
  </w:style>
  <w:style w:type="character" w:customStyle="1" w:styleId="Heading4Char">
    <w:name w:val="Heading 4 Char"/>
    <w:basedOn w:val="DefaultParagraphFont"/>
    <w:link w:val="Heading4"/>
    <w:rsid w:val="008F0D5C"/>
    <w:rPr>
      <w:rFonts w:ascii="Arial" w:eastAsia="PMingLiU" w:hAnsi="Arial" w:cs="Times New Roman"/>
      <w:b/>
      <w:bCs/>
      <w:color w:val="2B3A44"/>
      <w:sz w:val="36"/>
      <w:szCs w:val="28"/>
      <w:lang w:bidi="ar-DZ"/>
    </w:rPr>
  </w:style>
  <w:style w:type="character" w:customStyle="1" w:styleId="Heading5Char">
    <w:name w:val="Heading 5 Char"/>
    <w:basedOn w:val="DefaultParagraphFont"/>
    <w:link w:val="Heading5"/>
    <w:rsid w:val="008F0D5C"/>
    <w:rPr>
      <w:rFonts w:ascii="Arial" w:eastAsia="PMingLiU" w:hAnsi="Arial" w:cs="Times New Roman"/>
      <w:b/>
      <w:bCs/>
      <w:iCs/>
      <w:color w:val="2B3A44"/>
      <w:sz w:val="32"/>
      <w:szCs w:val="26"/>
      <w:lang w:bidi="ar-DZ"/>
    </w:rPr>
  </w:style>
  <w:style w:type="character" w:customStyle="1" w:styleId="Heading6Char">
    <w:name w:val="Heading 6 Char"/>
    <w:basedOn w:val="DefaultParagraphFont"/>
    <w:link w:val="Heading6"/>
    <w:rsid w:val="008F0D5C"/>
    <w:rPr>
      <w:rFonts w:ascii="Arial" w:eastAsia="PMingLiU" w:hAnsi="Arial" w:cs="Times New Roman"/>
      <w:b/>
      <w:bCs/>
      <w:color w:val="2B3A44"/>
      <w:sz w:val="28"/>
      <w:lang w:bidi="ar-DZ"/>
    </w:rPr>
  </w:style>
  <w:style w:type="character" w:customStyle="1" w:styleId="Heading7Char">
    <w:name w:val="Heading 7 Char"/>
    <w:basedOn w:val="DefaultParagraphFont"/>
    <w:link w:val="Heading7"/>
    <w:semiHidden/>
    <w:rsid w:val="008F0D5C"/>
    <w:rPr>
      <w:rFonts w:ascii="Times New Roman" w:eastAsia="PMingLiU" w:hAnsi="Times New Roman" w:cs="Times New Roman"/>
      <w:color w:val="000000"/>
      <w:sz w:val="24"/>
      <w:szCs w:val="24"/>
      <w:lang w:bidi="ar-DZ"/>
    </w:rPr>
  </w:style>
  <w:style w:type="character" w:customStyle="1" w:styleId="Heading8Char">
    <w:name w:val="Heading 8 Char"/>
    <w:basedOn w:val="DefaultParagraphFont"/>
    <w:link w:val="Heading8"/>
    <w:semiHidden/>
    <w:rsid w:val="008F0D5C"/>
    <w:rPr>
      <w:rFonts w:ascii="Times New Roman" w:eastAsia="PMingLiU" w:hAnsi="Times New Roman" w:cs="Times New Roman"/>
      <w:i/>
      <w:iCs/>
      <w:color w:val="000000"/>
      <w:sz w:val="24"/>
      <w:szCs w:val="24"/>
      <w:lang w:bidi="ar-DZ"/>
    </w:rPr>
  </w:style>
  <w:style w:type="character" w:customStyle="1" w:styleId="Heading9Char">
    <w:name w:val="Heading 9 Char"/>
    <w:basedOn w:val="DefaultParagraphFont"/>
    <w:link w:val="Heading9"/>
    <w:semiHidden/>
    <w:rsid w:val="008F0D5C"/>
    <w:rPr>
      <w:rFonts w:ascii="Arial" w:eastAsia="PMingLiU" w:hAnsi="Arial" w:cs="Arial"/>
      <w:color w:val="000000"/>
      <w:lang w:bidi="ar-DZ"/>
    </w:rPr>
  </w:style>
  <w:style w:type="paragraph" w:customStyle="1" w:styleId="BodyText">
    <w:name w:val="*Body Text"/>
    <w:link w:val="BodyTextChar"/>
    <w:qFormat/>
    <w:rsid w:val="008F0D5C"/>
    <w:pPr>
      <w:spacing w:after="120" w:line="240" w:lineRule="auto"/>
    </w:pPr>
    <w:rPr>
      <w:rFonts w:ascii="Arial" w:eastAsia="PMingLiU" w:hAnsi="Arial" w:cs="Times New Roman"/>
      <w:color w:val="2B3A44"/>
      <w:szCs w:val="20"/>
      <w:lang w:bidi="ar-DZ"/>
    </w:rPr>
  </w:style>
  <w:style w:type="paragraph" w:customStyle="1" w:styleId="RightSidebarHeading">
    <w:name w:val="*Right Sidebar Heading"/>
    <w:basedOn w:val="RightSidebarText"/>
    <w:next w:val="RightSidebarText"/>
    <w:uiPriority w:val="1"/>
    <w:qFormat/>
    <w:rsid w:val="008F0D5C"/>
    <w:pPr>
      <w:framePr w:wrap="around"/>
    </w:pPr>
    <w:rPr>
      <w:b/>
    </w:rPr>
  </w:style>
  <w:style w:type="paragraph" w:customStyle="1" w:styleId="RightSidebarBullet">
    <w:name w:val="*Right Sidebar Bullet"/>
    <w:basedOn w:val="RightSidebarText"/>
    <w:uiPriority w:val="1"/>
    <w:qFormat/>
    <w:rsid w:val="008F0D5C"/>
    <w:pPr>
      <w:framePr w:wrap="around"/>
      <w:numPr>
        <w:numId w:val="44"/>
      </w:numPr>
      <w:ind w:left="216" w:hanging="216"/>
    </w:pPr>
  </w:style>
  <w:style w:type="paragraph" w:customStyle="1" w:styleId="BlindParagraph">
    <w:name w:val="*Blind Paragraph"/>
    <w:basedOn w:val="BodyText"/>
    <w:uiPriority w:val="1"/>
    <w:qFormat/>
    <w:rsid w:val="008F0D5C"/>
    <w:pPr>
      <w:spacing w:after="0"/>
    </w:pPr>
    <w:rPr>
      <w:sz w:val="4"/>
      <w:szCs w:val="4"/>
    </w:rPr>
  </w:style>
  <w:style w:type="paragraph" w:customStyle="1" w:styleId="BodySingle">
    <w:name w:val="*Body Single"/>
    <w:basedOn w:val="BodyText"/>
    <w:uiPriority w:val="1"/>
    <w:rsid w:val="008F0D5C"/>
    <w:pPr>
      <w:spacing w:after="0"/>
    </w:pPr>
  </w:style>
  <w:style w:type="paragraph" w:customStyle="1" w:styleId="BodyTextBold">
    <w:name w:val="*Body Text Bold"/>
    <w:basedOn w:val="BodyText"/>
    <w:next w:val="BodyText"/>
    <w:uiPriority w:val="1"/>
    <w:rsid w:val="008F0D5C"/>
    <w:rPr>
      <w:b/>
    </w:rPr>
  </w:style>
  <w:style w:type="paragraph" w:customStyle="1" w:styleId="Bullet1Double">
    <w:name w:val="*Bullet #1 Double"/>
    <w:aliases w:val="Bullet 2,b2,B1,double,bullet single,b2b2,2nd level bullet,EDS sub bullet,bullet text,8,bullet double,bu,bullet2,B2,BL,bullet double-space,double bullet,bl,Bullet,b,body copy,BU Bullet Paragraph,BU,BP,B,BU bullet,bod,body,b-,bullet 2,bs"/>
    <w:link w:val="Bullet1DoubleChar"/>
    <w:rsid w:val="008F0D5C"/>
    <w:pPr>
      <w:numPr>
        <w:numId w:val="37"/>
      </w:numPr>
      <w:tabs>
        <w:tab w:val="clear" w:pos="0"/>
        <w:tab w:val="left" w:pos="288"/>
      </w:tabs>
      <w:spacing w:after="120" w:line="240" w:lineRule="auto"/>
      <w:ind w:left="288" w:hanging="288"/>
    </w:pPr>
    <w:rPr>
      <w:rFonts w:ascii="Arial" w:eastAsia="PMingLiU" w:hAnsi="Arial" w:cs="Times New Roman"/>
      <w:bCs/>
      <w:color w:val="2B3A44"/>
      <w:szCs w:val="20"/>
      <w:lang w:bidi="ar-DZ"/>
    </w:rPr>
  </w:style>
  <w:style w:type="paragraph" w:customStyle="1" w:styleId="Bullet1Single0">
    <w:name w:val="*Bullet #1 Single"/>
    <w:basedOn w:val="Bullet1Double"/>
    <w:uiPriority w:val="1"/>
    <w:qFormat/>
    <w:rsid w:val="008F0D5C"/>
    <w:pPr>
      <w:spacing w:after="0"/>
    </w:pPr>
  </w:style>
  <w:style w:type="paragraph" w:styleId="NoSpacing">
    <w:name w:val="No Spacing"/>
    <w:uiPriority w:val="1"/>
    <w:qFormat/>
    <w:rsid w:val="008F0D5C"/>
    <w:pPr>
      <w:spacing w:after="0" w:line="240" w:lineRule="auto"/>
    </w:pPr>
    <w:rPr>
      <w:rFonts w:ascii="Arial" w:eastAsia="PMingLiU" w:hAnsi="Arial" w:cs="Times New Roman"/>
      <w:color w:val="000000"/>
      <w:szCs w:val="20"/>
      <w:lang w:bidi="ar-DZ"/>
    </w:rPr>
  </w:style>
  <w:style w:type="paragraph" w:customStyle="1" w:styleId="Bullet1SubtextDouble">
    <w:name w:val="*Bullet #1 Subtext Double"/>
    <w:basedOn w:val="BodyText"/>
    <w:uiPriority w:val="1"/>
    <w:rsid w:val="008F0D5C"/>
    <w:pPr>
      <w:ind w:left="288"/>
    </w:pPr>
  </w:style>
  <w:style w:type="paragraph" w:customStyle="1" w:styleId="Bullet1SubtextSingle">
    <w:name w:val="*Bullet #1 Subtext Single"/>
    <w:basedOn w:val="Bullet1SubtextDouble"/>
    <w:uiPriority w:val="1"/>
    <w:qFormat/>
    <w:rsid w:val="008F0D5C"/>
    <w:pPr>
      <w:spacing w:after="0"/>
    </w:pPr>
  </w:style>
  <w:style w:type="paragraph" w:customStyle="1" w:styleId="Bullet2Double0">
    <w:name w:val="*Bullet #2 Double"/>
    <w:rsid w:val="008F0D5C"/>
    <w:pPr>
      <w:numPr>
        <w:numId w:val="38"/>
      </w:numPr>
      <w:tabs>
        <w:tab w:val="clear" w:pos="360"/>
        <w:tab w:val="left" w:pos="576"/>
      </w:tabs>
      <w:spacing w:after="120" w:line="240" w:lineRule="auto"/>
      <w:ind w:left="576" w:hanging="288"/>
    </w:pPr>
    <w:rPr>
      <w:rFonts w:ascii="Arial" w:eastAsia="PMingLiU" w:hAnsi="Arial" w:cs="Times New Roman"/>
      <w:color w:val="2B3A44"/>
      <w:szCs w:val="20"/>
      <w:lang w:bidi="ar-DZ"/>
    </w:rPr>
  </w:style>
  <w:style w:type="paragraph" w:customStyle="1" w:styleId="Bullet2Single0">
    <w:name w:val="*Bullet #2 Single"/>
    <w:basedOn w:val="Bullet2Double0"/>
    <w:uiPriority w:val="1"/>
    <w:qFormat/>
    <w:rsid w:val="008F0D5C"/>
    <w:pPr>
      <w:spacing w:after="0"/>
    </w:pPr>
  </w:style>
  <w:style w:type="paragraph" w:customStyle="1" w:styleId="Bullet2SubtextDouble0">
    <w:name w:val="*Bullet #2 Subtext Double"/>
    <w:basedOn w:val="BodyText"/>
    <w:uiPriority w:val="1"/>
    <w:rsid w:val="008F0D5C"/>
    <w:pPr>
      <w:ind w:left="576"/>
    </w:pPr>
  </w:style>
  <w:style w:type="paragraph" w:customStyle="1" w:styleId="Bullet2SubtextSingle0">
    <w:name w:val="*Bullet #2 Subtext Single"/>
    <w:basedOn w:val="Bullet2SubtextDouble0"/>
    <w:uiPriority w:val="1"/>
    <w:rsid w:val="008F0D5C"/>
    <w:pPr>
      <w:spacing w:after="0"/>
    </w:pPr>
  </w:style>
  <w:style w:type="paragraph" w:customStyle="1" w:styleId="Bullet3Double0">
    <w:name w:val="*Bullet #3 Double"/>
    <w:basedOn w:val="BodyText"/>
    <w:uiPriority w:val="1"/>
    <w:rsid w:val="008F0D5C"/>
    <w:pPr>
      <w:numPr>
        <w:numId w:val="39"/>
      </w:numPr>
      <w:tabs>
        <w:tab w:val="clear" w:pos="1080"/>
        <w:tab w:val="left" w:pos="864"/>
      </w:tabs>
      <w:ind w:left="864" w:hanging="288"/>
    </w:pPr>
    <w:rPr>
      <w:bCs/>
    </w:rPr>
  </w:style>
  <w:style w:type="paragraph" w:customStyle="1" w:styleId="Bullet3Single">
    <w:name w:val="*Bullet #3 Single"/>
    <w:basedOn w:val="Bullet3Double0"/>
    <w:uiPriority w:val="1"/>
    <w:rsid w:val="008F0D5C"/>
    <w:pPr>
      <w:numPr>
        <w:numId w:val="51"/>
      </w:numPr>
      <w:tabs>
        <w:tab w:val="clear" w:pos="1080"/>
      </w:tabs>
      <w:spacing w:after="0"/>
      <w:ind w:left="864" w:hanging="288"/>
    </w:pPr>
    <w:rPr>
      <w:bCs w:val="0"/>
    </w:rPr>
  </w:style>
  <w:style w:type="paragraph" w:customStyle="1" w:styleId="Bullet3SubtextDouble0">
    <w:name w:val="*Bullet #3 Subtext Double"/>
    <w:basedOn w:val="BodyText"/>
    <w:uiPriority w:val="1"/>
    <w:rsid w:val="008F0D5C"/>
    <w:pPr>
      <w:ind w:left="864"/>
    </w:pPr>
  </w:style>
  <w:style w:type="paragraph" w:customStyle="1" w:styleId="Bullet3SubtextSingle0">
    <w:name w:val="*Bullet #3 Subtext Single"/>
    <w:basedOn w:val="Bullet3SubtextDouble0"/>
    <w:uiPriority w:val="1"/>
    <w:rsid w:val="008F0D5C"/>
    <w:pPr>
      <w:spacing w:after="0"/>
    </w:pPr>
  </w:style>
  <w:style w:type="paragraph" w:customStyle="1" w:styleId="Bullet4Double">
    <w:name w:val="*Bullet #4 Double"/>
    <w:basedOn w:val="BodyText"/>
    <w:uiPriority w:val="1"/>
    <w:rsid w:val="008F0D5C"/>
    <w:pPr>
      <w:numPr>
        <w:numId w:val="42"/>
      </w:numPr>
      <w:tabs>
        <w:tab w:val="left" w:pos="1152"/>
      </w:tabs>
    </w:pPr>
  </w:style>
  <w:style w:type="paragraph" w:customStyle="1" w:styleId="Bullet4Single">
    <w:name w:val="*Bullet #4 Single"/>
    <w:basedOn w:val="Bullet4Double"/>
    <w:uiPriority w:val="1"/>
    <w:rsid w:val="008F0D5C"/>
    <w:pPr>
      <w:numPr>
        <w:numId w:val="43"/>
      </w:numPr>
      <w:spacing w:after="0"/>
    </w:pPr>
  </w:style>
  <w:style w:type="paragraph" w:customStyle="1" w:styleId="Bullet4SubtextDouble">
    <w:name w:val="*Bullet #4 Subtext Double"/>
    <w:basedOn w:val="BodyText"/>
    <w:uiPriority w:val="1"/>
    <w:qFormat/>
    <w:rsid w:val="008F0D5C"/>
    <w:pPr>
      <w:ind w:left="1166"/>
    </w:pPr>
  </w:style>
  <w:style w:type="paragraph" w:customStyle="1" w:styleId="Bullet4SubtextSingle">
    <w:name w:val="*Bullet #4 Subtext Single"/>
    <w:basedOn w:val="Bullet4SubtextDouble"/>
    <w:uiPriority w:val="1"/>
    <w:qFormat/>
    <w:rsid w:val="008F0D5C"/>
    <w:pPr>
      <w:spacing w:after="0"/>
    </w:pPr>
  </w:style>
  <w:style w:type="paragraph" w:customStyle="1" w:styleId="Bullet5Double">
    <w:name w:val="*Bullet #5 Double"/>
    <w:uiPriority w:val="1"/>
    <w:rsid w:val="008F0D5C"/>
    <w:pPr>
      <w:numPr>
        <w:numId w:val="40"/>
      </w:numPr>
      <w:tabs>
        <w:tab w:val="clear" w:pos="1800"/>
        <w:tab w:val="left" w:pos="1440"/>
      </w:tabs>
      <w:spacing w:after="120" w:line="240" w:lineRule="auto"/>
      <w:ind w:left="1440" w:hanging="288"/>
    </w:pPr>
    <w:rPr>
      <w:rFonts w:ascii="Arial" w:eastAsia="PMingLiU" w:hAnsi="Arial" w:cs="Times New Roman"/>
      <w:color w:val="2B3A44"/>
      <w:szCs w:val="20"/>
      <w:lang w:bidi="ar-DZ"/>
    </w:rPr>
  </w:style>
  <w:style w:type="paragraph" w:customStyle="1" w:styleId="Bullet5Single">
    <w:name w:val="*Bullet #5 Single"/>
    <w:basedOn w:val="Bullet5Double"/>
    <w:uiPriority w:val="1"/>
    <w:rsid w:val="008F0D5C"/>
    <w:pPr>
      <w:numPr>
        <w:numId w:val="52"/>
      </w:numPr>
      <w:tabs>
        <w:tab w:val="clear" w:pos="1800"/>
      </w:tabs>
      <w:spacing w:after="0"/>
      <w:ind w:left="1440" w:hanging="288"/>
    </w:pPr>
  </w:style>
  <w:style w:type="paragraph" w:customStyle="1" w:styleId="Bullet5SubtextDouble">
    <w:name w:val="*Bullet #5 Subtext Double"/>
    <w:basedOn w:val="BodyText"/>
    <w:uiPriority w:val="1"/>
    <w:qFormat/>
    <w:rsid w:val="008F0D5C"/>
    <w:pPr>
      <w:ind w:left="1440"/>
    </w:pPr>
  </w:style>
  <w:style w:type="paragraph" w:customStyle="1" w:styleId="Bullet5SubtextSingle">
    <w:name w:val="*Bullet #5 Subtext Single"/>
    <w:basedOn w:val="Bullet5SubtextDouble"/>
    <w:uiPriority w:val="1"/>
    <w:qFormat/>
    <w:rsid w:val="008F0D5C"/>
    <w:pPr>
      <w:spacing w:after="0"/>
    </w:pPr>
  </w:style>
  <w:style w:type="paragraph" w:customStyle="1" w:styleId="ConfidentialityNotice">
    <w:name w:val="*Confidentiality Notice"/>
    <w:basedOn w:val="BodyText"/>
    <w:uiPriority w:val="1"/>
    <w:rsid w:val="008F0D5C"/>
    <w:rPr>
      <w:sz w:val="18"/>
    </w:rPr>
  </w:style>
  <w:style w:type="paragraph" w:customStyle="1" w:styleId="CoverText1">
    <w:name w:val="*Cover Text 1"/>
    <w:basedOn w:val="BodyText"/>
    <w:uiPriority w:val="1"/>
    <w:rsid w:val="008F0D5C"/>
    <w:pPr>
      <w:spacing w:before="640" w:line="680" w:lineRule="exact"/>
    </w:pPr>
    <w:rPr>
      <w:b/>
      <w:sz w:val="64"/>
      <w:szCs w:val="44"/>
    </w:rPr>
  </w:style>
  <w:style w:type="paragraph" w:customStyle="1" w:styleId="CoverText2">
    <w:name w:val="*Cover Text 2"/>
    <w:basedOn w:val="BodyText"/>
    <w:uiPriority w:val="1"/>
    <w:qFormat/>
    <w:rsid w:val="008F0D5C"/>
    <w:pPr>
      <w:spacing w:before="120" w:line="360" w:lineRule="exact"/>
    </w:pPr>
    <w:rPr>
      <w:sz w:val="28"/>
      <w:szCs w:val="24"/>
    </w:rPr>
  </w:style>
  <w:style w:type="paragraph" w:customStyle="1" w:styleId="CoverText3">
    <w:name w:val="*Cover Text 3"/>
    <w:basedOn w:val="CoverText2"/>
    <w:uiPriority w:val="1"/>
    <w:rsid w:val="008F0D5C"/>
    <w:rPr>
      <w:rFonts w:cs="Arial"/>
      <w:color w:val="000000"/>
      <w:sz w:val="32"/>
      <w:szCs w:val="32"/>
    </w:rPr>
  </w:style>
  <w:style w:type="paragraph" w:customStyle="1" w:styleId="CvrLtrBodyText">
    <w:name w:val="*Cvr Ltr Body Text"/>
    <w:basedOn w:val="BodyText"/>
    <w:qFormat/>
    <w:rsid w:val="008F0D5C"/>
    <w:pPr>
      <w:spacing w:after="0" w:line="280" w:lineRule="exact"/>
    </w:pPr>
    <w:rPr>
      <w:szCs w:val="22"/>
    </w:rPr>
  </w:style>
  <w:style w:type="paragraph" w:customStyle="1" w:styleId="CvrLtrBullet1Single">
    <w:name w:val="*Cvr Ltr Bullet #1 Single"/>
    <w:basedOn w:val="Bullet1Single0"/>
    <w:qFormat/>
    <w:rsid w:val="008F0D5C"/>
    <w:pPr>
      <w:numPr>
        <w:numId w:val="49"/>
      </w:numPr>
      <w:spacing w:line="280" w:lineRule="exact"/>
      <w:ind w:left="288" w:hanging="288"/>
    </w:pPr>
    <w:rPr>
      <w:szCs w:val="22"/>
    </w:rPr>
  </w:style>
  <w:style w:type="paragraph" w:customStyle="1" w:styleId="CvrLtrBullet1Double">
    <w:name w:val="*Cvr Ltr Bullet #1 Double"/>
    <w:basedOn w:val="CvrLtrBullet1Single"/>
    <w:qFormat/>
    <w:rsid w:val="008F0D5C"/>
    <w:pPr>
      <w:numPr>
        <w:numId w:val="50"/>
      </w:numPr>
      <w:spacing w:after="120"/>
      <w:ind w:left="288" w:hanging="288"/>
    </w:pPr>
  </w:style>
  <w:style w:type="paragraph" w:customStyle="1" w:styleId="CvrLtrBullet2Single">
    <w:name w:val="*Cvr Ltr Bullet #2 Single"/>
    <w:basedOn w:val="Bullet2Single0"/>
    <w:qFormat/>
    <w:rsid w:val="008F0D5C"/>
    <w:pPr>
      <w:spacing w:line="280" w:lineRule="exact"/>
    </w:pPr>
    <w:rPr>
      <w:noProof/>
      <w:szCs w:val="22"/>
    </w:rPr>
  </w:style>
  <w:style w:type="paragraph" w:customStyle="1" w:styleId="CvrLtrBullet2Double">
    <w:name w:val="*Cvr Ltr Bullet #2 Double"/>
    <w:basedOn w:val="CvrLtrBullet2Single"/>
    <w:qFormat/>
    <w:rsid w:val="008F0D5C"/>
    <w:pPr>
      <w:spacing w:after="120"/>
    </w:pPr>
  </w:style>
  <w:style w:type="paragraph" w:customStyle="1" w:styleId="ContactInfo">
    <w:name w:val="Contact Info"/>
    <w:basedOn w:val="Normal"/>
    <w:uiPriority w:val="9"/>
    <w:semiHidden/>
    <w:qFormat/>
    <w:rsid w:val="008F0D5C"/>
    <w:pPr>
      <w:tabs>
        <w:tab w:val="left" w:pos="216"/>
      </w:tabs>
      <w:spacing w:line="240" w:lineRule="atLeast"/>
    </w:pPr>
    <w:rPr>
      <w:rFonts w:asciiTheme="minorHAnsi" w:eastAsiaTheme="minorHAnsi" w:hAnsiTheme="minorHAnsi" w:cstheme="minorBidi"/>
      <w:color w:val="auto"/>
      <w:sz w:val="16"/>
      <w:szCs w:val="16"/>
    </w:rPr>
  </w:style>
  <w:style w:type="paragraph" w:customStyle="1" w:styleId="CvrLtrDetail">
    <w:name w:val="*Cvr Ltr Detail"/>
    <w:basedOn w:val="BodyText"/>
    <w:qFormat/>
    <w:rsid w:val="008F0D5C"/>
    <w:pPr>
      <w:spacing w:after="20" w:line="220" w:lineRule="exact"/>
    </w:pPr>
    <w:rPr>
      <w:bCs/>
      <w:sz w:val="14"/>
      <w:szCs w:val="14"/>
    </w:rPr>
  </w:style>
  <w:style w:type="paragraph" w:customStyle="1" w:styleId="FigureCaptionAuto">
    <w:name w:val="*Figure Caption Auto#"/>
    <w:basedOn w:val="Normal"/>
    <w:next w:val="BodyText"/>
    <w:uiPriority w:val="1"/>
    <w:qFormat/>
    <w:rsid w:val="008F0D5C"/>
    <w:pPr>
      <w:keepNext/>
      <w:keepLines/>
      <w:numPr>
        <w:numId w:val="28"/>
      </w:numPr>
      <w:spacing w:before="60" w:after="120"/>
      <w:ind w:left="1080" w:hanging="1080"/>
    </w:pPr>
    <w:rPr>
      <w:rFonts w:ascii="Arial Narrow" w:hAnsi="Arial Narrow"/>
      <w:b/>
      <w:color w:val="2B3A44"/>
      <w:szCs w:val="18"/>
    </w:rPr>
  </w:style>
  <w:style w:type="paragraph" w:customStyle="1" w:styleId="Heading10">
    <w:name w:val="*Heading 1"/>
    <w:basedOn w:val="BodyText"/>
    <w:next w:val="BodyText"/>
    <w:uiPriority w:val="1"/>
    <w:qFormat/>
    <w:rsid w:val="008F0D5C"/>
    <w:pPr>
      <w:keepNext/>
      <w:keepLines/>
      <w:pageBreakBefore/>
      <w:pBdr>
        <w:bottom w:val="single" w:sz="8" w:space="1" w:color="00EEAE"/>
      </w:pBdr>
      <w:outlineLvl w:val="0"/>
    </w:pPr>
    <w:rPr>
      <w:rFonts w:ascii="Arial Bold" w:eastAsia="Times New Roman" w:hAnsi="Arial Bold" w:cs="Arial"/>
      <w:b/>
      <w:sz w:val="48"/>
      <w:szCs w:val="22"/>
    </w:rPr>
  </w:style>
  <w:style w:type="paragraph" w:customStyle="1" w:styleId="Heading20">
    <w:name w:val="*Heading 2"/>
    <w:next w:val="BodyText"/>
    <w:uiPriority w:val="1"/>
    <w:qFormat/>
    <w:rsid w:val="008F0D5C"/>
    <w:pPr>
      <w:keepNext/>
      <w:keepLines/>
      <w:pBdr>
        <w:bottom w:val="single" w:sz="4" w:space="1" w:color="00EEAE"/>
      </w:pBdr>
      <w:spacing w:before="240" w:after="120" w:line="240" w:lineRule="auto"/>
      <w:outlineLvl w:val="1"/>
    </w:pPr>
    <w:rPr>
      <w:rFonts w:ascii="Arial" w:eastAsia="PMingLiU" w:hAnsi="Arial" w:cs="Times New Roman"/>
      <w:b/>
      <w:bCs/>
      <w:color w:val="2B3A44"/>
      <w:sz w:val="44"/>
      <w:szCs w:val="32"/>
      <w:lang w:bidi="ar-DZ"/>
    </w:rPr>
  </w:style>
  <w:style w:type="paragraph" w:customStyle="1" w:styleId="Heading30">
    <w:name w:val="*Heading 3"/>
    <w:next w:val="BodyText"/>
    <w:uiPriority w:val="1"/>
    <w:qFormat/>
    <w:rsid w:val="008F0D5C"/>
    <w:pPr>
      <w:keepNext/>
      <w:keepLines/>
      <w:spacing w:before="240" w:after="120" w:line="240" w:lineRule="auto"/>
      <w:outlineLvl w:val="2"/>
    </w:pPr>
    <w:rPr>
      <w:rFonts w:ascii="Arial Bold" w:eastAsia="PMingLiU" w:hAnsi="Arial Bold" w:cs="Times New Roman"/>
      <w:b/>
      <w:color w:val="2B3A44"/>
      <w:sz w:val="40"/>
      <w:szCs w:val="24"/>
      <w:lang w:bidi="ar-DZ"/>
    </w:rPr>
  </w:style>
  <w:style w:type="paragraph" w:customStyle="1" w:styleId="Heading40">
    <w:name w:val="*Heading 4"/>
    <w:next w:val="BodyText"/>
    <w:uiPriority w:val="1"/>
    <w:qFormat/>
    <w:rsid w:val="008F0D5C"/>
    <w:pPr>
      <w:keepNext/>
      <w:keepLines/>
      <w:spacing w:before="240" w:after="120" w:line="240" w:lineRule="auto"/>
      <w:outlineLvl w:val="3"/>
    </w:pPr>
    <w:rPr>
      <w:rFonts w:ascii="Arial Bold" w:eastAsia="PMingLiU" w:hAnsi="Arial Bold" w:cs="Times New Roman"/>
      <w:b/>
      <w:color w:val="2B3A44"/>
      <w:sz w:val="36"/>
      <w:szCs w:val="24"/>
      <w:lang w:bidi="ar-DZ"/>
    </w:rPr>
  </w:style>
  <w:style w:type="paragraph" w:customStyle="1" w:styleId="Heading50">
    <w:name w:val="*Heading 5"/>
    <w:next w:val="BodyText"/>
    <w:uiPriority w:val="1"/>
    <w:qFormat/>
    <w:rsid w:val="008F0D5C"/>
    <w:pPr>
      <w:keepNext/>
      <w:keepLines/>
      <w:spacing w:before="240" w:after="120" w:line="240" w:lineRule="auto"/>
      <w:outlineLvl w:val="4"/>
    </w:pPr>
    <w:rPr>
      <w:rFonts w:ascii="Arial Bold" w:eastAsia="PMingLiU" w:hAnsi="Arial Bold" w:cs="Times New Roman"/>
      <w:b/>
      <w:color w:val="2B3A44"/>
      <w:sz w:val="32"/>
      <w:szCs w:val="24"/>
      <w:lang w:bidi="ar-DZ"/>
    </w:rPr>
  </w:style>
  <w:style w:type="paragraph" w:customStyle="1" w:styleId="Heading60">
    <w:name w:val="*Heading 6"/>
    <w:next w:val="BodyText"/>
    <w:uiPriority w:val="1"/>
    <w:rsid w:val="008F0D5C"/>
    <w:pPr>
      <w:keepNext/>
      <w:keepLines/>
      <w:spacing w:before="240" w:after="120" w:line="240" w:lineRule="auto"/>
      <w:outlineLvl w:val="5"/>
    </w:pPr>
    <w:rPr>
      <w:rFonts w:ascii="Arial Bold" w:eastAsia="PMingLiU" w:hAnsi="Arial Bold" w:cs="Times New Roman"/>
      <w:b/>
      <w:color w:val="2B3A44"/>
      <w:sz w:val="28"/>
      <w:szCs w:val="20"/>
      <w:lang w:bidi="ar-DZ"/>
    </w:rPr>
  </w:style>
  <w:style w:type="paragraph" w:customStyle="1" w:styleId="HeadingManual1">
    <w:name w:val="*Heading Manual#1"/>
    <w:basedOn w:val="Heading10"/>
    <w:next w:val="BodyText"/>
    <w:uiPriority w:val="1"/>
    <w:qFormat/>
    <w:rsid w:val="008F0D5C"/>
    <w:pPr>
      <w:ind w:left="1080" w:hanging="1080"/>
    </w:pPr>
    <w:rPr>
      <w:b w:val="0"/>
    </w:rPr>
  </w:style>
  <w:style w:type="paragraph" w:customStyle="1" w:styleId="HeadingManual2">
    <w:name w:val="*Heading Manual#2"/>
    <w:basedOn w:val="Heading20"/>
    <w:next w:val="BodyText"/>
    <w:uiPriority w:val="1"/>
    <w:qFormat/>
    <w:rsid w:val="008F0D5C"/>
    <w:pPr>
      <w:ind w:left="1080" w:hanging="1080"/>
    </w:pPr>
  </w:style>
  <w:style w:type="paragraph" w:customStyle="1" w:styleId="HeadingManual3">
    <w:name w:val="*Heading Manual#3"/>
    <w:basedOn w:val="Heading30"/>
    <w:next w:val="BodyText"/>
    <w:uiPriority w:val="1"/>
    <w:qFormat/>
    <w:rsid w:val="008F0D5C"/>
    <w:pPr>
      <w:ind w:left="1440" w:hanging="1440"/>
    </w:pPr>
  </w:style>
  <w:style w:type="paragraph" w:customStyle="1" w:styleId="HeadingManual4">
    <w:name w:val="*Heading Manual#4"/>
    <w:basedOn w:val="Heading40"/>
    <w:next w:val="BodyText"/>
    <w:uiPriority w:val="1"/>
    <w:qFormat/>
    <w:rsid w:val="008F0D5C"/>
    <w:pPr>
      <w:ind w:left="1440" w:hanging="1440"/>
    </w:pPr>
  </w:style>
  <w:style w:type="paragraph" w:customStyle="1" w:styleId="HeadingManual5">
    <w:name w:val="*Heading Manual#5"/>
    <w:basedOn w:val="Heading50"/>
    <w:next w:val="BodyText"/>
    <w:uiPriority w:val="1"/>
    <w:rsid w:val="008F0D5C"/>
    <w:pPr>
      <w:ind w:left="1728" w:hanging="1728"/>
    </w:pPr>
  </w:style>
  <w:style w:type="paragraph" w:customStyle="1" w:styleId="HeadingManual6">
    <w:name w:val="*Heading Manual#6"/>
    <w:basedOn w:val="Heading60"/>
    <w:next w:val="BodyText"/>
    <w:uiPriority w:val="1"/>
    <w:rsid w:val="008F0D5C"/>
    <w:pPr>
      <w:ind w:left="1728" w:hanging="1728"/>
    </w:pPr>
  </w:style>
  <w:style w:type="paragraph" w:customStyle="1" w:styleId="LeadInText">
    <w:name w:val="*LeadInText"/>
    <w:uiPriority w:val="1"/>
    <w:qFormat/>
    <w:rsid w:val="008F0D5C"/>
    <w:pPr>
      <w:spacing w:after="120" w:line="280" w:lineRule="exact"/>
    </w:pPr>
    <w:rPr>
      <w:rFonts w:ascii="Arial Bold" w:eastAsia="PMingLiU" w:hAnsi="Arial Bold" w:cs="Times New Roman"/>
      <w:b/>
      <w:color w:val="2B3A44"/>
      <w:sz w:val="24"/>
      <w:szCs w:val="20"/>
      <w:lang w:bidi="ar-DZ"/>
    </w:rPr>
  </w:style>
  <w:style w:type="paragraph" w:customStyle="1" w:styleId="NoticeHeading">
    <w:name w:val="*Notice Heading"/>
    <w:basedOn w:val="Heading10"/>
    <w:next w:val="ConfidentialityNotice"/>
    <w:uiPriority w:val="1"/>
    <w:rsid w:val="008F0D5C"/>
    <w:pPr>
      <w:outlineLvl w:val="9"/>
    </w:pPr>
    <w:rPr>
      <w:szCs w:val="36"/>
    </w:rPr>
  </w:style>
  <w:style w:type="paragraph" w:customStyle="1" w:styleId="Numbers1Single">
    <w:name w:val="*Numbers #1 Single"/>
    <w:basedOn w:val="Normal"/>
    <w:uiPriority w:val="1"/>
    <w:rsid w:val="008F0D5C"/>
    <w:pPr>
      <w:spacing w:line="240" w:lineRule="atLeast"/>
      <w:ind w:left="425" w:hanging="425"/>
    </w:pPr>
    <w:rPr>
      <w:color w:val="2B3A44"/>
    </w:rPr>
  </w:style>
  <w:style w:type="paragraph" w:customStyle="1" w:styleId="Numbers1Double">
    <w:name w:val="*Numbers #1 Double"/>
    <w:basedOn w:val="Numbers1Single"/>
    <w:uiPriority w:val="1"/>
    <w:rsid w:val="008F0D5C"/>
    <w:pPr>
      <w:spacing w:after="120"/>
      <w:ind w:left="426" w:hanging="426"/>
    </w:pPr>
  </w:style>
  <w:style w:type="paragraph" w:customStyle="1" w:styleId="Numbers2Single">
    <w:name w:val="*Numbers #2 Single"/>
    <w:basedOn w:val="Normal"/>
    <w:uiPriority w:val="1"/>
    <w:qFormat/>
    <w:rsid w:val="008F0D5C"/>
    <w:pPr>
      <w:spacing w:line="240" w:lineRule="atLeast"/>
      <w:ind w:left="850" w:hanging="425"/>
    </w:pPr>
    <w:rPr>
      <w:color w:val="2B3A44"/>
    </w:rPr>
  </w:style>
  <w:style w:type="paragraph" w:customStyle="1" w:styleId="Numbers2Double">
    <w:name w:val="*Numbers #2 Double"/>
    <w:basedOn w:val="Numbers2Single"/>
    <w:uiPriority w:val="1"/>
    <w:qFormat/>
    <w:rsid w:val="008F0D5C"/>
    <w:pPr>
      <w:spacing w:after="120"/>
      <w:ind w:left="851"/>
    </w:pPr>
  </w:style>
  <w:style w:type="paragraph" w:customStyle="1" w:styleId="Numbers3Single">
    <w:name w:val="*Numbers #3 Single"/>
    <w:basedOn w:val="Normal"/>
    <w:uiPriority w:val="1"/>
    <w:qFormat/>
    <w:rsid w:val="008F0D5C"/>
    <w:pPr>
      <w:spacing w:line="240" w:lineRule="atLeast"/>
      <w:ind w:left="1418" w:hanging="567"/>
    </w:pPr>
    <w:rPr>
      <w:color w:val="2B3A44"/>
    </w:rPr>
  </w:style>
  <w:style w:type="paragraph" w:customStyle="1" w:styleId="Numbers3Double">
    <w:name w:val="*Numbers #3 Double"/>
    <w:basedOn w:val="Numbers3Single"/>
    <w:uiPriority w:val="1"/>
    <w:qFormat/>
    <w:rsid w:val="008F0D5C"/>
    <w:pPr>
      <w:spacing w:after="120"/>
    </w:pPr>
  </w:style>
  <w:style w:type="paragraph" w:customStyle="1" w:styleId="Numbers4Single">
    <w:name w:val="*Numbers #4 Single"/>
    <w:basedOn w:val="Normal"/>
    <w:uiPriority w:val="1"/>
    <w:qFormat/>
    <w:rsid w:val="008F0D5C"/>
    <w:pPr>
      <w:spacing w:line="240" w:lineRule="atLeast"/>
      <w:ind w:left="2269" w:hanging="851"/>
    </w:pPr>
    <w:rPr>
      <w:color w:val="2B3A44"/>
    </w:rPr>
  </w:style>
  <w:style w:type="paragraph" w:customStyle="1" w:styleId="Numbers4Double">
    <w:name w:val="*Numbers #4 Double"/>
    <w:basedOn w:val="Numbers4Single"/>
    <w:uiPriority w:val="1"/>
    <w:qFormat/>
    <w:rsid w:val="008F0D5C"/>
    <w:pPr>
      <w:spacing w:after="120"/>
      <w:ind w:left="2268" w:hanging="850"/>
    </w:pPr>
  </w:style>
  <w:style w:type="paragraph" w:customStyle="1" w:styleId="Numbers5Single">
    <w:name w:val="*Numbers #5 Single"/>
    <w:basedOn w:val="Normal"/>
    <w:uiPriority w:val="1"/>
    <w:qFormat/>
    <w:rsid w:val="008F0D5C"/>
    <w:pPr>
      <w:spacing w:line="240" w:lineRule="atLeast"/>
      <w:ind w:left="3260" w:hanging="992"/>
    </w:pPr>
    <w:rPr>
      <w:color w:val="2B3A44"/>
    </w:rPr>
  </w:style>
  <w:style w:type="paragraph" w:customStyle="1" w:styleId="Numbers5Double">
    <w:name w:val="*Numbers #5 Double"/>
    <w:basedOn w:val="Numbers5Single"/>
    <w:uiPriority w:val="1"/>
    <w:qFormat/>
    <w:rsid w:val="008F0D5C"/>
    <w:pPr>
      <w:spacing w:after="120"/>
      <w:ind w:left="3261" w:hanging="993"/>
    </w:pPr>
  </w:style>
  <w:style w:type="paragraph" w:customStyle="1" w:styleId="NumbersAutoSingle">
    <w:name w:val="*Numbers (Auto) Single"/>
    <w:basedOn w:val="BodyText"/>
    <w:uiPriority w:val="1"/>
    <w:rsid w:val="008F0D5C"/>
    <w:pPr>
      <w:numPr>
        <w:numId w:val="2"/>
      </w:numPr>
      <w:spacing w:after="0"/>
    </w:pPr>
  </w:style>
  <w:style w:type="paragraph" w:customStyle="1" w:styleId="NumbersAutoBold">
    <w:name w:val="*Numbers (Auto) Bold"/>
    <w:basedOn w:val="BodyText"/>
    <w:uiPriority w:val="1"/>
    <w:rsid w:val="008F0D5C"/>
    <w:pPr>
      <w:numPr>
        <w:numId w:val="3"/>
      </w:numPr>
      <w:spacing w:after="0"/>
    </w:pPr>
    <w:rPr>
      <w:b/>
    </w:rPr>
  </w:style>
  <w:style w:type="paragraph" w:customStyle="1" w:styleId="NumbersAutoDouble0">
    <w:name w:val="*Numbers (Auto) Double"/>
    <w:basedOn w:val="BodyText"/>
    <w:uiPriority w:val="1"/>
    <w:rsid w:val="008F0D5C"/>
    <w:pPr>
      <w:numPr>
        <w:numId w:val="4"/>
      </w:numPr>
    </w:pPr>
  </w:style>
  <w:style w:type="paragraph" w:customStyle="1" w:styleId="NumbersAutoBoldDouble">
    <w:name w:val="*Numbers (Auto) Bold Double"/>
    <w:basedOn w:val="NumbersAutoDouble0"/>
    <w:uiPriority w:val="1"/>
    <w:qFormat/>
    <w:rsid w:val="008F0D5C"/>
    <w:pPr>
      <w:numPr>
        <w:numId w:val="5"/>
      </w:numPr>
    </w:pPr>
    <w:rPr>
      <w:b/>
    </w:rPr>
  </w:style>
  <w:style w:type="paragraph" w:customStyle="1" w:styleId="NumbersBold">
    <w:name w:val="*Numbers Bold"/>
    <w:basedOn w:val="Numbers1Single"/>
    <w:uiPriority w:val="1"/>
    <w:rsid w:val="008F0D5C"/>
    <w:rPr>
      <w:b/>
    </w:rPr>
  </w:style>
  <w:style w:type="paragraph" w:customStyle="1" w:styleId="NumbersBoldDouble">
    <w:name w:val="*Numbers Bold Double"/>
    <w:basedOn w:val="Numbers1Double"/>
    <w:uiPriority w:val="1"/>
    <w:qFormat/>
    <w:rsid w:val="008F0D5C"/>
    <w:rPr>
      <w:b/>
    </w:rPr>
  </w:style>
  <w:style w:type="paragraph" w:customStyle="1" w:styleId="NumbersDouble">
    <w:name w:val="*Numbers Double"/>
    <w:basedOn w:val="Numbers1Double"/>
    <w:uiPriority w:val="1"/>
    <w:qFormat/>
    <w:rsid w:val="008F0D5C"/>
  </w:style>
  <w:style w:type="paragraph" w:customStyle="1" w:styleId="NumbersSingle">
    <w:name w:val="*Numbers Single"/>
    <w:basedOn w:val="Numbers1Single"/>
    <w:uiPriority w:val="1"/>
    <w:qFormat/>
    <w:rsid w:val="008F0D5C"/>
  </w:style>
  <w:style w:type="paragraph" w:customStyle="1" w:styleId="ProprietaryNotice">
    <w:name w:val="*Proprietary Notice"/>
    <w:uiPriority w:val="1"/>
    <w:rsid w:val="008F0D5C"/>
    <w:pPr>
      <w:spacing w:after="0" w:line="200" w:lineRule="exact"/>
    </w:pPr>
    <w:rPr>
      <w:rFonts w:ascii="Arial" w:eastAsia="PMingLiU" w:hAnsi="Arial" w:cs="Times New Roman"/>
      <w:sz w:val="16"/>
      <w:szCs w:val="16"/>
      <w:lang w:bidi="ar-DZ"/>
    </w:rPr>
  </w:style>
  <w:style w:type="paragraph" w:customStyle="1" w:styleId="Quotation">
    <w:name w:val="*Quotation"/>
    <w:basedOn w:val="Normal"/>
    <w:uiPriority w:val="1"/>
    <w:qFormat/>
    <w:rsid w:val="008F0D5C"/>
    <w:pPr>
      <w:spacing w:after="120"/>
      <w:ind w:left="720" w:right="720"/>
    </w:pPr>
    <w:rPr>
      <w:color w:val="2B3A44"/>
    </w:rPr>
  </w:style>
  <w:style w:type="paragraph" w:customStyle="1" w:styleId="QuotationAttribute">
    <w:name w:val="*Quotation Attribute"/>
    <w:uiPriority w:val="1"/>
    <w:qFormat/>
    <w:rsid w:val="008F0D5C"/>
    <w:pPr>
      <w:numPr>
        <w:numId w:val="29"/>
      </w:numPr>
      <w:spacing w:after="200"/>
      <w:ind w:right="720"/>
    </w:pPr>
    <w:rPr>
      <w:rFonts w:ascii="Arial" w:eastAsia="PMingLiU" w:hAnsi="Arial" w:cs="Times New Roman"/>
      <w:i/>
      <w:color w:val="2B3A44"/>
      <w:szCs w:val="20"/>
      <w:lang w:bidi="ar-DZ"/>
    </w:rPr>
  </w:style>
  <w:style w:type="paragraph" w:customStyle="1" w:styleId="Subheading">
    <w:name w:val="*Subheading"/>
    <w:basedOn w:val="BodyText"/>
    <w:next w:val="BodyText"/>
    <w:uiPriority w:val="1"/>
    <w:rsid w:val="008F0D5C"/>
    <w:pPr>
      <w:keepNext/>
      <w:spacing w:before="240" w:after="60"/>
    </w:pPr>
    <w:rPr>
      <w:b/>
    </w:rPr>
  </w:style>
  <w:style w:type="paragraph" w:customStyle="1" w:styleId="Subheading2">
    <w:name w:val="*Subheading 2"/>
    <w:basedOn w:val="Subheading"/>
    <w:next w:val="BodyText"/>
    <w:uiPriority w:val="1"/>
    <w:qFormat/>
    <w:rsid w:val="008F0D5C"/>
    <w:rPr>
      <w:i/>
    </w:rPr>
  </w:style>
  <w:style w:type="paragraph" w:customStyle="1" w:styleId="TableCaptionAuto">
    <w:name w:val="*Table Caption Auto#"/>
    <w:basedOn w:val="Normal"/>
    <w:next w:val="BodyText"/>
    <w:uiPriority w:val="1"/>
    <w:rsid w:val="008F0D5C"/>
    <w:pPr>
      <w:keepNext/>
      <w:numPr>
        <w:numId w:val="30"/>
      </w:numPr>
      <w:tabs>
        <w:tab w:val="clear" w:pos="432"/>
        <w:tab w:val="left" w:pos="1080"/>
      </w:tabs>
      <w:spacing w:before="60" w:after="120"/>
      <w:ind w:left="1080" w:hanging="1080"/>
    </w:pPr>
    <w:rPr>
      <w:rFonts w:ascii="Arial Narrow" w:hAnsi="Arial Narrow"/>
      <w:b/>
      <w:color w:val="2B3A44"/>
      <w:szCs w:val="18"/>
    </w:rPr>
  </w:style>
  <w:style w:type="paragraph" w:customStyle="1" w:styleId="TableText10Single">
    <w:name w:val="*Table Text 10 Single"/>
    <w:basedOn w:val="BodyText"/>
    <w:uiPriority w:val="1"/>
    <w:rsid w:val="008F0D5C"/>
    <w:pPr>
      <w:spacing w:after="0"/>
    </w:pPr>
    <w:rPr>
      <w:sz w:val="20"/>
    </w:rPr>
  </w:style>
  <w:style w:type="paragraph" w:customStyle="1" w:styleId="TableText10Double">
    <w:name w:val="*Table Text 10 Double"/>
    <w:basedOn w:val="TableText10Single"/>
    <w:uiPriority w:val="1"/>
    <w:rsid w:val="008F0D5C"/>
    <w:pPr>
      <w:spacing w:after="60"/>
    </w:pPr>
  </w:style>
  <w:style w:type="paragraph" w:customStyle="1" w:styleId="TableText10BoldDouble">
    <w:name w:val="*Table Text 10 Bold Double"/>
    <w:basedOn w:val="TableText10Double"/>
    <w:uiPriority w:val="1"/>
    <w:qFormat/>
    <w:rsid w:val="008F0D5C"/>
    <w:rPr>
      <w:b/>
    </w:rPr>
  </w:style>
  <w:style w:type="paragraph" w:customStyle="1" w:styleId="TableHeading10">
    <w:name w:val="*Table Heading 10"/>
    <w:basedOn w:val="TableText10BoldDouble"/>
    <w:uiPriority w:val="1"/>
    <w:qFormat/>
    <w:rsid w:val="008F0D5C"/>
  </w:style>
  <w:style w:type="paragraph" w:customStyle="1" w:styleId="TableText11Single">
    <w:name w:val="*Table Text 11 Single"/>
    <w:basedOn w:val="TableText10Single"/>
    <w:uiPriority w:val="1"/>
    <w:rsid w:val="008F0D5C"/>
    <w:rPr>
      <w:sz w:val="22"/>
    </w:rPr>
  </w:style>
  <w:style w:type="paragraph" w:customStyle="1" w:styleId="TableText11Double">
    <w:name w:val="*Table Text 11 Double"/>
    <w:basedOn w:val="TableText11Single"/>
    <w:uiPriority w:val="1"/>
    <w:rsid w:val="008F0D5C"/>
    <w:pPr>
      <w:spacing w:after="60"/>
    </w:pPr>
  </w:style>
  <w:style w:type="paragraph" w:customStyle="1" w:styleId="TableText11BoldDouble">
    <w:name w:val="*Table Text 11 Bold Double"/>
    <w:basedOn w:val="TableText11Double"/>
    <w:uiPriority w:val="1"/>
    <w:qFormat/>
    <w:rsid w:val="008F0D5C"/>
    <w:rPr>
      <w:b/>
    </w:rPr>
  </w:style>
  <w:style w:type="paragraph" w:customStyle="1" w:styleId="TableHeading11">
    <w:name w:val="*Table Heading 11"/>
    <w:basedOn w:val="TableText11BoldDouble"/>
    <w:uiPriority w:val="1"/>
    <w:rsid w:val="008F0D5C"/>
  </w:style>
  <w:style w:type="paragraph" w:customStyle="1" w:styleId="TableText8Single">
    <w:name w:val="*Table Text 8 Single"/>
    <w:basedOn w:val="TableText10Single"/>
    <w:uiPriority w:val="1"/>
    <w:rsid w:val="008F0D5C"/>
    <w:rPr>
      <w:sz w:val="16"/>
    </w:rPr>
  </w:style>
  <w:style w:type="paragraph" w:customStyle="1" w:styleId="TableText8Double">
    <w:name w:val="*Table Text 8 Double"/>
    <w:basedOn w:val="TableText8Single"/>
    <w:uiPriority w:val="1"/>
    <w:rsid w:val="008F0D5C"/>
    <w:pPr>
      <w:spacing w:after="60"/>
    </w:pPr>
  </w:style>
  <w:style w:type="paragraph" w:customStyle="1" w:styleId="TableText8BoldDouble">
    <w:name w:val="*Table Text 8 Bold Double"/>
    <w:basedOn w:val="TableText8Double"/>
    <w:uiPriority w:val="1"/>
    <w:qFormat/>
    <w:rsid w:val="008F0D5C"/>
    <w:rPr>
      <w:b/>
    </w:rPr>
  </w:style>
  <w:style w:type="paragraph" w:customStyle="1" w:styleId="TableHeading8">
    <w:name w:val="*Table Heading 8"/>
    <w:basedOn w:val="TableText8BoldDouble"/>
    <w:uiPriority w:val="1"/>
    <w:rsid w:val="008F0D5C"/>
  </w:style>
  <w:style w:type="paragraph" w:customStyle="1" w:styleId="TableText9BoldDouble">
    <w:name w:val="*Table Text 9 Bold Double"/>
    <w:basedOn w:val="TableText10BoldDouble"/>
    <w:uiPriority w:val="1"/>
    <w:qFormat/>
    <w:rsid w:val="008F0D5C"/>
    <w:rPr>
      <w:sz w:val="18"/>
    </w:rPr>
  </w:style>
  <w:style w:type="paragraph" w:customStyle="1" w:styleId="TableSubheading10">
    <w:name w:val="*Table Subheading 10"/>
    <w:basedOn w:val="Normal"/>
    <w:uiPriority w:val="1"/>
    <w:rsid w:val="008F0D5C"/>
    <w:pPr>
      <w:keepNext/>
      <w:spacing w:after="60"/>
    </w:pPr>
    <w:rPr>
      <w:b/>
      <w:color w:val="2B3A44"/>
      <w:sz w:val="20"/>
    </w:rPr>
  </w:style>
  <w:style w:type="paragraph" w:customStyle="1" w:styleId="TableSubheading11">
    <w:name w:val="*Table Subheading 11"/>
    <w:basedOn w:val="TableSubheading10"/>
    <w:uiPriority w:val="1"/>
    <w:rsid w:val="008F0D5C"/>
    <w:rPr>
      <w:sz w:val="22"/>
    </w:rPr>
  </w:style>
  <w:style w:type="paragraph" w:customStyle="1" w:styleId="TableSubheading9">
    <w:name w:val="*Table Subheading 9"/>
    <w:basedOn w:val="TableSubheading10"/>
    <w:uiPriority w:val="1"/>
    <w:qFormat/>
    <w:rsid w:val="008F0D5C"/>
    <w:rPr>
      <w:sz w:val="18"/>
    </w:rPr>
  </w:style>
  <w:style w:type="paragraph" w:customStyle="1" w:styleId="TableSubheading8">
    <w:name w:val="*Table Subheading 8"/>
    <w:basedOn w:val="TableSubheading9"/>
    <w:uiPriority w:val="1"/>
    <w:rsid w:val="008F0D5C"/>
    <w:rPr>
      <w:sz w:val="16"/>
    </w:rPr>
  </w:style>
  <w:style w:type="paragraph" w:customStyle="1" w:styleId="TableText10BoldSingle">
    <w:name w:val="*Table Text 10 Bold Single"/>
    <w:basedOn w:val="TableText10Single"/>
    <w:uiPriority w:val="1"/>
    <w:qFormat/>
    <w:rsid w:val="008F0D5C"/>
    <w:rPr>
      <w:b/>
    </w:rPr>
  </w:style>
  <w:style w:type="paragraph" w:customStyle="1" w:styleId="TableText10Bullet1Double">
    <w:name w:val="*Table Text 10 Bullet #1 Double"/>
    <w:basedOn w:val="TableText10Bullet1Single"/>
    <w:uiPriority w:val="1"/>
    <w:rsid w:val="008F0D5C"/>
    <w:pPr>
      <w:spacing w:after="60"/>
    </w:pPr>
  </w:style>
  <w:style w:type="paragraph" w:customStyle="1" w:styleId="TableText10Bullet2Single">
    <w:name w:val="*Table Text 10 Bullet #2 Single"/>
    <w:uiPriority w:val="1"/>
    <w:rsid w:val="008F0D5C"/>
    <w:pPr>
      <w:numPr>
        <w:numId w:val="41"/>
      </w:numPr>
      <w:tabs>
        <w:tab w:val="left" w:pos="432"/>
      </w:tabs>
      <w:spacing w:after="20" w:line="240" w:lineRule="auto"/>
      <w:ind w:left="432" w:hanging="216"/>
    </w:pPr>
    <w:rPr>
      <w:rFonts w:ascii="Arial" w:eastAsia="PMingLiU" w:hAnsi="Arial" w:cs="Times New Roman"/>
      <w:color w:val="2B3A44"/>
      <w:sz w:val="20"/>
      <w:szCs w:val="20"/>
      <w:lang w:bidi="ar-DZ"/>
    </w:rPr>
  </w:style>
  <w:style w:type="paragraph" w:customStyle="1" w:styleId="TableText10Bullet2Double">
    <w:name w:val="*Table Text 10 Bullet #2 Double"/>
    <w:basedOn w:val="TableText10Bullet2Single"/>
    <w:uiPriority w:val="1"/>
    <w:rsid w:val="008F0D5C"/>
    <w:pPr>
      <w:numPr>
        <w:numId w:val="35"/>
      </w:numPr>
      <w:tabs>
        <w:tab w:val="clear" w:pos="216"/>
        <w:tab w:val="clear" w:pos="432"/>
      </w:tabs>
      <w:spacing w:after="60"/>
      <w:ind w:left="432" w:hanging="216"/>
    </w:pPr>
  </w:style>
  <w:style w:type="paragraph" w:customStyle="1" w:styleId="TableText10Bullet3Single">
    <w:name w:val="*Table Text 10 Bullet #3 Single"/>
    <w:basedOn w:val="TableText10Bullet1Single"/>
    <w:uiPriority w:val="1"/>
    <w:qFormat/>
    <w:rsid w:val="008F0D5C"/>
    <w:pPr>
      <w:tabs>
        <w:tab w:val="clear" w:pos="216"/>
      </w:tabs>
      <w:ind w:left="648"/>
    </w:pPr>
  </w:style>
  <w:style w:type="paragraph" w:customStyle="1" w:styleId="TableText10Bullet3Double">
    <w:name w:val="*Table Text 10 Bullet #3 Double"/>
    <w:basedOn w:val="TableText10Bullet3Single"/>
    <w:uiPriority w:val="1"/>
    <w:qFormat/>
    <w:rsid w:val="008F0D5C"/>
    <w:pPr>
      <w:spacing w:after="60"/>
    </w:pPr>
  </w:style>
  <w:style w:type="paragraph" w:customStyle="1" w:styleId="TableText11BoldSingle">
    <w:name w:val="*Table Text 11 Bold Single"/>
    <w:basedOn w:val="TableText11Single"/>
    <w:uiPriority w:val="1"/>
    <w:qFormat/>
    <w:rsid w:val="008F0D5C"/>
    <w:rPr>
      <w:b/>
    </w:rPr>
  </w:style>
  <w:style w:type="paragraph" w:customStyle="1" w:styleId="TableText11Bullet1Double">
    <w:name w:val="*Table Text 11 Bullet #1 Double"/>
    <w:basedOn w:val="TableText10Bullet1Double"/>
    <w:uiPriority w:val="1"/>
    <w:qFormat/>
    <w:rsid w:val="008F0D5C"/>
    <w:rPr>
      <w:sz w:val="22"/>
    </w:rPr>
  </w:style>
  <w:style w:type="paragraph" w:customStyle="1" w:styleId="TableText11Bullet1Single">
    <w:name w:val="*Table Text 11 Bullet #1 Single"/>
    <w:basedOn w:val="TableText10Bullet1Single"/>
    <w:uiPriority w:val="1"/>
    <w:qFormat/>
    <w:rsid w:val="008F0D5C"/>
    <w:rPr>
      <w:sz w:val="22"/>
    </w:rPr>
  </w:style>
  <w:style w:type="paragraph" w:customStyle="1" w:styleId="TableText11Bullet2Double">
    <w:name w:val="*Table Text 11 Bullet #2 Double"/>
    <w:basedOn w:val="TableText10Bullet2Double"/>
    <w:uiPriority w:val="1"/>
    <w:qFormat/>
    <w:rsid w:val="008F0D5C"/>
    <w:rPr>
      <w:sz w:val="22"/>
    </w:rPr>
  </w:style>
  <w:style w:type="paragraph" w:customStyle="1" w:styleId="TableText11Bullet2Single">
    <w:name w:val="*Table Text 11 Bullet #2 Single"/>
    <w:basedOn w:val="TableText10Bullet2Single"/>
    <w:uiPriority w:val="1"/>
    <w:rsid w:val="008F0D5C"/>
    <w:pPr>
      <w:tabs>
        <w:tab w:val="clear" w:pos="1440"/>
      </w:tabs>
    </w:pPr>
    <w:rPr>
      <w:sz w:val="22"/>
    </w:rPr>
  </w:style>
  <w:style w:type="paragraph" w:customStyle="1" w:styleId="TableText11Bullet3Double">
    <w:name w:val="*Table Text 11 Bullet #3 Double"/>
    <w:basedOn w:val="TableText10Bullet3Double"/>
    <w:uiPriority w:val="1"/>
    <w:qFormat/>
    <w:rsid w:val="008F0D5C"/>
    <w:rPr>
      <w:sz w:val="22"/>
    </w:rPr>
  </w:style>
  <w:style w:type="paragraph" w:customStyle="1" w:styleId="TableText11Bullet3Single">
    <w:name w:val="*Table Text 11 Bullet #3 Single"/>
    <w:basedOn w:val="TableText10Bullet3Single"/>
    <w:uiPriority w:val="1"/>
    <w:qFormat/>
    <w:rsid w:val="008F0D5C"/>
    <w:rPr>
      <w:sz w:val="22"/>
    </w:rPr>
  </w:style>
  <w:style w:type="paragraph" w:customStyle="1" w:styleId="TableText8BoldSingle">
    <w:name w:val="*Table Text 8 Bold Single"/>
    <w:basedOn w:val="TableText8Single"/>
    <w:uiPriority w:val="1"/>
    <w:qFormat/>
    <w:rsid w:val="008F0D5C"/>
    <w:rPr>
      <w:b/>
    </w:rPr>
  </w:style>
  <w:style w:type="paragraph" w:customStyle="1" w:styleId="TableText8Bullet1Double">
    <w:name w:val="*Table Text 8 Bullet #1 Double"/>
    <w:basedOn w:val="TableText10Bullet1Double"/>
    <w:uiPriority w:val="1"/>
    <w:qFormat/>
    <w:rsid w:val="008F0D5C"/>
    <w:rPr>
      <w:sz w:val="16"/>
    </w:rPr>
  </w:style>
  <w:style w:type="paragraph" w:customStyle="1" w:styleId="TableText8Bullet1Single">
    <w:name w:val="*Table Text 8 Bullet #1 Single"/>
    <w:basedOn w:val="TableText10Bullet1Single"/>
    <w:uiPriority w:val="1"/>
    <w:qFormat/>
    <w:rsid w:val="008F0D5C"/>
    <w:rPr>
      <w:sz w:val="16"/>
    </w:rPr>
  </w:style>
  <w:style w:type="paragraph" w:customStyle="1" w:styleId="TableText8Bullet2Double">
    <w:name w:val="*Table Text 8 Bullet #2 Double"/>
    <w:basedOn w:val="TableText10Bullet2Double"/>
    <w:uiPriority w:val="1"/>
    <w:qFormat/>
    <w:rsid w:val="008F0D5C"/>
    <w:rPr>
      <w:sz w:val="16"/>
    </w:rPr>
  </w:style>
  <w:style w:type="paragraph" w:customStyle="1" w:styleId="TableText8Bullet2Single">
    <w:name w:val="*Table Text 8 Bullet #2 Single"/>
    <w:basedOn w:val="TableText10Bullet2Single"/>
    <w:uiPriority w:val="1"/>
    <w:qFormat/>
    <w:rsid w:val="008F0D5C"/>
    <w:pPr>
      <w:tabs>
        <w:tab w:val="clear" w:pos="1440"/>
      </w:tabs>
    </w:pPr>
    <w:rPr>
      <w:sz w:val="16"/>
    </w:rPr>
  </w:style>
  <w:style w:type="paragraph" w:customStyle="1" w:styleId="TableText8Bullet3Double">
    <w:name w:val="*Table Text 8 Bullet #3 Double"/>
    <w:basedOn w:val="TableText10Bullet3Double"/>
    <w:uiPriority w:val="1"/>
    <w:qFormat/>
    <w:rsid w:val="008F0D5C"/>
    <w:rPr>
      <w:sz w:val="16"/>
    </w:rPr>
  </w:style>
  <w:style w:type="paragraph" w:customStyle="1" w:styleId="TableText8Bullet3Single">
    <w:name w:val="*Table Text 8 Bullet #3 Single"/>
    <w:basedOn w:val="TableText10Bullet3Single"/>
    <w:uiPriority w:val="1"/>
    <w:qFormat/>
    <w:rsid w:val="008F0D5C"/>
    <w:rPr>
      <w:sz w:val="16"/>
    </w:rPr>
  </w:style>
  <w:style w:type="paragraph" w:customStyle="1" w:styleId="TableText9BoldSingle">
    <w:name w:val="*Table Text 9 Bold Single"/>
    <w:basedOn w:val="TableText10BoldSingle"/>
    <w:uiPriority w:val="1"/>
    <w:qFormat/>
    <w:rsid w:val="008F0D5C"/>
    <w:rPr>
      <w:sz w:val="18"/>
    </w:rPr>
  </w:style>
  <w:style w:type="paragraph" w:customStyle="1" w:styleId="TableText9Bullet1Double">
    <w:name w:val="*Table Text 9 Bullet #1 Double"/>
    <w:basedOn w:val="TableText10Bullet1Double"/>
    <w:uiPriority w:val="1"/>
    <w:qFormat/>
    <w:rsid w:val="008F0D5C"/>
    <w:rPr>
      <w:sz w:val="18"/>
    </w:rPr>
  </w:style>
  <w:style w:type="paragraph" w:customStyle="1" w:styleId="TableText9Bullet2Double">
    <w:name w:val="*Table Text 9 Bullet #2 Double"/>
    <w:basedOn w:val="TableText10Bullet2Double"/>
    <w:uiPriority w:val="1"/>
    <w:qFormat/>
    <w:rsid w:val="008F0D5C"/>
    <w:rPr>
      <w:sz w:val="18"/>
    </w:rPr>
  </w:style>
  <w:style w:type="paragraph" w:customStyle="1" w:styleId="TableText9Bullet2Single">
    <w:name w:val="*Table Text 9 Bullet #2 Single"/>
    <w:basedOn w:val="TableText10Bullet2Single"/>
    <w:uiPriority w:val="1"/>
    <w:qFormat/>
    <w:rsid w:val="008F0D5C"/>
    <w:pPr>
      <w:tabs>
        <w:tab w:val="clear" w:pos="1440"/>
      </w:tabs>
    </w:pPr>
    <w:rPr>
      <w:sz w:val="18"/>
    </w:rPr>
  </w:style>
  <w:style w:type="paragraph" w:customStyle="1" w:styleId="TableText9Bullet3Double">
    <w:name w:val="*Table Text 9 Bullet #3 Double"/>
    <w:basedOn w:val="TableText10Bullet3Double"/>
    <w:uiPriority w:val="1"/>
    <w:qFormat/>
    <w:rsid w:val="008F0D5C"/>
    <w:rPr>
      <w:sz w:val="18"/>
    </w:rPr>
  </w:style>
  <w:style w:type="paragraph" w:customStyle="1" w:styleId="TableText9Bullet3Single">
    <w:name w:val="*Table Text 9 Bullet #3 Single"/>
    <w:basedOn w:val="TableText10Bullet3Single"/>
    <w:uiPriority w:val="1"/>
    <w:qFormat/>
    <w:rsid w:val="008F0D5C"/>
    <w:rPr>
      <w:sz w:val="18"/>
    </w:rPr>
  </w:style>
  <w:style w:type="paragraph" w:customStyle="1" w:styleId="TableText9Double">
    <w:name w:val="*Table Text 9 Double"/>
    <w:basedOn w:val="TableText10Double"/>
    <w:uiPriority w:val="1"/>
    <w:qFormat/>
    <w:rsid w:val="008F0D5C"/>
    <w:rPr>
      <w:sz w:val="18"/>
    </w:rPr>
  </w:style>
  <w:style w:type="paragraph" w:customStyle="1" w:styleId="BodySingle0">
    <w:name w:val="~Body Single"/>
    <w:basedOn w:val="BodySingle"/>
    <w:uiPriority w:val="1"/>
    <w:rsid w:val="008F0D5C"/>
    <w:rPr>
      <w:rFonts w:ascii="Arial Narrow" w:hAnsi="Arial Narrow"/>
      <w:sz w:val="20"/>
    </w:rPr>
  </w:style>
  <w:style w:type="paragraph" w:customStyle="1" w:styleId="BodyText0">
    <w:name w:val="~Body Text"/>
    <w:basedOn w:val="BodyText"/>
    <w:uiPriority w:val="1"/>
    <w:rsid w:val="008F0D5C"/>
    <w:rPr>
      <w:rFonts w:ascii="Arial Narrow" w:hAnsi="Arial Narrow"/>
      <w:sz w:val="20"/>
    </w:rPr>
  </w:style>
  <w:style w:type="paragraph" w:customStyle="1" w:styleId="Bullet1Double0">
    <w:name w:val="~Bullet #1 Double"/>
    <w:basedOn w:val="Bullet1Double"/>
    <w:uiPriority w:val="1"/>
    <w:rsid w:val="008F0D5C"/>
    <w:pPr>
      <w:numPr>
        <w:numId w:val="48"/>
      </w:numPr>
      <w:tabs>
        <w:tab w:val="clear" w:pos="288"/>
      </w:tabs>
      <w:ind w:left="288" w:hanging="288"/>
    </w:pPr>
    <w:rPr>
      <w:rFonts w:ascii="Arial Narrow" w:hAnsi="Arial Narrow"/>
      <w:sz w:val="20"/>
    </w:rPr>
  </w:style>
  <w:style w:type="paragraph" w:customStyle="1" w:styleId="Bullet1Single">
    <w:name w:val="~Bullet #1 Single"/>
    <w:basedOn w:val="BodyText"/>
    <w:uiPriority w:val="1"/>
    <w:rsid w:val="008F0D5C"/>
    <w:pPr>
      <w:numPr>
        <w:numId w:val="45"/>
      </w:numPr>
      <w:spacing w:after="0"/>
      <w:ind w:left="288" w:hanging="288"/>
    </w:pPr>
    <w:rPr>
      <w:rFonts w:ascii="Arial Narrow" w:hAnsi="Arial Narrow"/>
      <w:sz w:val="20"/>
    </w:rPr>
  </w:style>
  <w:style w:type="paragraph" w:customStyle="1" w:styleId="Bullet1SubtextDouble0">
    <w:name w:val="~Bullet #1 Subtext Double"/>
    <w:basedOn w:val="Bullet1SubtextDouble"/>
    <w:uiPriority w:val="1"/>
    <w:rsid w:val="008F0D5C"/>
    <w:rPr>
      <w:rFonts w:ascii="Arial Narrow" w:hAnsi="Arial Narrow"/>
      <w:sz w:val="20"/>
    </w:rPr>
  </w:style>
  <w:style w:type="paragraph" w:customStyle="1" w:styleId="Bullet1SubtextSingle0">
    <w:name w:val="~Bullet #1 Subtext Single"/>
    <w:basedOn w:val="Bullet1SubtextDouble0"/>
    <w:uiPriority w:val="1"/>
    <w:qFormat/>
    <w:rsid w:val="008F0D5C"/>
    <w:pPr>
      <w:spacing w:after="0"/>
    </w:pPr>
  </w:style>
  <w:style w:type="paragraph" w:customStyle="1" w:styleId="Bullet2Double">
    <w:name w:val="~Bullet #2 Double"/>
    <w:basedOn w:val="Bullet2Double0"/>
    <w:uiPriority w:val="1"/>
    <w:rsid w:val="008F0D5C"/>
    <w:pPr>
      <w:numPr>
        <w:numId w:val="6"/>
      </w:numPr>
      <w:tabs>
        <w:tab w:val="clear" w:pos="360"/>
        <w:tab w:val="clear" w:pos="576"/>
      </w:tabs>
      <w:ind w:left="576" w:hanging="288"/>
    </w:pPr>
    <w:rPr>
      <w:rFonts w:ascii="Arial Narrow" w:hAnsi="Arial Narrow"/>
      <w:sz w:val="20"/>
    </w:rPr>
  </w:style>
  <w:style w:type="paragraph" w:customStyle="1" w:styleId="Bullet2Single">
    <w:name w:val="~Bullet #2 Single"/>
    <w:basedOn w:val="Bullet2Double"/>
    <w:uiPriority w:val="1"/>
    <w:rsid w:val="008F0D5C"/>
    <w:pPr>
      <w:numPr>
        <w:numId w:val="46"/>
      </w:numPr>
      <w:spacing w:after="0"/>
      <w:ind w:left="576" w:hanging="288"/>
    </w:pPr>
  </w:style>
  <w:style w:type="paragraph" w:customStyle="1" w:styleId="Bullet2SubtextDouble">
    <w:name w:val="~Bullet #2 Subtext Double"/>
    <w:basedOn w:val="Bullet2SubtextDouble0"/>
    <w:uiPriority w:val="1"/>
    <w:rsid w:val="008F0D5C"/>
    <w:pPr>
      <w:numPr>
        <w:numId w:val="31"/>
      </w:numPr>
      <w:tabs>
        <w:tab w:val="left" w:pos="720"/>
      </w:tabs>
      <w:ind w:left="576" w:firstLine="0"/>
    </w:pPr>
    <w:rPr>
      <w:rFonts w:ascii="Arial Narrow" w:hAnsi="Arial Narrow"/>
      <w:sz w:val="20"/>
    </w:rPr>
  </w:style>
  <w:style w:type="paragraph" w:customStyle="1" w:styleId="Bullet2SubtextSingle">
    <w:name w:val="~Bullet #2 Subtext Single"/>
    <w:basedOn w:val="Bullet2SubtextSingle0"/>
    <w:uiPriority w:val="1"/>
    <w:rsid w:val="008F0D5C"/>
    <w:pPr>
      <w:numPr>
        <w:numId w:val="32"/>
      </w:numPr>
      <w:tabs>
        <w:tab w:val="left" w:pos="720"/>
      </w:tabs>
      <w:ind w:left="576" w:firstLine="0"/>
    </w:pPr>
    <w:rPr>
      <w:rFonts w:ascii="Arial Narrow" w:hAnsi="Arial Narrow"/>
      <w:sz w:val="20"/>
    </w:rPr>
  </w:style>
  <w:style w:type="paragraph" w:customStyle="1" w:styleId="Bullet3Double">
    <w:name w:val="~Bullet #3 Double"/>
    <w:basedOn w:val="Bullet3Double0"/>
    <w:uiPriority w:val="1"/>
    <w:rsid w:val="008F0D5C"/>
    <w:pPr>
      <w:numPr>
        <w:numId w:val="7"/>
      </w:numPr>
      <w:tabs>
        <w:tab w:val="clear" w:pos="864"/>
      </w:tabs>
      <w:ind w:left="864" w:hanging="288"/>
    </w:pPr>
    <w:rPr>
      <w:rFonts w:ascii="Arial Narrow" w:hAnsi="Arial Narrow"/>
      <w:sz w:val="20"/>
    </w:rPr>
  </w:style>
  <w:style w:type="paragraph" w:customStyle="1" w:styleId="Bullet3Single0">
    <w:name w:val="~Bullet #3 Single"/>
    <w:basedOn w:val="Bullet3Single"/>
    <w:uiPriority w:val="1"/>
    <w:rsid w:val="008F0D5C"/>
    <w:pPr>
      <w:numPr>
        <w:numId w:val="47"/>
      </w:numPr>
      <w:tabs>
        <w:tab w:val="clear" w:pos="864"/>
      </w:tabs>
      <w:ind w:left="864" w:hanging="288"/>
    </w:pPr>
    <w:rPr>
      <w:rFonts w:ascii="Arial Narrow" w:hAnsi="Arial Narrow"/>
      <w:sz w:val="20"/>
    </w:rPr>
  </w:style>
  <w:style w:type="paragraph" w:customStyle="1" w:styleId="Bullet3SubtextDouble">
    <w:name w:val="~Bullet #3 Subtext Double"/>
    <w:basedOn w:val="Bullet3SubtextDouble0"/>
    <w:uiPriority w:val="1"/>
    <w:rsid w:val="008F0D5C"/>
    <w:pPr>
      <w:numPr>
        <w:numId w:val="33"/>
      </w:numPr>
      <w:ind w:left="864" w:firstLine="0"/>
    </w:pPr>
    <w:rPr>
      <w:rFonts w:ascii="Arial Narrow" w:hAnsi="Arial Narrow"/>
      <w:sz w:val="20"/>
    </w:rPr>
  </w:style>
  <w:style w:type="paragraph" w:customStyle="1" w:styleId="Bullet3SubtextSingle">
    <w:name w:val="~Bullet #3 Subtext Single"/>
    <w:basedOn w:val="Bullet3SubtextSingle0"/>
    <w:uiPriority w:val="1"/>
    <w:rsid w:val="008F0D5C"/>
    <w:pPr>
      <w:numPr>
        <w:numId w:val="34"/>
      </w:numPr>
      <w:ind w:left="864" w:firstLine="0"/>
    </w:pPr>
    <w:rPr>
      <w:rFonts w:ascii="Arial Narrow" w:hAnsi="Arial Narrow"/>
      <w:sz w:val="20"/>
    </w:rPr>
  </w:style>
  <w:style w:type="numbering" w:styleId="111111">
    <w:name w:val="Outline List 2"/>
    <w:basedOn w:val="NoList"/>
    <w:uiPriority w:val="99"/>
    <w:semiHidden/>
    <w:unhideWhenUsed/>
    <w:rsid w:val="008F0D5C"/>
    <w:pPr>
      <w:numPr>
        <w:numId w:val="8"/>
      </w:numPr>
    </w:pPr>
  </w:style>
  <w:style w:type="numbering" w:styleId="1ai">
    <w:name w:val="Outline List 1"/>
    <w:basedOn w:val="NoList"/>
    <w:uiPriority w:val="99"/>
    <w:semiHidden/>
    <w:unhideWhenUsed/>
    <w:rsid w:val="008F0D5C"/>
    <w:pPr>
      <w:numPr>
        <w:numId w:val="9"/>
      </w:numPr>
    </w:pPr>
  </w:style>
  <w:style w:type="numbering" w:styleId="ArticleSection">
    <w:name w:val="Outline List 3"/>
    <w:basedOn w:val="NoList"/>
    <w:uiPriority w:val="99"/>
    <w:semiHidden/>
    <w:unhideWhenUsed/>
    <w:rsid w:val="008F0D5C"/>
    <w:pPr>
      <w:numPr>
        <w:numId w:val="10"/>
      </w:numPr>
    </w:pPr>
  </w:style>
  <w:style w:type="paragraph" w:styleId="BalloonText">
    <w:name w:val="Balloon Text"/>
    <w:basedOn w:val="Normal"/>
    <w:link w:val="BalloonTextChar"/>
    <w:semiHidden/>
    <w:rsid w:val="008F0D5C"/>
    <w:rPr>
      <w:rFonts w:ascii="Tahoma" w:hAnsi="Tahoma" w:cs="Tahoma"/>
      <w:sz w:val="16"/>
      <w:szCs w:val="16"/>
    </w:rPr>
  </w:style>
  <w:style w:type="character" w:customStyle="1" w:styleId="BalloonTextChar">
    <w:name w:val="Balloon Text Char"/>
    <w:basedOn w:val="DefaultParagraphFont"/>
    <w:link w:val="BalloonText"/>
    <w:semiHidden/>
    <w:rsid w:val="008F0D5C"/>
    <w:rPr>
      <w:rFonts w:ascii="Tahoma" w:eastAsia="PMingLiU" w:hAnsi="Tahoma" w:cs="Tahoma"/>
      <w:color w:val="000000"/>
      <w:sz w:val="16"/>
      <w:szCs w:val="16"/>
      <w:lang w:bidi="ar-DZ"/>
    </w:rPr>
  </w:style>
  <w:style w:type="paragraph" w:styleId="Bibliography">
    <w:name w:val="Bibliography"/>
    <w:basedOn w:val="Normal"/>
    <w:next w:val="Normal"/>
    <w:uiPriority w:val="37"/>
    <w:semiHidden/>
    <w:unhideWhenUsed/>
    <w:rsid w:val="008F0D5C"/>
  </w:style>
  <w:style w:type="paragraph" w:styleId="BlockText">
    <w:name w:val="Block Text"/>
    <w:basedOn w:val="Normal"/>
    <w:uiPriority w:val="99"/>
    <w:semiHidden/>
    <w:unhideWhenUsed/>
    <w:rsid w:val="008F0D5C"/>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asciiTheme="minorHAnsi" w:eastAsiaTheme="minorEastAsia" w:hAnsiTheme="minorHAnsi" w:cstheme="minorBidi"/>
      <w:i/>
      <w:iCs/>
      <w:color w:val="4472C4" w:themeColor="accent1"/>
    </w:rPr>
  </w:style>
  <w:style w:type="paragraph" w:styleId="BodyText1">
    <w:name w:val="Body Text"/>
    <w:basedOn w:val="Normal"/>
    <w:link w:val="BodyTextChar0"/>
    <w:uiPriority w:val="99"/>
    <w:semiHidden/>
    <w:unhideWhenUsed/>
    <w:rsid w:val="008F0D5C"/>
    <w:pPr>
      <w:spacing w:after="120"/>
    </w:pPr>
  </w:style>
  <w:style w:type="character" w:customStyle="1" w:styleId="BodyTextChar0">
    <w:name w:val="Body Text Char"/>
    <w:basedOn w:val="DefaultParagraphFont"/>
    <w:link w:val="BodyText1"/>
    <w:uiPriority w:val="99"/>
    <w:semiHidden/>
    <w:rsid w:val="008F0D5C"/>
    <w:rPr>
      <w:rFonts w:ascii="Arial" w:eastAsia="PMingLiU" w:hAnsi="Arial" w:cs="Times New Roman"/>
      <w:color w:val="000000"/>
      <w:szCs w:val="20"/>
      <w:lang w:bidi="ar-DZ"/>
    </w:rPr>
  </w:style>
  <w:style w:type="paragraph" w:styleId="BodyText2">
    <w:name w:val="Body Text 2"/>
    <w:basedOn w:val="Normal"/>
    <w:link w:val="BodyText2Char"/>
    <w:uiPriority w:val="99"/>
    <w:semiHidden/>
    <w:unhideWhenUsed/>
    <w:rsid w:val="008F0D5C"/>
    <w:pPr>
      <w:spacing w:after="120" w:line="480" w:lineRule="auto"/>
    </w:pPr>
  </w:style>
  <w:style w:type="character" w:customStyle="1" w:styleId="BodyText2Char">
    <w:name w:val="Body Text 2 Char"/>
    <w:basedOn w:val="DefaultParagraphFont"/>
    <w:link w:val="BodyText2"/>
    <w:uiPriority w:val="99"/>
    <w:semiHidden/>
    <w:rsid w:val="008F0D5C"/>
    <w:rPr>
      <w:rFonts w:ascii="Arial" w:eastAsia="PMingLiU" w:hAnsi="Arial" w:cs="Times New Roman"/>
      <w:color w:val="000000"/>
      <w:szCs w:val="20"/>
      <w:lang w:bidi="ar-DZ"/>
    </w:rPr>
  </w:style>
  <w:style w:type="paragraph" w:styleId="BodyText3">
    <w:name w:val="Body Text 3"/>
    <w:basedOn w:val="Normal"/>
    <w:link w:val="BodyText3Char"/>
    <w:uiPriority w:val="99"/>
    <w:semiHidden/>
    <w:unhideWhenUsed/>
    <w:rsid w:val="008F0D5C"/>
    <w:pPr>
      <w:spacing w:after="120"/>
    </w:pPr>
    <w:rPr>
      <w:sz w:val="16"/>
      <w:szCs w:val="16"/>
    </w:rPr>
  </w:style>
  <w:style w:type="character" w:customStyle="1" w:styleId="BodyText3Char">
    <w:name w:val="Body Text 3 Char"/>
    <w:basedOn w:val="DefaultParagraphFont"/>
    <w:link w:val="BodyText3"/>
    <w:uiPriority w:val="99"/>
    <w:semiHidden/>
    <w:rsid w:val="008F0D5C"/>
    <w:rPr>
      <w:rFonts w:ascii="Arial" w:eastAsia="PMingLiU" w:hAnsi="Arial" w:cs="Times New Roman"/>
      <w:color w:val="000000"/>
      <w:sz w:val="16"/>
      <w:szCs w:val="16"/>
      <w:lang w:bidi="ar-DZ"/>
    </w:rPr>
  </w:style>
  <w:style w:type="paragraph" w:styleId="BodyTextFirstIndent">
    <w:name w:val="Body Text First Indent"/>
    <w:basedOn w:val="BodyText1"/>
    <w:link w:val="BodyTextFirstIndentChar"/>
    <w:uiPriority w:val="99"/>
    <w:semiHidden/>
    <w:unhideWhenUsed/>
    <w:rsid w:val="008F0D5C"/>
    <w:pPr>
      <w:spacing w:after="0"/>
      <w:ind w:firstLine="360"/>
    </w:pPr>
  </w:style>
  <w:style w:type="character" w:customStyle="1" w:styleId="BodyTextFirstIndentChar">
    <w:name w:val="Body Text First Indent Char"/>
    <w:basedOn w:val="BodyTextChar0"/>
    <w:link w:val="BodyTextFirstIndent"/>
    <w:uiPriority w:val="99"/>
    <w:semiHidden/>
    <w:rsid w:val="008F0D5C"/>
    <w:rPr>
      <w:rFonts w:ascii="Arial" w:eastAsia="PMingLiU" w:hAnsi="Arial" w:cs="Times New Roman"/>
      <w:color w:val="000000"/>
      <w:szCs w:val="20"/>
      <w:lang w:bidi="ar-DZ"/>
    </w:rPr>
  </w:style>
  <w:style w:type="paragraph" w:styleId="BodyTextIndent">
    <w:name w:val="Body Text Indent"/>
    <w:basedOn w:val="Normal"/>
    <w:link w:val="BodyTextIndentChar"/>
    <w:uiPriority w:val="99"/>
    <w:semiHidden/>
    <w:unhideWhenUsed/>
    <w:rsid w:val="008F0D5C"/>
    <w:pPr>
      <w:spacing w:after="120"/>
      <w:ind w:left="283"/>
    </w:pPr>
  </w:style>
  <w:style w:type="character" w:customStyle="1" w:styleId="BodyTextIndentChar">
    <w:name w:val="Body Text Indent Char"/>
    <w:basedOn w:val="DefaultParagraphFont"/>
    <w:link w:val="BodyTextIndent"/>
    <w:uiPriority w:val="99"/>
    <w:semiHidden/>
    <w:rsid w:val="008F0D5C"/>
    <w:rPr>
      <w:rFonts w:ascii="Arial" w:eastAsia="PMingLiU" w:hAnsi="Arial" w:cs="Times New Roman"/>
      <w:color w:val="000000"/>
      <w:szCs w:val="20"/>
      <w:lang w:bidi="ar-DZ"/>
    </w:rPr>
  </w:style>
  <w:style w:type="paragraph" w:styleId="BodyTextFirstIndent2">
    <w:name w:val="Body Text First Indent 2"/>
    <w:basedOn w:val="BodyTextIndent"/>
    <w:link w:val="BodyTextFirstIndent2Char"/>
    <w:uiPriority w:val="99"/>
    <w:semiHidden/>
    <w:unhideWhenUsed/>
    <w:rsid w:val="008F0D5C"/>
    <w:pPr>
      <w:spacing w:after="0"/>
      <w:ind w:left="360" w:firstLine="360"/>
    </w:pPr>
  </w:style>
  <w:style w:type="character" w:customStyle="1" w:styleId="BodyTextFirstIndent2Char">
    <w:name w:val="Body Text First Indent 2 Char"/>
    <w:basedOn w:val="BodyTextIndentChar"/>
    <w:link w:val="BodyTextFirstIndent2"/>
    <w:uiPriority w:val="99"/>
    <w:semiHidden/>
    <w:rsid w:val="008F0D5C"/>
    <w:rPr>
      <w:rFonts w:ascii="Arial" w:eastAsia="PMingLiU" w:hAnsi="Arial" w:cs="Times New Roman"/>
      <w:color w:val="000000"/>
      <w:szCs w:val="20"/>
      <w:lang w:bidi="ar-DZ"/>
    </w:rPr>
  </w:style>
  <w:style w:type="paragraph" w:styleId="BodyTextIndent2">
    <w:name w:val="Body Text Indent 2"/>
    <w:basedOn w:val="Normal"/>
    <w:link w:val="BodyTextIndent2Char"/>
    <w:uiPriority w:val="99"/>
    <w:semiHidden/>
    <w:unhideWhenUsed/>
    <w:rsid w:val="008F0D5C"/>
    <w:pPr>
      <w:spacing w:after="120" w:line="480" w:lineRule="auto"/>
      <w:ind w:left="283"/>
    </w:pPr>
  </w:style>
  <w:style w:type="character" w:customStyle="1" w:styleId="BodyTextIndent2Char">
    <w:name w:val="Body Text Indent 2 Char"/>
    <w:basedOn w:val="DefaultParagraphFont"/>
    <w:link w:val="BodyTextIndent2"/>
    <w:uiPriority w:val="99"/>
    <w:semiHidden/>
    <w:rsid w:val="008F0D5C"/>
    <w:rPr>
      <w:rFonts w:ascii="Arial" w:eastAsia="PMingLiU" w:hAnsi="Arial" w:cs="Times New Roman"/>
      <w:color w:val="000000"/>
      <w:szCs w:val="20"/>
      <w:lang w:bidi="ar-DZ"/>
    </w:rPr>
  </w:style>
  <w:style w:type="paragraph" w:styleId="BodyTextIndent3">
    <w:name w:val="Body Text Indent 3"/>
    <w:basedOn w:val="Normal"/>
    <w:link w:val="BodyTextIndent3Char"/>
    <w:uiPriority w:val="99"/>
    <w:semiHidden/>
    <w:unhideWhenUsed/>
    <w:rsid w:val="008F0D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F0D5C"/>
    <w:rPr>
      <w:rFonts w:ascii="Arial" w:eastAsia="PMingLiU" w:hAnsi="Arial" w:cs="Times New Roman"/>
      <w:color w:val="000000"/>
      <w:sz w:val="16"/>
      <w:szCs w:val="16"/>
      <w:lang w:bidi="ar-DZ"/>
    </w:rPr>
  </w:style>
  <w:style w:type="character" w:styleId="BookTitle">
    <w:name w:val="Book Title"/>
    <w:basedOn w:val="DefaultParagraphFont"/>
    <w:uiPriority w:val="33"/>
    <w:qFormat/>
    <w:rsid w:val="008F0D5C"/>
    <w:rPr>
      <w:b/>
      <w:bCs/>
      <w:i/>
      <w:iCs/>
      <w:spacing w:val="5"/>
      <w:lang w:val="en-US" w:bidi="ar-DZ"/>
    </w:rPr>
  </w:style>
  <w:style w:type="paragraph" w:styleId="Caption">
    <w:name w:val="caption"/>
    <w:basedOn w:val="BodyText"/>
    <w:next w:val="BodyText"/>
    <w:uiPriority w:val="1"/>
    <w:qFormat/>
    <w:rsid w:val="008F0D5C"/>
    <w:pPr>
      <w:jc w:val="center"/>
    </w:pPr>
    <w:rPr>
      <w:b/>
      <w:bCs/>
      <w:i/>
      <w:iCs/>
      <w:sz w:val="18"/>
      <w:szCs w:val="18"/>
    </w:rPr>
  </w:style>
  <w:style w:type="paragraph" w:styleId="Closing">
    <w:name w:val="Closing"/>
    <w:basedOn w:val="Normal"/>
    <w:link w:val="ClosingChar"/>
    <w:uiPriority w:val="99"/>
    <w:semiHidden/>
    <w:unhideWhenUsed/>
    <w:rsid w:val="008F0D5C"/>
    <w:pPr>
      <w:ind w:left="4252"/>
    </w:pPr>
  </w:style>
  <w:style w:type="character" w:customStyle="1" w:styleId="ClosingChar">
    <w:name w:val="Closing Char"/>
    <w:basedOn w:val="DefaultParagraphFont"/>
    <w:link w:val="Closing"/>
    <w:uiPriority w:val="99"/>
    <w:semiHidden/>
    <w:rsid w:val="008F0D5C"/>
    <w:rPr>
      <w:rFonts w:ascii="Arial" w:eastAsia="PMingLiU" w:hAnsi="Arial" w:cs="Times New Roman"/>
      <w:color w:val="000000"/>
      <w:szCs w:val="20"/>
      <w:lang w:bidi="ar-DZ"/>
    </w:rPr>
  </w:style>
  <w:style w:type="table" w:styleId="ColorfulGrid">
    <w:name w:val="Colorful Grid"/>
    <w:basedOn w:val="TableNormal"/>
    <w:uiPriority w:val="73"/>
    <w:semiHidden/>
    <w:unhideWhenUsed/>
    <w:rsid w:val="008F0D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8F0D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8F0D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8F0D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8F0D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8F0D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8F0D5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8F0D5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8F0D5C"/>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8F0D5C"/>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8F0D5C"/>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8F0D5C"/>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8F0D5C"/>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8F0D5C"/>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8F0D5C"/>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8F0D5C"/>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8F0D5C"/>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8F0D5C"/>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8F0D5C"/>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8F0D5C"/>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8F0D5C"/>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8F0D5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8F0D5C"/>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8F0D5C"/>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8F0D5C"/>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8F0D5C"/>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8F0D5C"/>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8F0D5C"/>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8F0D5C"/>
  </w:style>
  <w:style w:type="character" w:customStyle="1" w:styleId="DateChar">
    <w:name w:val="Date Char"/>
    <w:basedOn w:val="DefaultParagraphFont"/>
    <w:link w:val="Date"/>
    <w:uiPriority w:val="99"/>
    <w:semiHidden/>
    <w:rsid w:val="008F0D5C"/>
    <w:rPr>
      <w:rFonts w:ascii="Arial" w:eastAsia="PMingLiU" w:hAnsi="Arial" w:cs="Times New Roman"/>
      <w:color w:val="000000"/>
      <w:szCs w:val="20"/>
      <w:lang w:bidi="ar-DZ"/>
    </w:rPr>
  </w:style>
  <w:style w:type="paragraph" w:styleId="DocumentMap">
    <w:name w:val="Document Map"/>
    <w:basedOn w:val="Normal"/>
    <w:link w:val="DocumentMapChar"/>
    <w:semiHidden/>
    <w:rsid w:val="008F0D5C"/>
    <w:pPr>
      <w:shd w:val="clear" w:color="auto" w:fill="000080"/>
    </w:pPr>
    <w:rPr>
      <w:rFonts w:ascii="Tahoma" w:hAnsi="Tahoma" w:cs="Tahoma"/>
      <w:sz w:val="20"/>
    </w:rPr>
  </w:style>
  <w:style w:type="character" w:customStyle="1" w:styleId="DocumentMapChar">
    <w:name w:val="Document Map Char"/>
    <w:basedOn w:val="DefaultParagraphFont"/>
    <w:link w:val="DocumentMap"/>
    <w:semiHidden/>
    <w:rsid w:val="008F0D5C"/>
    <w:rPr>
      <w:rFonts w:ascii="Tahoma" w:eastAsia="PMingLiU" w:hAnsi="Tahoma" w:cs="Tahoma"/>
      <w:color w:val="000000"/>
      <w:sz w:val="20"/>
      <w:szCs w:val="20"/>
      <w:shd w:val="clear" w:color="auto" w:fill="000080"/>
      <w:lang w:bidi="ar-DZ"/>
    </w:rPr>
  </w:style>
  <w:style w:type="paragraph" w:styleId="E-mailSignature">
    <w:name w:val="E-mail Signature"/>
    <w:basedOn w:val="Normal"/>
    <w:link w:val="E-mailSignatureChar"/>
    <w:uiPriority w:val="99"/>
    <w:semiHidden/>
    <w:unhideWhenUsed/>
    <w:rsid w:val="008F0D5C"/>
  </w:style>
  <w:style w:type="character" w:customStyle="1" w:styleId="E-mailSignatureChar">
    <w:name w:val="E-mail Signature Char"/>
    <w:basedOn w:val="DefaultParagraphFont"/>
    <w:link w:val="E-mailSignature"/>
    <w:uiPriority w:val="99"/>
    <w:semiHidden/>
    <w:rsid w:val="008F0D5C"/>
    <w:rPr>
      <w:rFonts w:ascii="Arial" w:eastAsia="PMingLiU" w:hAnsi="Arial" w:cs="Times New Roman"/>
      <w:color w:val="000000"/>
      <w:szCs w:val="20"/>
      <w:lang w:bidi="ar-DZ"/>
    </w:rPr>
  </w:style>
  <w:style w:type="character" w:styleId="Emphasis">
    <w:name w:val="Emphasis"/>
    <w:basedOn w:val="DefaultParagraphFont"/>
    <w:uiPriority w:val="20"/>
    <w:qFormat/>
    <w:rsid w:val="008F0D5C"/>
    <w:rPr>
      <w:i/>
      <w:iCs/>
      <w:lang w:val="en-US" w:bidi="ar-DZ"/>
    </w:rPr>
  </w:style>
  <w:style w:type="character" w:styleId="EndnoteReference">
    <w:name w:val="endnote reference"/>
    <w:semiHidden/>
    <w:rsid w:val="008F0D5C"/>
    <w:rPr>
      <w:vertAlign w:val="superscript"/>
      <w:lang w:val="en-US" w:bidi="ar-DZ"/>
    </w:rPr>
  </w:style>
  <w:style w:type="paragraph" w:styleId="EndnoteText">
    <w:name w:val="endnote text"/>
    <w:basedOn w:val="Normal"/>
    <w:link w:val="EndnoteTextChar"/>
    <w:semiHidden/>
    <w:rsid w:val="008F0D5C"/>
    <w:rPr>
      <w:sz w:val="20"/>
    </w:rPr>
  </w:style>
  <w:style w:type="character" w:customStyle="1" w:styleId="EndnoteTextChar">
    <w:name w:val="Endnote Text Char"/>
    <w:basedOn w:val="DefaultParagraphFont"/>
    <w:link w:val="EndnoteText"/>
    <w:semiHidden/>
    <w:rsid w:val="008F0D5C"/>
    <w:rPr>
      <w:rFonts w:ascii="Arial" w:eastAsia="PMingLiU" w:hAnsi="Arial" w:cs="Times New Roman"/>
      <w:color w:val="000000"/>
      <w:sz w:val="20"/>
      <w:szCs w:val="20"/>
      <w:lang w:bidi="ar-DZ"/>
    </w:rPr>
  </w:style>
  <w:style w:type="paragraph" w:styleId="EnvelopeAddress">
    <w:name w:val="envelope address"/>
    <w:basedOn w:val="Normal"/>
    <w:uiPriority w:val="99"/>
    <w:semiHidden/>
    <w:unhideWhenUsed/>
    <w:rsid w:val="008F0D5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F0D5C"/>
    <w:rPr>
      <w:rFonts w:asciiTheme="majorHAnsi" w:eastAsiaTheme="majorEastAsia" w:hAnsiTheme="majorHAnsi" w:cstheme="majorBidi"/>
      <w:sz w:val="20"/>
    </w:rPr>
  </w:style>
  <w:style w:type="character" w:styleId="FollowedHyperlink">
    <w:name w:val="FollowedHyperlink"/>
    <w:semiHidden/>
    <w:rsid w:val="008F0D5C"/>
    <w:rPr>
      <w:rFonts w:ascii="Arial" w:hAnsi="Arial"/>
      <w:color w:val="800080"/>
      <w:sz w:val="22"/>
      <w:u w:val="single"/>
      <w:lang w:val="en-US" w:bidi="ar-DZ"/>
    </w:rPr>
  </w:style>
  <w:style w:type="character" w:styleId="FootnoteReference">
    <w:name w:val="footnote reference"/>
    <w:semiHidden/>
    <w:rsid w:val="008F0D5C"/>
    <w:rPr>
      <w:vertAlign w:val="superscript"/>
      <w:lang w:val="en-US" w:bidi="ar-DZ"/>
    </w:rPr>
  </w:style>
  <w:style w:type="paragraph" w:styleId="FootnoteText">
    <w:name w:val="footnote text"/>
    <w:basedOn w:val="Normal"/>
    <w:link w:val="FootnoteTextChar"/>
    <w:semiHidden/>
    <w:rsid w:val="008F0D5C"/>
    <w:rPr>
      <w:sz w:val="20"/>
    </w:rPr>
  </w:style>
  <w:style w:type="character" w:customStyle="1" w:styleId="FootnoteTextChar">
    <w:name w:val="Footnote Text Char"/>
    <w:basedOn w:val="DefaultParagraphFont"/>
    <w:link w:val="FootnoteText"/>
    <w:semiHidden/>
    <w:rsid w:val="008F0D5C"/>
    <w:rPr>
      <w:rFonts w:ascii="Arial" w:eastAsia="PMingLiU" w:hAnsi="Arial" w:cs="Times New Roman"/>
      <w:color w:val="000000"/>
      <w:sz w:val="20"/>
      <w:szCs w:val="20"/>
      <w:lang w:bidi="ar-DZ"/>
    </w:rPr>
  </w:style>
  <w:style w:type="table" w:styleId="GridTable1Light">
    <w:name w:val="Grid Table 1 Light"/>
    <w:basedOn w:val="TableNormal"/>
    <w:uiPriority w:val="46"/>
    <w:rsid w:val="008F0D5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F0D5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F0D5C"/>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F0D5C"/>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F0D5C"/>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F0D5C"/>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F0D5C"/>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F0D5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F0D5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8F0D5C"/>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8F0D5C"/>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8F0D5C"/>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8F0D5C"/>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8F0D5C"/>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8F0D5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F0D5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rsid w:val="008F0D5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8F0D5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8F0D5C"/>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8F0D5C"/>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8F0D5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8F0D5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F0D5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8F0D5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8F0D5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8F0D5C"/>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8F0D5C"/>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8F0D5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8F0D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F0D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8F0D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8F0D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8F0D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8F0D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8F0D5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8F0D5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8F0D5C"/>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rsid w:val="008F0D5C"/>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8F0D5C"/>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8F0D5C"/>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8F0D5C"/>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8F0D5C"/>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8F0D5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8F0D5C"/>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rsid w:val="008F0D5C"/>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8F0D5C"/>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8F0D5C"/>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8F0D5C"/>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8F0D5C"/>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customStyle="1" w:styleId="BulletSubnumber">
    <w:name w:val="*Bullet Subnumber"/>
    <w:basedOn w:val="BodyText"/>
    <w:uiPriority w:val="1"/>
    <w:rsid w:val="008F0D5C"/>
    <w:pPr>
      <w:tabs>
        <w:tab w:val="left" w:pos="720"/>
      </w:tabs>
      <w:ind w:left="720" w:hanging="360"/>
    </w:pPr>
  </w:style>
  <w:style w:type="character" w:styleId="Hyperlink">
    <w:name w:val="Hyperlink"/>
    <w:uiPriority w:val="99"/>
    <w:rsid w:val="008F0D5C"/>
    <w:rPr>
      <w:rFonts w:ascii="Arial" w:hAnsi="Arial"/>
      <w:color w:val="2B3A44"/>
      <w:sz w:val="22"/>
      <w:szCs w:val="18"/>
      <w:u w:val="single"/>
      <w:lang w:val="en-US" w:bidi="ar-DZ"/>
    </w:rPr>
  </w:style>
  <w:style w:type="paragraph" w:styleId="Index1">
    <w:name w:val="index 1"/>
    <w:basedOn w:val="Normal"/>
    <w:next w:val="Normal"/>
    <w:autoRedefine/>
    <w:semiHidden/>
    <w:rsid w:val="008F0D5C"/>
    <w:pPr>
      <w:ind w:left="220" w:hanging="220"/>
    </w:pPr>
  </w:style>
  <w:style w:type="paragraph" w:styleId="Index2">
    <w:name w:val="index 2"/>
    <w:basedOn w:val="Normal"/>
    <w:next w:val="Normal"/>
    <w:autoRedefine/>
    <w:semiHidden/>
    <w:rsid w:val="008F0D5C"/>
    <w:pPr>
      <w:ind w:left="440" w:hanging="220"/>
    </w:pPr>
  </w:style>
  <w:style w:type="paragraph" w:styleId="Index3">
    <w:name w:val="index 3"/>
    <w:basedOn w:val="Normal"/>
    <w:next w:val="Normal"/>
    <w:autoRedefine/>
    <w:semiHidden/>
    <w:rsid w:val="008F0D5C"/>
    <w:pPr>
      <w:ind w:left="660" w:hanging="220"/>
    </w:pPr>
  </w:style>
  <w:style w:type="paragraph" w:styleId="Index4">
    <w:name w:val="index 4"/>
    <w:basedOn w:val="Normal"/>
    <w:next w:val="Normal"/>
    <w:autoRedefine/>
    <w:semiHidden/>
    <w:rsid w:val="008F0D5C"/>
    <w:pPr>
      <w:ind w:left="880" w:hanging="220"/>
    </w:pPr>
  </w:style>
  <w:style w:type="paragraph" w:styleId="Index5">
    <w:name w:val="index 5"/>
    <w:basedOn w:val="Normal"/>
    <w:next w:val="Normal"/>
    <w:autoRedefine/>
    <w:semiHidden/>
    <w:rsid w:val="008F0D5C"/>
    <w:pPr>
      <w:numPr>
        <w:numId w:val="11"/>
      </w:numPr>
    </w:pPr>
  </w:style>
  <w:style w:type="paragraph" w:styleId="Index6">
    <w:name w:val="index 6"/>
    <w:basedOn w:val="Normal"/>
    <w:next w:val="Normal"/>
    <w:autoRedefine/>
    <w:semiHidden/>
    <w:rsid w:val="008F0D5C"/>
    <w:pPr>
      <w:ind w:left="1320" w:hanging="220"/>
    </w:pPr>
  </w:style>
  <w:style w:type="paragraph" w:styleId="Index7">
    <w:name w:val="index 7"/>
    <w:basedOn w:val="Normal"/>
    <w:next w:val="Normal"/>
    <w:autoRedefine/>
    <w:semiHidden/>
    <w:rsid w:val="008F0D5C"/>
    <w:pPr>
      <w:ind w:left="1540" w:hanging="220"/>
    </w:pPr>
  </w:style>
  <w:style w:type="paragraph" w:styleId="Index8">
    <w:name w:val="index 8"/>
    <w:basedOn w:val="Normal"/>
    <w:next w:val="Normal"/>
    <w:autoRedefine/>
    <w:semiHidden/>
    <w:rsid w:val="008F0D5C"/>
    <w:pPr>
      <w:ind w:left="1760" w:hanging="220"/>
    </w:pPr>
  </w:style>
  <w:style w:type="paragraph" w:styleId="Index9">
    <w:name w:val="index 9"/>
    <w:basedOn w:val="Normal"/>
    <w:next w:val="Normal"/>
    <w:autoRedefine/>
    <w:semiHidden/>
    <w:rsid w:val="008F0D5C"/>
    <w:pPr>
      <w:ind w:left="1980" w:hanging="220"/>
    </w:pPr>
  </w:style>
  <w:style w:type="paragraph" w:styleId="IndexHeading">
    <w:name w:val="index heading"/>
    <w:basedOn w:val="Normal"/>
    <w:next w:val="Index1"/>
    <w:semiHidden/>
    <w:rsid w:val="008F0D5C"/>
    <w:rPr>
      <w:rFonts w:cs="Arial"/>
      <w:b/>
      <w:bCs/>
    </w:rPr>
  </w:style>
  <w:style w:type="character" w:styleId="IntenseEmphasis">
    <w:name w:val="Intense Emphasis"/>
    <w:basedOn w:val="DefaultParagraphFont"/>
    <w:uiPriority w:val="21"/>
    <w:qFormat/>
    <w:rsid w:val="008F0D5C"/>
    <w:rPr>
      <w:i/>
      <w:iCs/>
      <w:color w:val="4472C4" w:themeColor="accent1"/>
      <w:lang w:val="en-US" w:bidi="ar-DZ"/>
    </w:rPr>
  </w:style>
  <w:style w:type="paragraph" w:styleId="IntenseQuote">
    <w:name w:val="Intense Quote"/>
    <w:basedOn w:val="Normal"/>
    <w:next w:val="Normal"/>
    <w:link w:val="IntenseQuoteChar"/>
    <w:uiPriority w:val="30"/>
    <w:qFormat/>
    <w:rsid w:val="008F0D5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8F0D5C"/>
    <w:rPr>
      <w:rFonts w:ascii="Arial" w:eastAsia="PMingLiU" w:hAnsi="Arial" w:cs="Times New Roman"/>
      <w:i/>
      <w:iCs/>
      <w:color w:val="4472C4" w:themeColor="accent1"/>
      <w:szCs w:val="20"/>
      <w:lang w:bidi="ar-DZ"/>
    </w:rPr>
  </w:style>
  <w:style w:type="character" w:styleId="IntenseReference">
    <w:name w:val="Intense Reference"/>
    <w:basedOn w:val="DefaultParagraphFont"/>
    <w:uiPriority w:val="32"/>
    <w:qFormat/>
    <w:rsid w:val="008F0D5C"/>
    <w:rPr>
      <w:b/>
      <w:bCs/>
      <w:smallCaps/>
      <w:color w:val="4472C4" w:themeColor="accent1"/>
      <w:spacing w:val="5"/>
      <w:lang w:val="en-US" w:bidi="ar-DZ"/>
    </w:rPr>
  </w:style>
  <w:style w:type="table" w:styleId="LightGrid">
    <w:name w:val="Light Grid"/>
    <w:basedOn w:val="TableNormal"/>
    <w:uiPriority w:val="62"/>
    <w:semiHidden/>
    <w:unhideWhenUsed/>
    <w:rsid w:val="008F0D5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8F0D5C"/>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8F0D5C"/>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8F0D5C"/>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8F0D5C"/>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8F0D5C"/>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8F0D5C"/>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8F0D5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8F0D5C"/>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8F0D5C"/>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8F0D5C"/>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8F0D5C"/>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8F0D5C"/>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8F0D5C"/>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8F0D5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F0D5C"/>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8F0D5C"/>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8F0D5C"/>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8F0D5C"/>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8F0D5C"/>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8F0D5C"/>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8F0D5C"/>
    <w:rPr>
      <w:lang w:val="en-US" w:bidi="ar-DZ"/>
    </w:rPr>
  </w:style>
  <w:style w:type="paragraph" w:styleId="List">
    <w:name w:val="List"/>
    <w:basedOn w:val="Normal"/>
    <w:uiPriority w:val="99"/>
    <w:semiHidden/>
    <w:unhideWhenUsed/>
    <w:rsid w:val="008F0D5C"/>
    <w:pPr>
      <w:ind w:left="283" w:hanging="283"/>
      <w:contextualSpacing/>
    </w:pPr>
  </w:style>
  <w:style w:type="paragraph" w:styleId="List2">
    <w:name w:val="List 2"/>
    <w:basedOn w:val="Normal"/>
    <w:uiPriority w:val="99"/>
    <w:semiHidden/>
    <w:unhideWhenUsed/>
    <w:rsid w:val="008F0D5C"/>
    <w:pPr>
      <w:ind w:left="566" w:hanging="283"/>
      <w:contextualSpacing/>
    </w:pPr>
  </w:style>
  <w:style w:type="paragraph" w:styleId="List3">
    <w:name w:val="List 3"/>
    <w:basedOn w:val="Normal"/>
    <w:uiPriority w:val="99"/>
    <w:semiHidden/>
    <w:unhideWhenUsed/>
    <w:rsid w:val="008F0D5C"/>
    <w:pPr>
      <w:ind w:left="849" w:hanging="283"/>
      <w:contextualSpacing/>
    </w:pPr>
  </w:style>
  <w:style w:type="paragraph" w:styleId="List4">
    <w:name w:val="List 4"/>
    <w:basedOn w:val="Normal"/>
    <w:uiPriority w:val="99"/>
    <w:semiHidden/>
    <w:unhideWhenUsed/>
    <w:rsid w:val="008F0D5C"/>
    <w:pPr>
      <w:ind w:left="1132" w:hanging="283"/>
      <w:contextualSpacing/>
    </w:pPr>
  </w:style>
  <w:style w:type="paragraph" w:styleId="List5">
    <w:name w:val="List 5"/>
    <w:basedOn w:val="Normal"/>
    <w:uiPriority w:val="99"/>
    <w:semiHidden/>
    <w:unhideWhenUsed/>
    <w:rsid w:val="008F0D5C"/>
    <w:pPr>
      <w:ind w:left="1415" w:hanging="283"/>
      <w:contextualSpacing/>
    </w:pPr>
  </w:style>
  <w:style w:type="paragraph" w:styleId="ListBullet">
    <w:name w:val="List Bullet"/>
    <w:basedOn w:val="Normal"/>
    <w:uiPriority w:val="99"/>
    <w:semiHidden/>
    <w:unhideWhenUsed/>
    <w:rsid w:val="008F0D5C"/>
    <w:pPr>
      <w:numPr>
        <w:numId w:val="12"/>
      </w:numPr>
      <w:contextualSpacing/>
    </w:pPr>
  </w:style>
  <w:style w:type="paragraph" w:styleId="ListBullet2">
    <w:name w:val="List Bullet 2"/>
    <w:basedOn w:val="Normal"/>
    <w:uiPriority w:val="99"/>
    <w:semiHidden/>
    <w:unhideWhenUsed/>
    <w:rsid w:val="008F0D5C"/>
    <w:pPr>
      <w:numPr>
        <w:numId w:val="13"/>
      </w:numPr>
      <w:contextualSpacing/>
    </w:pPr>
  </w:style>
  <w:style w:type="paragraph" w:styleId="ListBullet3">
    <w:name w:val="List Bullet 3"/>
    <w:basedOn w:val="Normal"/>
    <w:uiPriority w:val="99"/>
    <w:semiHidden/>
    <w:unhideWhenUsed/>
    <w:rsid w:val="008F0D5C"/>
    <w:pPr>
      <w:numPr>
        <w:numId w:val="14"/>
      </w:numPr>
      <w:contextualSpacing/>
    </w:pPr>
  </w:style>
  <w:style w:type="paragraph" w:styleId="ListBullet4">
    <w:name w:val="List Bullet 4"/>
    <w:basedOn w:val="Normal"/>
    <w:uiPriority w:val="99"/>
    <w:semiHidden/>
    <w:unhideWhenUsed/>
    <w:rsid w:val="008F0D5C"/>
    <w:pPr>
      <w:numPr>
        <w:numId w:val="15"/>
      </w:numPr>
      <w:contextualSpacing/>
    </w:pPr>
  </w:style>
  <w:style w:type="paragraph" w:styleId="ListBullet5">
    <w:name w:val="List Bullet 5"/>
    <w:basedOn w:val="Normal"/>
    <w:uiPriority w:val="99"/>
    <w:semiHidden/>
    <w:unhideWhenUsed/>
    <w:rsid w:val="008F0D5C"/>
    <w:pPr>
      <w:numPr>
        <w:numId w:val="16"/>
      </w:numPr>
      <w:contextualSpacing/>
    </w:pPr>
  </w:style>
  <w:style w:type="paragraph" w:styleId="ListContinue">
    <w:name w:val="List Continue"/>
    <w:basedOn w:val="Normal"/>
    <w:uiPriority w:val="99"/>
    <w:semiHidden/>
    <w:unhideWhenUsed/>
    <w:rsid w:val="008F0D5C"/>
    <w:pPr>
      <w:spacing w:after="120"/>
      <w:ind w:left="283"/>
      <w:contextualSpacing/>
    </w:pPr>
  </w:style>
  <w:style w:type="paragraph" w:styleId="ListContinue2">
    <w:name w:val="List Continue 2"/>
    <w:basedOn w:val="Normal"/>
    <w:uiPriority w:val="99"/>
    <w:semiHidden/>
    <w:unhideWhenUsed/>
    <w:rsid w:val="008F0D5C"/>
    <w:pPr>
      <w:spacing w:after="120"/>
      <w:ind w:left="566"/>
      <w:contextualSpacing/>
    </w:pPr>
  </w:style>
  <w:style w:type="paragraph" w:styleId="ListContinue3">
    <w:name w:val="List Continue 3"/>
    <w:basedOn w:val="Normal"/>
    <w:uiPriority w:val="99"/>
    <w:semiHidden/>
    <w:unhideWhenUsed/>
    <w:rsid w:val="008F0D5C"/>
    <w:pPr>
      <w:spacing w:after="120"/>
      <w:ind w:left="849"/>
      <w:contextualSpacing/>
    </w:pPr>
  </w:style>
  <w:style w:type="paragraph" w:styleId="ListContinue4">
    <w:name w:val="List Continue 4"/>
    <w:basedOn w:val="Normal"/>
    <w:uiPriority w:val="99"/>
    <w:semiHidden/>
    <w:unhideWhenUsed/>
    <w:rsid w:val="008F0D5C"/>
    <w:pPr>
      <w:spacing w:after="120"/>
      <w:ind w:left="1132"/>
      <w:contextualSpacing/>
    </w:pPr>
  </w:style>
  <w:style w:type="paragraph" w:styleId="ListContinue5">
    <w:name w:val="List Continue 5"/>
    <w:basedOn w:val="Normal"/>
    <w:uiPriority w:val="99"/>
    <w:semiHidden/>
    <w:unhideWhenUsed/>
    <w:rsid w:val="008F0D5C"/>
    <w:pPr>
      <w:spacing w:after="120"/>
      <w:ind w:left="1415"/>
      <w:contextualSpacing/>
    </w:pPr>
  </w:style>
  <w:style w:type="paragraph" w:styleId="ListNumber">
    <w:name w:val="List Number"/>
    <w:basedOn w:val="Normal"/>
    <w:uiPriority w:val="99"/>
    <w:semiHidden/>
    <w:unhideWhenUsed/>
    <w:rsid w:val="008F0D5C"/>
    <w:pPr>
      <w:numPr>
        <w:numId w:val="17"/>
      </w:numPr>
      <w:contextualSpacing/>
    </w:pPr>
  </w:style>
  <w:style w:type="paragraph" w:styleId="ListNumber2">
    <w:name w:val="List Number 2"/>
    <w:basedOn w:val="Normal"/>
    <w:uiPriority w:val="99"/>
    <w:semiHidden/>
    <w:unhideWhenUsed/>
    <w:rsid w:val="008F0D5C"/>
    <w:pPr>
      <w:numPr>
        <w:numId w:val="18"/>
      </w:numPr>
      <w:contextualSpacing/>
    </w:pPr>
  </w:style>
  <w:style w:type="paragraph" w:styleId="ListNumber3">
    <w:name w:val="List Number 3"/>
    <w:basedOn w:val="Normal"/>
    <w:uiPriority w:val="99"/>
    <w:semiHidden/>
    <w:unhideWhenUsed/>
    <w:rsid w:val="008F0D5C"/>
    <w:pPr>
      <w:numPr>
        <w:numId w:val="19"/>
      </w:numPr>
      <w:contextualSpacing/>
    </w:pPr>
  </w:style>
  <w:style w:type="paragraph" w:styleId="ListNumber4">
    <w:name w:val="List Number 4"/>
    <w:basedOn w:val="Normal"/>
    <w:uiPriority w:val="99"/>
    <w:semiHidden/>
    <w:unhideWhenUsed/>
    <w:rsid w:val="008F0D5C"/>
    <w:pPr>
      <w:numPr>
        <w:numId w:val="20"/>
      </w:numPr>
      <w:contextualSpacing/>
    </w:pPr>
  </w:style>
  <w:style w:type="paragraph" w:styleId="ListNumber5">
    <w:name w:val="List Number 5"/>
    <w:basedOn w:val="Normal"/>
    <w:uiPriority w:val="99"/>
    <w:semiHidden/>
    <w:unhideWhenUsed/>
    <w:rsid w:val="008F0D5C"/>
    <w:pPr>
      <w:numPr>
        <w:numId w:val="21"/>
      </w:numPr>
      <w:contextualSpacing/>
    </w:pPr>
  </w:style>
  <w:style w:type="table" w:styleId="ListTable1Light">
    <w:name w:val="List Table 1 Light"/>
    <w:basedOn w:val="TableNormal"/>
    <w:uiPriority w:val="46"/>
    <w:rsid w:val="008F0D5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F0D5C"/>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rsid w:val="008F0D5C"/>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8F0D5C"/>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8F0D5C"/>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8F0D5C"/>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8F0D5C"/>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8F0D5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F0D5C"/>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rsid w:val="008F0D5C"/>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8F0D5C"/>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8F0D5C"/>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8F0D5C"/>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8F0D5C"/>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8F0D5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F0D5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rsid w:val="008F0D5C"/>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8F0D5C"/>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8F0D5C"/>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8F0D5C"/>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8F0D5C"/>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8F0D5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F0D5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rsid w:val="008F0D5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8F0D5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8F0D5C"/>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8F0D5C"/>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8F0D5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8F0D5C"/>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F0D5C"/>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F0D5C"/>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F0D5C"/>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F0D5C"/>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F0D5C"/>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F0D5C"/>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F0D5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8F0D5C"/>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rsid w:val="008F0D5C"/>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8F0D5C"/>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8F0D5C"/>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8F0D5C"/>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rsid w:val="008F0D5C"/>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8F0D5C"/>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F0D5C"/>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F0D5C"/>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F0D5C"/>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F0D5C"/>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F0D5C"/>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F0D5C"/>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semiHidden/>
    <w:rsid w:val="008F0D5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PMingLiU" w:hAnsi="Courier New" w:cs="Courier New"/>
      <w:color w:val="000000"/>
      <w:sz w:val="20"/>
      <w:szCs w:val="20"/>
      <w:lang w:bidi="ar-DZ"/>
    </w:rPr>
  </w:style>
  <w:style w:type="character" w:customStyle="1" w:styleId="MacroTextChar">
    <w:name w:val="Macro Text Char"/>
    <w:basedOn w:val="DefaultParagraphFont"/>
    <w:link w:val="MacroText"/>
    <w:semiHidden/>
    <w:rsid w:val="008F0D5C"/>
    <w:rPr>
      <w:rFonts w:ascii="Courier New" w:eastAsia="PMingLiU" w:hAnsi="Courier New" w:cs="Courier New"/>
      <w:color w:val="000000"/>
      <w:sz w:val="20"/>
      <w:szCs w:val="20"/>
      <w:lang w:bidi="ar-DZ"/>
    </w:rPr>
  </w:style>
  <w:style w:type="table" w:styleId="MediumGrid1">
    <w:name w:val="Medium Grid 1"/>
    <w:basedOn w:val="TableNormal"/>
    <w:uiPriority w:val="67"/>
    <w:semiHidden/>
    <w:unhideWhenUsed/>
    <w:rsid w:val="008F0D5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8F0D5C"/>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8F0D5C"/>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8F0D5C"/>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8F0D5C"/>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8F0D5C"/>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8F0D5C"/>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8F0D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8F0D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8F0D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8F0D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8F0D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8F0D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8F0D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8F0D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8F0D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8F0D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8F0D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8F0D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8F0D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8F0D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8F0D5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8F0D5C"/>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8F0D5C"/>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8F0D5C"/>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8F0D5C"/>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8F0D5C"/>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8F0D5C"/>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8F0D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8F0D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8F0D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8F0D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8F0D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8F0D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8F0D5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8F0D5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8F0D5C"/>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8F0D5C"/>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8F0D5C"/>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8F0D5C"/>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8F0D5C"/>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8F0D5C"/>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8F0D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8F0D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8F0D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8F0D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8F0D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8F0D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8F0D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8F0D5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F0D5C"/>
    <w:rPr>
      <w:rFonts w:asciiTheme="majorHAnsi" w:eastAsiaTheme="majorEastAsia" w:hAnsiTheme="majorHAnsi" w:cstheme="majorBidi"/>
      <w:color w:val="000000"/>
      <w:sz w:val="24"/>
      <w:szCs w:val="24"/>
      <w:shd w:val="pct20" w:color="auto" w:fill="auto"/>
      <w:lang w:bidi="ar-DZ"/>
    </w:rPr>
  </w:style>
  <w:style w:type="paragraph" w:styleId="NormalWeb">
    <w:name w:val="Normal (Web)"/>
    <w:basedOn w:val="Normal"/>
    <w:uiPriority w:val="99"/>
    <w:semiHidden/>
    <w:unhideWhenUsed/>
    <w:rsid w:val="008F0D5C"/>
    <w:rPr>
      <w:rFonts w:ascii="Times New Roman" w:hAnsi="Times New Roman"/>
      <w:sz w:val="24"/>
      <w:szCs w:val="24"/>
    </w:rPr>
  </w:style>
  <w:style w:type="paragraph" w:styleId="NormalIndent">
    <w:name w:val="Normal Indent"/>
    <w:basedOn w:val="Normal"/>
    <w:uiPriority w:val="99"/>
    <w:semiHidden/>
    <w:unhideWhenUsed/>
    <w:rsid w:val="008F0D5C"/>
    <w:pPr>
      <w:ind w:left="720"/>
    </w:pPr>
  </w:style>
  <w:style w:type="paragraph" w:styleId="NoteHeading">
    <w:name w:val="Note Heading"/>
    <w:basedOn w:val="Normal"/>
    <w:next w:val="Normal"/>
    <w:link w:val="NoteHeadingChar"/>
    <w:uiPriority w:val="99"/>
    <w:semiHidden/>
    <w:unhideWhenUsed/>
    <w:rsid w:val="008F0D5C"/>
  </w:style>
  <w:style w:type="character" w:customStyle="1" w:styleId="NoteHeadingChar">
    <w:name w:val="Note Heading Char"/>
    <w:basedOn w:val="DefaultParagraphFont"/>
    <w:link w:val="NoteHeading"/>
    <w:uiPriority w:val="99"/>
    <w:semiHidden/>
    <w:rsid w:val="008F0D5C"/>
    <w:rPr>
      <w:rFonts w:ascii="Arial" w:eastAsia="PMingLiU" w:hAnsi="Arial" w:cs="Times New Roman"/>
      <w:color w:val="000000"/>
      <w:szCs w:val="20"/>
      <w:lang w:bidi="ar-DZ"/>
    </w:rPr>
  </w:style>
  <w:style w:type="character" w:styleId="PageNumber">
    <w:name w:val="page number"/>
    <w:semiHidden/>
    <w:rsid w:val="008F0D5C"/>
    <w:rPr>
      <w:rFonts w:ascii="Arial" w:hAnsi="Arial"/>
      <w:sz w:val="18"/>
      <w:szCs w:val="18"/>
      <w:lang w:val="en-US" w:bidi="ar-DZ"/>
    </w:rPr>
  </w:style>
  <w:style w:type="character" w:styleId="PlaceholderText">
    <w:name w:val="Placeholder Text"/>
    <w:basedOn w:val="DefaultParagraphFont"/>
    <w:uiPriority w:val="99"/>
    <w:semiHidden/>
    <w:rsid w:val="008F0D5C"/>
    <w:rPr>
      <w:color w:val="808080"/>
      <w:lang w:val="en-US" w:bidi="ar-DZ"/>
    </w:rPr>
  </w:style>
  <w:style w:type="table" w:styleId="PlainTable1">
    <w:name w:val="Plain Table 1"/>
    <w:basedOn w:val="TableNormal"/>
    <w:uiPriority w:val="41"/>
    <w:rsid w:val="008F0D5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F0D5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F0D5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F0D5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F0D5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8F0D5C"/>
    <w:rPr>
      <w:rFonts w:ascii="Consolas" w:hAnsi="Consolas"/>
      <w:sz w:val="21"/>
      <w:szCs w:val="21"/>
    </w:rPr>
  </w:style>
  <w:style w:type="character" w:customStyle="1" w:styleId="PlainTextChar">
    <w:name w:val="Plain Text Char"/>
    <w:basedOn w:val="DefaultParagraphFont"/>
    <w:link w:val="PlainText"/>
    <w:uiPriority w:val="99"/>
    <w:semiHidden/>
    <w:rsid w:val="008F0D5C"/>
    <w:rPr>
      <w:rFonts w:ascii="Consolas" w:eastAsia="PMingLiU" w:hAnsi="Consolas" w:cs="Times New Roman"/>
      <w:color w:val="000000"/>
      <w:sz w:val="21"/>
      <w:szCs w:val="21"/>
      <w:lang w:bidi="ar-DZ"/>
    </w:rPr>
  </w:style>
  <w:style w:type="paragraph" w:styleId="Quote">
    <w:name w:val="Quote"/>
    <w:basedOn w:val="Normal"/>
    <w:next w:val="Normal"/>
    <w:link w:val="QuoteChar"/>
    <w:uiPriority w:val="29"/>
    <w:qFormat/>
    <w:rsid w:val="008F0D5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F0D5C"/>
    <w:rPr>
      <w:rFonts w:ascii="Arial" w:eastAsia="PMingLiU" w:hAnsi="Arial" w:cs="Times New Roman"/>
      <w:i/>
      <w:iCs/>
      <w:color w:val="404040" w:themeColor="text1" w:themeTint="BF"/>
      <w:szCs w:val="20"/>
      <w:lang w:bidi="ar-DZ"/>
    </w:rPr>
  </w:style>
  <w:style w:type="paragraph" w:styleId="Salutation">
    <w:name w:val="Salutation"/>
    <w:basedOn w:val="Normal"/>
    <w:next w:val="Normal"/>
    <w:link w:val="SalutationChar"/>
    <w:uiPriority w:val="99"/>
    <w:semiHidden/>
    <w:unhideWhenUsed/>
    <w:rsid w:val="008F0D5C"/>
  </w:style>
  <w:style w:type="character" w:customStyle="1" w:styleId="SalutationChar">
    <w:name w:val="Salutation Char"/>
    <w:basedOn w:val="DefaultParagraphFont"/>
    <w:link w:val="Salutation"/>
    <w:uiPriority w:val="99"/>
    <w:semiHidden/>
    <w:rsid w:val="008F0D5C"/>
    <w:rPr>
      <w:rFonts w:ascii="Arial" w:eastAsia="PMingLiU" w:hAnsi="Arial" w:cs="Times New Roman"/>
      <w:color w:val="000000"/>
      <w:szCs w:val="20"/>
      <w:lang w:bidi="ar-DZ"/>
    </w:rPr>
  </w:style>
  <w:style w:type="paragraph" w:styleId="Signature">
    <w:name w:val="Signature"/>
    <w:basedOn w:val="Normal"/>
    <w:link w:val="SignatureChar"/>
    <w:uiPriority w:val="99"/>
    <w:semiHidden/>
    <w:unhideWhenUsed/>
    <w:rsid w:val="008F0D5C"/>
    <w:pPr>
      <w:ind w:left="4252"/>
    </w:pPr>
  </w:style>
  <w:style w:type="character" w:customStyle="1" w:styleId="SignatureChar">
    <w:name w:val="Signature Char"/>
    <w:basedOn w:val="DefaultParagraphFont"/>
    <w:link w:val="Signature"/>
    <w:uiPriority w:val="99"/>
    <w:semiHidden/>
    <w:rsid w:val="008F0D5C"/>
    <w:rPr>
      <w:rFonts w:ascii="Arial" w:eastAsia="PMingLiU" w:hAnsi="Arial" w:cs="Times New Roman"/>
      <w:color w:val="000000"/>
      <w:szCs w:val="20"/>
      <w:lang w:bidi="ar-DZ"/>
    </w:rPr>
  </w:style>
  <w:style w:type="character" w:styleId="Strong">
    <w:name w:val="Strong"/>
    <w:basedOn w:val="DefaultParagraphFont"/>
    <w:uiPriority w:val="22"/>
    <w:qFormat/>
    <w:rsid w:val="008F0D5C"/>
    <w:rPr>
      <w:b/>
      <w:bCs/>
      <w:lang w:val="en-US" w:bidi="ar-DZ"/>
    </w:rPr>
  </w:style>
  <w:style w:type="paragraph" w:customStyle="1" w:styleId="Style1">
    <w:name w:val="Style1"/>
    <w:basedOn w:val="LeadInText"/>
    <w:semiHidden/>
    <w:qFormat/>
    <w:rsid w:val="008F0D5C"/>
    <w:pPr>
      <w:spacing w:after="200" w:line="480" w:lineRule="exact"/>
    </w:pPr>
  </w:style>
  <w:style w:type="paragraph" w:styleId="Subtitle">
    <w:name w:val="Subtitle"/>
    <w:basedOn w:val="Normal"/>
    <w:next w:val="Normal"/>
    <w:link w:val="SubtitleChar"/>
    <w:uiPriority w:val="11"/>
    <w:qFormat/>
    <w:rsid w:val="008F0D5C"/>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8F0D5C"/>
    <w:rPr>
      <w:rFonts w:eastAsiaTheme="minorEastAsia"/>
      <w:color w:val="5A5A5A" w:themeColor="text1" w:themeTint="A5"/>
      <w:spacing w:val="15"/>
      <w:lang w:bidi="ar-DZ"/>
    </w:rPr>
  </w:style>
  <w:style w:type="character" w:styleId="SubtleEmphasis">
    <w:name w:val="Subtle Emphasis"/>
    <w:basedOn w:val="DefaultParagraphFont"/>
    <w:uiPriority w:val="19"/>
    <w:qFormat/>
    <w:rsid w:val="008F0D5C"/>
    <w:rPr>
      <w:i/>
      <w:iCs/>
      <w:color w:val="404040" w:themeColor="text1" w:themeTint="BF"/>
      <w:lang w:val="en-US" w:bidi="ar-DZ"/>
    </w:rPr>
  </w:style>
  <w:style w:type="character" w:styleId="SubtleReference">
    <w:name w:val="Subtle Reference"/>
    <w:basedOn w:val="DefaultParagraphFont"/>
    <w:uiPriority w:val="31"/>
    <w:qFormat/>
    <w:rsid w:val="008F0D5C"/>
    <w:rPr>
      <w:smallCaps/>
      <w:color w:val="5A5A5A" w:themeColor="text1" w:themeTint="A5"/>
      <w:lang w:val="en-US" w:bidi="ar-DZ"/>
    </w:rPr>
  </w:style>
  <w:style w:type="table" w:styleId="Table3Deffects1">
    <w:name w:val="Table 3D effects 1"/>
    <w:basedOn w:val="TableNormal"/>
    <w:uiPriority w:val="99"/>
    <w:semiHidden/>
    <w:unhideWhenUsed/>
    <w:rsid w:val="008F0D5C"/>
    <w:pPr>
      <w:spacing w:after="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F0D5C"/>
    <w:pPr>
      <w:spacing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F0D5C"/>
    <w:pPr>
      <w:spacing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F0D5C"/>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F0D5C"/>
    <w:pPr>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F0D5C"/>
    <w:pPr>
      <w:spacing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F0D5C"/>
    <w:pPr>
      <w:spacing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F0D5C"/>
    <w:pPr>
      <w:spacing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F0D5C"/>
    <w:pPr>
      <w:spacing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F0D5C"/>
    <w:pPr>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F0D5C"/>
    <w:pPr>
      <w:spacing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F0D5C"/>
    <w:pPr>
      <w:spacing w:after="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F0D5C"/>
    <w:pPr>
      <w:spacing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F0D5C"/>
    <w:pPr>
      <w:spacing w:after="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F0D5C"/>
    <w:pPr>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F0D5C"/>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F0D5C"/>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F0D5C"/>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F0D5C"/>
    <w:pPr>
      <w:spacing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F0D5C"/>
    <w:pPr>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F0D5C"/>
    <w:pPr>
      <w:spacing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F0D5C"/>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F0D5C"/>
    <w:pPr>
      <w:spacing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F0D5C"/>
    <w:pPr>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F0D5C"/>
    <w:pPr>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F0D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8F0D5C"/>
    <w:pPr>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F0D5C"/>
    <w:pPr>
      <w:spacing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F0D5C"/>
    <w:pPr>
      <w:spacing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F0D5C"/>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F0D5C"/>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F0D5C"/>
    <w:pPr>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F0D5C"/>
    <w:pPr>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F0D5C"/>
    <w:pPr>
      <w:spacing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8F0D5C"/>
    <w:pPr>
      <w:ind w:left="220" w:hanging="220"/>
    </w:pPr>
  </w:style>
  <w:style w:type="table" w:styleId="TableProfessional">
    <w:name w:val="Table Professional"/>
    <w:basedOn w:val="TableNormal"/>
    <w:uiPriority w:val="99"/>
    <w:semiHidden/>
    <w:unhideWhenUsed/>
    <w:rsid w:val="008F0D5C"/>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F0D5C"/>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F0D5C"/>
    <w:pPr>
      <w:spacing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F0D5C"/>
    <w:pPr>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F0D5C"/>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F0D5C"/>
    <w:pPr>
      <w:spacing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F0D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F0D5C"/>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F0D5C"/>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F0D5C"/>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8F0D5C"/>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8F0D5C"/>
    <w:rPr>
      <w:rFonts w:asciiTheme="majorHAnsi" w:eastAsiaTheme="majorEastAsia" w:hAnsiTheme="majorHAnsi" w:cstheme="majorBidi"/>
      <w:spacing w:val="-10"/>
      <w:kern w:val="28"/>
      <w:sz w:val="56"/>
      <w:szCs w:val="56"/>
      <w:lang w:bidi="ar-DZ"/>
    </w:rPr>
  </w:style>
  <w:style w:type="paragraph" w:styleId="TOAHeading">
    <w:name w:val="toa heading"/>
    <w:basedOn w:val="Normal"/>
    <w:next w:val="Normal"/>
    <w:semiHidden/>
    <w:rsid w:val="008F0D5C"/>
    <w:pPr>
      <w:spacing w:before="120"/>
    </w:pPr>
    <w:rPr>
      <w:rFonts w:cs="Arial"/>
      <w:b/>
      <w:bCs/>
      <w:sz w:val="24"/>
      <w:szCs w:val="24"/>
    </w:rPr>
  </w:style>
  <w:style w:type="paragraph" w:styleId="TOC1">
    <w:name w:val="toc 1"/>
    <w:next w:val="BodyText"/>
    <w:uiPriority w:val="39"/>
    <w:rsid w:val="008F0D5C"/>
    <w:pPr>
      <w:tabs>
        <w:tab w:val="left" w:pos="567"/>
        <w:tab w:val="right" w:leader="dot" w:pos="9360"/>
      </w:tabs>
      <w:spacing w:before="60" w:after="60" w:line="220" w:lineRule="atLeast"/>
    </w:pPr>
    <w:rPr>
      <w:rFonts w:ascii="Arial" w:eastAsia="Calibri" w:hAnsi="Arial" w:cs="Times New Roman"/>
      <w:b/>
      <w:noProof/>
      <w:color w:val="2B3A44"/>
      <w:szCs w:val="20"/>
      <w:lang w:eastAsia="en-GB" w:bidi="ar-DZ"/>
    </w:rPr>
  </w:style>
  <w:style w:type="paragraph" w:styleId="TOC2">
    <w:name w:val="toc 2"/>
    <w:next w:val="BodyText"/>
    <w:uiPriority w:val="39"/>
    <w:rsid w:val="008F0D5C"/>
    <w:pPr>
      <w:tabs>
        <w:tab w:val="left" w:pos="1134"/>
        <w:tab w:val="right" w:leader="dot" w:pos="9360"/>
      </w:tabs>
      <w:spacing w:after="20" w:line="220" w:lineRule="atLeast"/>
      <w:ind w:left="1008" w:hanging="576"/>
    </w:pPr>
    <w:rPr>
      <w:rFonts w:ascii="Arial" w:eastAsia="PMingLiU" w:hAnsi="Arial" w:cs="Times New Roman"/>
      <w:color w:val="2B3A44"/>
      <w:szCs w:val="18"/>
      <w:lang w:bidi="ar-DZ"/>
    </w:rPr>
  </w:style>
  <w:style w:type="paragraph" w:styleId="TOC3">
    <w:name w:val="toc 3"/>
    <w:next w:val="BodyText"/>
    <w:uiPriority w:val="39"/>
    <w:rsid w:val="008F0D5C"/>
    <w:pPr>
      <w:tabs>
        <w:tab w:val="left" w:pos="1701"/>
        <w:tab w:val="right" w:leader="dot" w:pos="9360"/>
      </w:tabs>
      <w:spacing w:after="20" w:line="220" w:lineRule="atLeast"/>
      <w:ind w:left="1628" w:hanging="634"/>
    </w:pPr>
    <w:rPr>
      <w:rFonts w:ascii="Arial" w:eastAsia="PMingLiU" w:hAnsi="Arial" w:cs="Times New Roman"/>
      <w:noProof/>
      <w:color w:val="2B3A44"/>
      <w:szCs w:val="18"/>
      <w:lang w:eastAsia="en-GB" w:bidi="ar-DZ"/>
    </w:rPr>
  </w:style>
  <w:style w:type="paragraph" w:styleId="TOC4">
    <w:name w:val="toc 4"/>
    <w:next w:val="BodyText"/>
    <w:uiPriority w:val="39"/>
    <w:rsid w:val="008F0D5C"/>
    <w:pPr>
      <w:tabs>
        <w:tab w:val="left" w:pos="2610"/>
        <w:tab w:val="right" w:leader="dot" w:pos="9360"/>
      </w:tabs>
      <w:spacing w:after="20" w:line="240" w:lineRule="auto"/>
      <w:ind w:left="2621" w:hanging="994"/>
    </w:pPr>
    <w:rPr>
      <w:rFonts w:ascii="Arial" w:eastAsia="PMingLiU" w:hAnsi="Arial" w:cs="Times New Roman"/>
      <w:noProof/>
      <w:color w:val="2B3A44"/>
      <w:lang w:bidi="ar-DZ"/>
    </w:rPr>
  </w:style>
  <w:style w:type="paragraph" w:styleId="TOC5">
    <w:name w:val="toc 5"/>
    <w:next w:val="BodyText"/>
    <w:uiPriority w:val="39"/>
    <w:rsid w:val="008F0D5C"/>
    <w:pPr>
      <w:tabs>
        <w:tab w:val="left" w:pos="3690"/>
        <w:tab w:val="right" w:leader="dot" w:pos="9360"/>
      </w:tabs>
      <w:spacing w:after="20" w:line="240" w:lineRule="auto"/>
      <w:ind w:left="3686" w:hanging="1080"/>
    </w:pPr>
    <w:rPr>
      <w:rFonts w:ascii="Arial" w:eastAsia="PMingLiU" w:hAnsi="Arial" w:cs="Times New Roman"/>
      <w:noProof/>
      <w:color w:val="2B3A44"/>
      <w:lang w:bidi="ar-DZ"/>
    </w:rPr>
  </w:style>
  <w:style w:type="paragraph" w:styleId="TOC6">
    <w:name w:val="toc 6"/>
    <w:next w:val="BodyText"/>
    <w:uiPriority w:val="39"/>
    <w:rsid w:val="008F0D5C"/>
    <w:pPr>
      <w:tabs>
        <w:tab w:val="left" w:pos="4950"/>
        <w:tab w:val="right" w:leader="dot" w:pos="9360"/>
      </w:tabs>
      <w:spacing w:after="20"/>
      <w:ind w:left="4953" w:hanging="1267"/>
    </w:pPr>
    <w:rPr>
      <w:rFonts w:ascii="Arial" w:eastAsia="PMingLiU" w:hAnsi="Arial" w:cs="Times New Roman"/>
      <w:noProof/>
      <w:color w:val="2B3A44"/>
      <w:szCs w:val="20"/>
      <w:lang w:bidi="ar-DZ"/>
    </w:rPr>
  </w:style>
  <w:style w:type="paragraph" w:styleId="TOC7">
    <w:name w:val="toc 7"/>
    <w:basedOn w:val="Normal"/>
    <w:next w:val="BodyText"/>
    <w:semiHidden/>
    <w:rsid w:val="008F0D5C"/>
    <w:pPr>
      <w:tabs>
        <w:tab w:val="right" w:pos="8525"/>
      </w:tabs>
      <w:ind w:left="2952" w:hanging="1152"/>
    </w:pPr>
    <w:rPr>
      <w:sz w:val="20"/>
    </w:rPr>
  </w:style>
  <w:style w:type="paragraph" w:styleId="TOC8">
    <w:name w:val="toc 8"/>
    <w:basedOn w:val="Normal"/>
    <w:next w:val="BodyText"/>
    <w:semiHidden/>
    <w:rsid w:val="008F0D5C"/>
    <w:pPr>
      <w:tabs>
        <w:tab w:val="right" w:pos="8525"/>
      </w:tabs>
      <w:ind w:left="3456" w:hanging="1296"/>
    </w:pPr>
    <w:rPr>
      <w:sz w:val="20"/>
    </w:rPr>
  </w:style>
  <w:style w:type="paragraph" w:styleId="TOC9">
    <w:name w:val="toc 9"/>
    <w:basedOn w:val="Normal"/>
    <w:next w:val="BodyText"/>
    <w:semiHidden/>
    <w:rsid w:val="008F0D5C"/>
    <w:pPr>
      <w:tabs>
        <w:tab w:val="right" w:pos="8525"/>
      </w:tabs>
      <w:ind w:left="3960" w:hanging="1440"/>
    </w:pPr>
    <w:rPr>
      <w:sz w:val="20"/>
    </w:rPr>
  </w:style>
  <w:style w:type="paragraph" w:styleId="TOCHeading">
    <w:name w:val="TOC Heading"/>
    <w:next w:val="TOC1"/>
    <w:uiPriority w:val="39"/>
    <w:qFormat/>
    <w:rsid w:val="008F0D5C"/>
    <w:pPr>
      <w:keepLines/>
      <w:spacing w:before="240" w:after="120" w:line="240" w:lineRule="auto"/>
    </w:pPr>
    <w:rPr>
      <w:rFonts w:ascii="Arial" w:eastAsiaTheme="majorEastAsia" w:hAnsi="Arial" w:cs="Arial"/>
      <w:b/>
      <w:color w:val="2B3A44"/>
      <w:sz w:val="36"/>
      <w:szCs w:val="32"/>
      <w:lang w:bidi="ar-DZ"/>
    </w:rPr>
  </w:style>
  <w:style w:type="table" w:customStyle="1" w:styleId="TableGrid10">
    <w:name w:val="Table Grid1"/>
    <w:basedOn w:val="TableNormal"/>
    <w:next w:val="TableGrid"/>
    <w:uiPriority w:val="39"/>
    <w:rsid w:val="008F0D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sAuto1Single">
    <w:name w:val="*Numbers (Auto) #1 Single"/>
    <w:basedOn w:val="Normal"/>
    <w:uiPriority w:val="1"/>
    <w:rsid w:val="008F0D5C"/>
    <w:pPr>
      <w:tabs>
        <w:tab w:val="left" w:pos="360"/>
        <w:tab w:val="left" w:pos="1440"/>
      </w:tabs>
    </w:pPr>
    <w:rPr>
      <w:rFonts w:eastAsia="Arial" w:cs="Arial"/>
      <w:color w:val="2B3A44"/>
      <w:szCs w:val="18"/>
    </w:rPr>
  </w:style>
  <w:style w:type="paragraph" w:customStyle="1" w:styleId="NumbersAuto1Double">
    <w:name w:val="*Numbers (Auto) #1 Double"/>
    <w:basedOn w:val="NumbersAuto1Single"/>
    <w:uiPriority w:val="1"/>
    <w:qFormat/>
    <w:rsid w:val="008F0D5C"/>
    <w:pPr>
      <w:numPr>
        <w:numId w:val="24"/>
      </w:numPr>
      <w:tabs>
        <w:tab w:val="clear" w:pos="1440"/>
      </w:tabs>
      <w:spacing w:after="120"/>
    </w:pPr>
  </w:style>
  <w:style w:type="paragraph" w:customStyle="1" w:styleId="NumbersAuto2Single">
    <w:name w:val="*Numbers (Auto) #2 Single"/>
    <w:basedOn w:val="Normal"/>
    <w:uiPriority w:val="1"/>
    <w:qFormat/>
    <w:rsid w:val="008F0D5C"/>
    <w:pPr>
      <w:tabs>
        <w:tab w:val="left" w:pos="1440"/>
      </w:tabs>
    </w:pPr>
    <w:rPr>
      <w:color w:val="2B3A44"/>
    </w:rPr>
  </w:style>
  <w:style w:type="paragraph" w:customStyle="1" w:styleId="NumbersAuto3Single">
    <w:name w:val="*Numbers (Auto) #3 Single"/>
    <w:basedOn w:val="Normal"/>
    <w:uiPriority w:val="1"/>
    <w:qFormat/>
    <w:rsid w:val="008F0D5C"/>
    <w:pPr>
      <w:tabs>
        <w:tab w:val="left" w:pos="1080"/>
      </w:tabs>
    </w:pPr>
    <w:rPr>
      <w:color w:val="2B3A44"/>
    </w:rPr>
  </w:style>
  <w:style w:type="paragraph" w:customStyle="1" w:styleId="NumbersAuto2Double">
    <w:name w:val="*Numbers (Auto) #2 Double"/>
    <w:basedOn w:val="NumbersAuto2Single"/>
    <w:uiPriority w:val="1"/>
    <w:qFormat/>
    <w:rsid w:val="008F0D5C"/>
    <w:pPr>
      <w:numPr>
        <w:ilvl w:val="1"/>
        <w:numId w:val="24"/>
      </w:numPr>
      <w:spacing w:after="120"/>
    </w:pPr>
  </w:style>
  <w:style w:type="paragraph" w:customStyle="1" w:styleId="NumbersAuto3Double">
    <w:name w:val="*Numbers (Auto) #3 Double"/>
    <w:basedOn w:val="BodyText"/>
    <w:uiPriority w:val="1"/>
    <w:qFormat/>
    <w:rsid w:val="008F0D5C"/>
    <w:pPr>
      <w:numPr>
        <w:ilvl w:val="2"/>
        <w:numId w:val="24"/>
      </w:numPr>
      <w:tabs>
        <w:tab w:val="left" w:pos="1080"/>
      </w:tabs>
    </w:pPr>
  </w:style>
  <w:style w:type="paragraph" w:customStyle="1" w:styleId="NumbersAuto5Single">
    <w:name w:val="*Numbers (Auto) #5 Single"/>
    <w:basedOn w:val="NumbersAuto3Single"/>
    <w:uiPriority w:val="1"/>
    <w:qFormat/>
    <w:rsid w:val="008F0D5C"/>
    <w:pPr>
      <w:numPr>
        <w:numId w:val="26"/>
      </w:numPr>
      <w:tabs>
        <w:tab w:val="clear" w:pos="1080"/>
        <w:tab w:val="left" w:pos="1620"/>
      </w:tabs>
      <w:ind w:left="1620"/>
    </w:pPr>
  </w:style>
  <w:style w:type="paragraph" w:customStyle="1" w:styleId="NumbersAuto4Double">
    <w:name w:val="*Numbers (Auto) #4 Double"/>
    <w:basedOn w:val="Normal"/>
    <w:uiPriority w:val="1"/>
    <w:qFormat/>
    <w:rsid w:val="008F0D5C"/>
    <w:pPr>
      <w:numPr>
        <w:numId w:val="25"/>
      </w:numPr>
      <w:tabs>
        <w:tab w:val="left" w:pos="1260"/>
      </w:tabs>
      <w:spacing w:after="120"/>
      <w:ind w:left="1267"/>
    </w:pPr>
    <w:rPr>
      <w:rFonts w:eastAsia="Arial" w:cs="Arial"/>
      <w:color w:val="2B3A44"/>
      <w:szCs w:val="18"/>
    </w:rPr>
  </w:style>
  <w:style w:type="paragraph" w:customStyle="1" w:styleId="NumbersAuto5Double">
    <w:name w:val="*Numbers (Auto) #5 Double"/>
    <w:basedOn w:val="NumbersAuto5Single"/>
    <w:uiPriority w:val="1"/>
    <w:qFormat/>
    <w:rsid w:val="008F0D5C"/>
    <w:pPr>
      <w:spacing w:after="120"/>
      <w:ind w:left="1627"/>
    </w:pPr>
  </w:style>
  <w:style w:type="numbering" w:customStyle="1" w:styleId="NumberAutoSingle">
    <w:name w:val="*Number Auto Single"/>
    <w:uiPriority w:val="99"/>
    <w:rsid w:val="008F0D5C"/>
    <w:pPr>
      <w:numPr>
        <w:numId w:val="22"/>
      </w:numPr>
    </w:pPr>
  </w:style>
  <w:style w:type="numbering" w:customStyle="1" w:styleId="NumbersAutoDouble">
    <w:name w:val="*Numbers Auto Double"/>
    <w:uiPriority w:val="99"/>
    <w:rsid w:val="008F0D5C"/>
    <w:pPr>
      <w:numPr>
        <w:numId w:val="23"/>
      </w:numPr>
    </w:pPr>
  </w:style>
  <w:style w:type="paragraph" w:customStyle="1" w:styleId="BulletSubnumber0">
    <w:name w:val="~Bullet Subnumber"/>
    <w:basedOn w:val="BulletSubnumber"/>
    <w:uiPriority w:val="1"/>
    <w:rsid w:val="008F0D5C"/>
  </w:style>
  <w:style w:type="paragraph" w:customStyle="1" w:styleId="SectionHeading">
    <w:name w:val="SectionHeading"/>
    <w:uiPriority w:val="1"/>
    <w:qFormat/>
    <w:rsid w:val="008F0D5C"/>
    <w:pPr>
      <w:pageBreakBefore/>
      <w:spacing w:before="240" w:after="0" w:line="240" w:lineRule="auto"/>
    </w:pPr>
    <w:rPr>
      <w:rFonts w:ascii="Arial" w:eastAsia="PMingLiU" w:hAnsi="Arial" w:cs="Times New Roman"/>
      <w:b/>
      <w:color w:val="FFFFFF" w:themeColor="background1"/>
      <w:sz w:val="48"/>
      <w:szCs w:val="20"/>
      <w:lang w:bidi="ar-DZ"/>
    </w:rPr>
  </w:style>
  <w:style w:type="paragraph" w:customStyle="1" w:styleId="SectionText">
    <w:name w:val="SectionText"/>
    <w:uiPriority w:val="2"/>
    <w:qFormat/>
    <w:rsid w:val="008F0D5C"/>
    <w:pPr>
      <w:spacing w:before="120" w:after="0" w:line="360" w:lineRule="exact"/>
      <w:ind w:right="1152"/>
    </w:pPr>
    <w:rPr>
      <w:rFonts w:ascii="Arial" w:eastAsia="PMingLiU" w:hAnsi="Arial" w:cs="Times New Roman"/>
      <w:color w:val="FFFFFF" w:themeColor="background1"/>
      <w:sz w:val="28"/>
      <w:szCs w:val="20"/>
      <w:lang w:bidi="ar-DZ"/>
    </w:rPr>
  </w:style>
  <w:style w:type="character" w:customStyle="1" w:styleId="BodyTextChar">
    <w:name w:val="*Body Text Char"/>
    <w:link w:val="BodyText"/>
    <w:locked/>
    <w:rsid w:val="008F0D5C"/>
    <w:rPr>
      <w:rFonts w:ascii="Arial" w:eastAsia="PMingLiU" w:hAnsi="Arial" w:cs="Times New Roman"/>
      <w:color w:val="2B3A44"/>
      <w:szCs w:val="20"/>
      <w:lang w:bidi="ar-DZ"/>
    </w:rPr>
  </w:style>
  <w:style w:type="numbering" w:customStyle="1" w:styleId="Bullet1">
    <w:name w:val="*Bullet #1"/>
    <w:uiPriority w:val="99"/>
    <w:rsid w:val="008F0D5C"/>
    <w:pPr>
      <w:numPr>
        <w:numId w:val="27"/>
      </w:numPr>
    </w:pPr>
  </w:style>
  <w:style w:type="paragraph" w:customStyle="1" w:styleId="Subheading0">
    <w:name w:val="~Subheading"/>
    <w:basedOn w:val="Subheading"/>
    <w:next w:val="BodyText0"/>
    <w:uiPriority w:val="1"/>
    <w:qFormat/>
    <w:rsid w:val="008F0D5C"/>
    <w:rPr>
      <w:rFonts w:ascii="Arial Narrow" w:hAnsi="Arial Narrow"/>
      <w:sz w:val="20"/>
    </w:rPr>
  </w:style>
  <w:style w:type="paragraph" w:customStyle="1" w:styleId="BodyTextBold0">
    <w:name w:val="~Body Text Bold"/>
    <w:basedOn w:val="BodyText0"/>
    <w:next w:val="BodyText0"/>
    <w:uiPriority w:val="1"/>
    <w:qFormat/>
    <w:rsid w:val="008F0D5C"/>
    <w:rPr>
      <w:b/>
    </w:rPr>
  </w:style>
  <w:style w:type="paragraph" w:customStyle="1" w:styleId="Heading70">
    <w:name w:val="*Heading 7"/>
    <w:next w:val="BodyText"/>
    <w:uiPriority w:val="1"/>
    <w:qFormat/>
    <w:rsid w:val="008F0D5C"/>
    <w:pPr>
      <w:keepNext/>
      <w:keepLines/>
      <w:spacing w:before="240" w:after="120" w:line="240" w:lineRule="auto"/>
      <w:outlineLvl w:val="6"/>
    </w:pPr>
    <w:rPr>
      <w:rFonts w:ascii="Arial" w:eastAsia="PMingLiU" w:hAnsi="Arial" w:cs="Times New Roman"/>
      <w:b/>
      <w:color w:val="2B3A44"/>
      <w:sz w:val="24"/>
      <w:szCs w:val="20"/>
      <w:lang w:bidi="ar-DZ"/>
    </w:rPr>
  </w:style>
  <w:style w:type="paragraph" w:customStyle="1" w:styleId="Heading80">
    <w:name w:val="*Heading 8"/>
    <w:next w:val="BodyText"/>
    <w:uiPriority w:val="1"/>
    <w:qFormat/>
    <w:rsid w:val="008F0D5C"/>
    <w:pPr>
      <w:keepNext/>
      <w:keepLines/>
      <w:spacing w:before="240" w:after="120" w:line="240" w:lineRule="auto"/>
      <w:outlineLvl w:val="7"/>
    </w:pPr>
    <w:rPr>
      <w:rFonts w:ascii="Arial" w:eastAsia="PMingLiU" w:hAnsi="Arial" w:cs="Times New Roman"/>
      <w:b/>
      <w:color w:val="2B3A44"/>
      <w:szCs w:val="20"/>
      <w:lang w:bidi="ar-DZ"/>
    </w:rPr>
  </w:style>
  <w:style w:type="paragraph" w:customStyle="1" w:styleId="Heading90">
    <w:name w:val="*Heading 9"/>
    <w:next w:val="BodyText"/>
    <w:uiPriority w:val="1"/>
    <w:qFormat/>
    <w:rsid w:val="008F0D5C"/>
    <w:pPr>
      <w:spacing w:before="240" w:after="120" w:line="240" w:lineRule="auto"/>
      <w:outlineLvl w:val="8"/>
    </w:pPr>
    <w:rPr>
      <w:rFonts w:ascii="Arial Narrow" w:eastAsia="PMingLiU" w:hAnsi="Arial Narrow" w:cs="Times New Roman"/>
      <w:b/>
      <w:color w:val="2B3A44"/>
      <w:szCs w:val="20"/>
      <w:lang w:bidi="ar-DZ"/>
    </w:rPr>
  </w:style>
  <w:style w:type="paragraph" w:customStyle="1" w:styleId="RFPReferenceLine">
    <w:name w:val="*RFP Reference Line"/>
    <w:next w:val="BodyText"/>
    <w:uiPriority w:val="1"/>
    <w:qFormat/>
    <w:rsid w:val="008F0D5C"/>
    <w:pPr>
      <w:keepNext/>
      <w:spacing w:after="120" w:line="240" w:lineRule="auto"/>
      <w:ind w:left="1440" w:hanging="1440"/>
    </w:pPr>
    <w:rPr>
      <w:rFonts w:ascii="Arial Narrow" w:eastAsia="PMingLiU" w:hAnsi="Arial Narrow" w:cs="Times New Roman"/>
      <w:color w:val="2B3A44"/>
      <w:szCs w:val="20"/>
      <w:lang w:bidi="ar-DZ"/>
    </w:rPr>
  </w:style>
  <w:style w:type="paragraph" w:customStyle="1" w:styleId="RightSidebarText">
    <w:name w:val="*Right Sidebar Text"/>
    <w:uiPriority w:val="1"/>
    <w:qFormat/>
    <w:rsid w:val="008F0D5C"/>
    <w:pPr>
      <w:framePr w:w="2880" w:hSpace="144" w:vSpace="144" w:wrap="around" w:vAnchor="text" w:hAnchor="margin" w:x="6481" w:y="87"/>
      <w:pBdr>
        <w:left w:val="single" w:sz="12" w:space="4" w:color="00EEAE"/>
      </w:pBdr>
      <w:spacing w:after="60" w:line="240" w:lineRule="auto"/>
    </w:pPr>
    <w:rPr>
      <w:rFonts w:ascii="Arial" w:eastAsia="PMingLiU" w:hAnsi="Arial" w:cs="Arial"/>
      <w:color w:val="2B3A44"/>
      <w:sz w:val="20"/>
      <w:szCs w:val="20"/>
      <w:lang w:bidi="ar-DZ"/>
    </w:rPr>
  </w:style>
  <w:style w:type="paragraph" w:customStyle="1" w:styleId="Table">
    <w:name w:val="~Table"/>
    <w:basedOn w:val="CvrLtrDetail"/>
    <w:next w:val="CvrLtrDetail"/>
    <w:uiPriority w:val="99"/>
    <w:qFormat/>
    <w:rsid w:val="008F0D5C"/>
  </w:style>
  <w:style w:type="paragraph" w:customStyle="1" w:styleId="Unknown">
    <w:name w:val="Unknown"/>
    <w:basedOn w:val="LeadInText"/>
    <w:next w:val="LeadInText"/>
    <w:uiPriority w:val="99"/>
    <w:qFormat/>
    <w:rsid w:val="008F0D5C"/>
  </w:style>
  <w:style w:type="paragraph" w:customStyle="1" w:styleId="TableofContents">
    <w:name w:val="*Table of Contents"/>
    <w:basedOn w:val="Normal"/>
    <w:next w:val="Normal"/>
    <w:rsid w:val="008F0D5C"/>
    <w:pPr>
      <w:pageBreakBefore/>
      <w:widowControl w:val="0"/>
      <w:spacing w:after="200" w:line="440" w:lineRule="atLeast"/>
    </w:pPr>
    <w:rPr>
      <w:rFonts w:eastAsia="Times New Roman" w:cs="Arial"/>
      <w:b/>
      <w:color w:val="2B3A44"/>
      <w:sz w:val="36"/>
      <w:szCs w:val="36"/>
      <w:lang w:bidi="ar-SA"/>
    </w:rPr>
  </w:style>
  <w:style w:type="paragraph" w:styleId="TableofFigures">
    <w:name w:val="table of figures"/>
    <w:basedOn w:val="Normal"/>
    <w:next w:val="Normal"/>
    <w:uiPriority w:val="99"/>
    <w:unhideWhenUsed/>
    <w:rsid w:val="008F0D5C"/>
    <w:pPr>
      <w:tabs>
        <w:tab w:val="left" w:pos="425"/>
        <w:tab w:val="right" w:leader="dot" w:pos="9360"/>
      </w:tabs>
    </w:pPr>
    <w:rPr>
      <w:color w:val="2B3A44"/>
    </w:rPr>
  </w:style>
  <w:style w:type="character" w:customStyle="1" w:styleId="Bullet1DoubleChar">
    <w:name w:val="*Bullet #1 Double Char"/>
    <w:aliases w:val="B Char,bubu Char,bullet doub... Char,Bullet Paragraph Char,BR-Bullets 2 Char,bullet1 Char,Bullet Li Char,bub3llet 2 Char,bullet single + After:  6 pt Char,B1 Char,double bullet Char,BU Bullet Paragraph Char,BU Char,BP Char,bu Char"/>
    <w:basedOn w:val="DefaultParagraphFont"/>
    <w:link w:val="Bullet1Double"/>
    <w:qFormat/>
    <w:locked/>
    <w:rsid w:val="00052C75"/>
    <w:rPr>
      <w:rFonts w:ascii="Arial" w:eastAsia="PMingLiU" w:hAnsi="Arial" w:cs="Times New Roman"/>
      <w:bCs/>
      <w:color w:val="2B3A44"/>
      <w:szCs w:val="20"/>
      <w:lang w:bidi="ar-DZ"/>
    </w:rPr>
  </w:style>
  <w:style w:type="character" w:customStyle="1" w:styleId="Bullet1DoubleCharChar">
    <w:name w:val="*Bullet #1 Double Char Char"/>
    <w:locked/>
    <w:rsid w:val="00984AE2"/>
    <w:rPr>
      <w:rFonts w:ascii="Arial" w:eastAsia="PMingLiU" w:hAnsi="Arial" w:cs="Times New Roman"/>
      <w:bCs/>
      <w:color w:val="2B3A44"/>
      <w:szCs w:val="20"/>
      <w:lang w:bidi="ar-DZ"/>
    </w:rPr>
  </w:style>
  <w:style w:type="paragraph" w:customStyle="1" w:styleId="Default">
    <w:name w:val="Default"/>
    <w:rsid w:val="008F0D5C"/>
    <w:pPr>
      <w:autoSpaceDE w:val="0"/>
      <w:autoSpaceDN w:val="0"/>
      <w:adjustRightInd w:val="0"/>
      <w:spacing w:after="0" w:line="240" w:lineRule="auto"/>
    </w:pPr>
    <w:rPr>
      <w:rFonts w:ascii="Arial" w:hAnsi="Arial" w:cs="Arial"/>
      <w:color w:val="000000"/>
      <w:sz w:val="24"/>
      <w:szCs w:val="24"/>
    </w:rPr>
  </w:style>
  <w:style w:type="paragraph" w:customStyle="1" w:styleId="1stpara">
    <w:name w:val="1st para"/>
    <w:rsid w:val="008F0D5C"/>
    <w:pPr>
      <w:tabs>
        <w:tab w:val="left" w:pos="567"/>
      </w:tabs>
      <w:spacing w:after="0" w:line="240" w:lineRule="auto"/>
      <w:jc w:val="both"/>
    </w:pPr>
    <w:rPr>
      <w:rFonts w:ascii="Minion Pro" w:eastAsia="Times New Roman" w:hAnsi="Minion Pro" w:cs="Minion Pro"/>
      <w:color w:val="000000"/>
    </w:rPr>
  </w:style>
  <w:style w:type="character" w:customStyle="1" w:styleId="Bullet1Char">
    <w:name w:val="Bullet 1 Char"/>
    <w:basedOn w:val="DefaultParagraphFont"/>
    <w:link w:val="Bullet10"/>
    <w:uiPriority w:val="7"/>
    <w:locked/>
    <w:rsid w:val="00C42E36"/>
    <w:rPr>
      <w:rFonts w:ascii="Arial" w:eastAsia="Calibri" w:hAnsi="Arial" w:cs="Times New Roman"/>
      <w:color w:val="000000"/>
      <w:kern w:val="2"/>
      <w:szCs w:val="20"/>
    </w:rPr>
  </w:style>
  <w:style w:type="paragraph" w:customStyle="1" w:styleId="Bullet10">
    <w:name w:val="Bullet 1"/>
    <w:link w:val="Bullet1Char"/>
    <w:uiPriority w:val="7"/>
    <w:qFormat/>
    <w:rsid w:val="00C42E36"/>
    <w:pPr>
      <w:numPr>
        <w:numId w:val="53"/>
      </w:numPr>
      <w:spacing w:before="80" w:after="80" w:line="276" w:lineRule="auto"/>
    </w:pPr>
    <w:rPr>
      <w:rFonts w:ascii="Arial" w:eastAsia="Calibri" w:hAnsi="Arial" w:cs="Times New Roman"/>
      <w:color w:val="000000"/>
      <w:kern w:val="2"/>
      <w:szCs w:val="20"/>
    </w:rPr>
  </w:style>
  <w:style w:type="paragraph" w:customStyle="1" w:styleId="ProposalResponseText">
    <w:name w:val="**Proposal Response Text"/>
    <w:link w:val="ProposalResponseTextChar"/>
    <w:qFormat/>
    <w:rsid w:val="00500014"/>
    <w:pPr>
      <w:spacing w:before="120" w:after="60" w:line="276" w:lineRule="auto"/>
    </w:pPr>
    <w:rPr>
      <w:rFonts w:ascii="Arial" w:eastAsia="Calibri" w:hAnsi="Arial" w:cs="Times New Roman"/>
      <w:szCs w:val="24"/>
    </w:rPr>
  </w:style>
  <w:style w:type="character" w:customStyle="1" w:styleId="ProposalResponseTextChar">
    <w:name w:val="**Proposal Response Text Char"/>
    <w:link w:val="ProposalResponseText"/>
    <w:locked/>
    <w:rsid w:val="00500014"/>
    <w:rPr>
      <w:rFonts w:ascii="Arial" w:eastAsia="Calibri" w:hAnsi="Arial" w:cs="Times New Roman"/>
      <w:szCs w:val="24"/>
    </w:rPr>
  </w:style>
  <w:style w:type="character" w:customStyle="1" w:styleId="ActionCaptionB">
    <w:name w:val="Action Caption_B"/>
    <w:basedOn w:val="DefaultParagraphFont"/>
    <w:uiPriority w:val="19"/>
    <w:qFormat/>
    <w:rsid w:val="00CA63EF"/>
    <w:rPr>
      <w:rFonts w:ascii="Arial" w:hAnsi="Arial" w:cs="Arial" w:hint="default"/>
      <w:i/>
      <w:iCs w:val="0"/>
      <w:color w:val="F26924"/>
      <w:sz w:val="18"/>
    </w:rPr>
  </w:style>
  <w:style w:type="paragraph" w:customStyle="1" w:styleId="ExhibitTitle">
    <w:name w:val="Exhibit Title"/>
    <w:next w:val="Normal"/>
    <w:uiPriority w:val="20"/>
    <w:qFormat/>
    <w:rsid w:val="00CA63EF"/>
    <w:pPr>
      <w:keepNext/>
      <w:spacing w:after="0" w:line="240" w:lineRule="auto"/>
    </w:pPr>
    <w:rPr>
      <w:rFonts w:ascii="Arial" w:eastAsia="Calibri" w:hAnsi="Arial" w:cs="Times New Roman"/>
      <w:b/>
      <w:color w:val="000000"/>
      <w:sz w:val="18"/>
      <w:szCs w:val="20"/>
    </w:rPr>
  </w:style>
  <w:style w:type="paragraph" w:customStyle="1" w:styleId="CallOutBoxText">
    <w:name w:val="Call Out Box Text"/>
    <w:basedOn w:val="Normal"/>
    <w:link w:val="CallOutBoxTextChar"/>
    <w:uiPriority w:val="28"/>
    <w:qFormat/>
    <w:rsid w:val="005E2962"/>
    <w:pPr>
      <w:spacing w:line="276" w:lineRule="auto"/>
    </w:pPr>
    <w:rPr>
      <w:rFonts w:eastAsia="Calibri"/>
      <w:color w:val="3B3838" w:themeColor="background2" w:themeShade="40"/>
      <w:spacing w:val="6"/>
      <w:sz w:val="18"/>
      <w:szCs w:val="18"/>
      <w:lang w:bidi="ar-SA"/>
    </w:rPr>
  </w:style>
  <w:style w:type="character" w:customStyle="1" w:styleId="CallOutBoxTextChar">
    <w:name w:val="Call Out Box Text Char"/>
    <w:basedOn w:val="DefaultParagraphFont"/>
    <w:link w:val="CallOutBoxText"/>
    <w:uiPriority w:val="28"/>
    <w:rsid w:val="005E2962"/>
    <w:rPr>
      <w:rFonts w:ascii="Arial" w:eastAsia="Calibri" w:hAnsi="Arial" w:cs="Times New Roman"/>
      <w:color w:val="3B3838" w:themeColor="background2" w:themeShade="40"/>
      <w:spacing w:val="6"/>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rvicedesk@gainwelltechnologies.com" TargetMode="Externa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labounty\AppData\Roaming\Microsoft\Templates\Gainwell%20Proposal%20Template_Mar%202022.dotm" TargetMode="External"/></Relationships>
</file>

<file path=word/documenttasks/documenttasks1.xml><?xml version="1.0" encoding="utf-8"?>
<t:Tasks xmlns:t="http://schemas.microsoft.com/office/tasks/2019/documenttasks" xmlns:oel="http://schemas.microsoft.com/office/2019/extlst">
  <t:Task id="{22907130-B7B5-4EAF-8DFE-0C301D7BE4AF}">
    <t:Anchor>
      <t:Comment id="2095620131"/>
    </t:Anchor>
    <t:History>
      <t:Event id="{3B364195-B968-40B8-82CA-3DFA35B80FE8}" time="2023-05-19T16:16:01.102Z">
        <t:Attribution userId="S::danielle.sherwood@gainwelltechnologies.com::0c775f3c-4aa7-4b60-9054-165dc688341e" userProvider="AD" userName="Sherwood, Danielle"/>
        <t:Anchor>
          <t:Comment id="2095620131"/>
        </t:Anchor>
        <t:Create/>
      </t:Event>
      <t:Event id="{5520460D-F30A-4A6E-8FC7-4105400291A7}" time="2023-05-19T16:16:01.102Z">
        <t:Attribution userId="S::danielle.sherwood@gainwelltechnologies.com::0c775f3c-4aa7-4b60-9054-165dc688341e" userProvider="AD" userName="Sherwood, Danielle"/>
        <t:Anchor>
          <t:Comment id="2095620131"/>
        </t:Anchor>
        <t:Assign userId="S::danielle.sherwood@gainwelltechnologies.com::0c775f3c-4aa7-4b60-9054-165dc688341e" userProvider="AD" userName="Sherwood, Danielle"/>
      </t:Event>
      <t:Event id="{9B48A3E0-EAEE-4789-BF47-C8E55B186FD4}" time="2023-05-19T16:16:01.102Z">
        <t:Attribution userId="S::danielle.sherwood@gainwelltechnologies.com::0c775f3c-4aa7-4b60-9054-165dc688341e" userProvider="AD" userName="Sherwood, Danielle"/>
        <t:Anchor>
          <t:Comment id="2095620131"/>
        </t:Anchor>
        <t:SetTitle title="Update with Enrollment to explain multiple options for types of enrollments. @Sherwood, Daniell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CFB350B09707499616A3C808EA9CB3" ma:contentTypeVersion="6" ma:contentTypeDescription="Create a new document." ma:contentTypeScope="" ma:versionID="1e74b733498f71eaa518eca8766ff77f">
  <xsd:schema xmlns:xsd="http://www.w3.org/2001/XMLSchema" xmlns:xs="http://www.w3.org/2001/XMLSchema" xmlns:p="http://schemas.microsoft.com/office/2006/metadata/properties" xmlns:ns2="1650a3ae-44ce-460e-8c1f-8f53c1afe7d6" xmlns:ns3="d4f86119-5c5e-4f21-b684-e607e85ef979" targetNamespace="http://schemas.microsoft.com/office/2006/metadata/properties" ma:root="true" ma:fieldsID="8bfcac786e8bfeaa6c9c57895bbb4dd3" ns2:_="" ns3:_="">
    <xsd:import namespace="1650a3ae-44ce-460e-8c1f-8f53c1afe7d6"/>
    <xsd:import namespace="d4f86119-5c5e-4f21-b684-e607e85ef979"/>
    <xsd:element name="properties">
      <xsd:complexType>
        <xsd:sequence>
          <xsd:element name="documentManagement">
            <xsd:complexType>
              <xsd:all>
                <xsd:element ref="ns2:Status" minOccurs="0"/>
                <xsd:element ref="ns3:SharedWithUsers" minOccurs="0"/>
                <xsd:element ref="ns3:SharedWithDetails" minOccurs="0"/>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50a3ae-44ce-460e-8c1f-8f53c1afe7d6"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Writing"/>
          <xsd:enumeration value="Ready for Review"/>
          <xsd:enumeration value="Ready for Edit"/>
          <xsd:enumeration value="Editing"/>
          <xsd:enumeration value="Ready for Template/Compliance"/>
          <xsd:enumeration value="Final File"/>
          <xsd:enumeration value="Ready for Roll up/Production"/>
          <xsd:enumeration value="Ready for Print/USB"/>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f86119-5c5e-4f21-b684-e607e85ef979"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tatus xmlns="1650a3ae-44ce-460e-8c1f-8f53c1afe7d6" xsi:nil="true"/>
  </documentManagement>
</p:properties>
</file>

<file path=customXml/itemProps1.xml><?xml version="1.0" encoding="utf-8"?>
<ds:datastoreItem xmlns:ds="http://schemas.openxmlformats.org/officeDocument/2006/customXml" ds:itemID="{5EB6FDBE-BE61-43FB-BA0A-94CB269DB040}">
  <ds:schemaRefs>
    <ds:schemaRef ds:uri="http://schemas.openxmlformats.org/officeDocument/2006/bibliography"/>
  </ds:schemaRefs>
</ds:datastoreItem>
</file>

<file path=customXml/itemProps2.xml><?xml version="1.0" encoding="utf-8"?>
<ds:datastoreItem xmlns:ds="http://schemas.openxmlformats.org/officeDocument/2006/customXml" ds:itemID="{7EB51B83-8B48-49A2-A753-2DA515FE58C1}">
  <ds:schemaRefs>
    <ds:schemaRef ds:uri="http://schemas.microsoft.com/sharepoint/v3/contenttype/forms"/>
  </ds:schemaRefs>
</ds:datastoreItem>
</file>

<file path=customXml/itemProps3.xml><?xml version="1.0" encoding="utf-8"?>
<ds:datastoreItem xmlns:ds="http://schemas.openxmlformats.org/officeDocument/2006/customXml" ds:itemID="{B0D52117-D2CA-4165-BADF-30B75DDD91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50a3ae-44ce-460e-8c1f-8f53c1afe7d6"/>
    <ds:schemaRef ds:uri="d4f86119-5c5e-4f21-b684-e607e85ef9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B26DD9-C0AB-41CC-9657-2D2718FA9EDA}">
  <ds:schemaRefs>
    <ds:schemaRef ds:uri="1650a3ae-44ce-460e-8c1f-8f53c1afe7d6"/>
    <ds:schemaRef ds:uri="http://www.w3.org/XML/1998/namespace"/>
    <ds:schemaRef ds:uri="http://schemas.microsoft.com/office/2006/metadata/properties"/>
    <ds:schemaRef ds:uri="http://purl.org/dc/dcmityp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d4f86119-5c5e-4f21-b684-e607e85ef979"/>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Gainwell Proposal Template_Mar 2022</Template>
  <TotalTime>9</TotalTime>
  <Pages>27</Pages>
  <Words>11439</Words>
  <Characters>65207</Characters>
  <Application>Microsoft Office Word</Application>
  <DocSecurity>0</DocSecurity>
  <Lines>543</Lines>
  <Paragraphs>152</Paragraphs>
  <ScaleCrop>false</ScaleCrop>
  <Company/>
  <LinksUpToDate>false</LinksUpToDate>
  <CharactersWithSpaces>76494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Laxman, Dinesh</dc:creator>
  <cp:keywords/>
  <dc:description/>
  <cp:lastModifiedBy>Moran, Caryn</cp:lastModifiedBy>
  <cp:revision>10</cp:revision>
  <dcterms:created xsi:type="dcterms:W3CDTF">2023-12-20T18:29:00Z</dcterms:created>
  <dcterms:modified xsi:type="dcterms:W3CDTF">2023-12-20T18:37:00Z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d41b92e99dee28e3fdefd55eeecbc00c6a8c79b4df6db4a6eaf93e24cf7cb374</vt:lpwstr>
  </property>
  <property fmtid="{D5CDD505-2E9C-101B-9397-08002B2CF9AE}" pid="3" name="ContentTypeId">
    <vt:lpwstr>0x010100E4CFB350B09707499616A3C808EA9CB3</vt:lpwstr>
  </property>
  <property fmtid="{D5CDD505-2E9C-101B-9397-08002B2CF9AE}" pid="4" name="MediaServiceImageTags">
    <vt:lpwstr/>
  </property>
</Properties>
</file>