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62F47A07"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7D4ACE">
        <w:rPr>
          <w:b/>
          <w:bCs/>
        </w:rPr>
        <w:t>4</w:t>
      </w:r>
    </w:p>
    <w:p w14:paraId="528B9F74" w14:textId="3C48CC0C" w:rsidR="00283F55" w:rsidRPr="000472B8" w:rsidRDefault="00283F55" w:rsidP="007576D5">
      <w:pPr>
        <w:tabs>
          <w:tab w:val="right" w:pos="3060"/>
          <w:tab w:val="left" w:pos="3240"/>
          <w:tab w:val="left" w:pos="7290"/>
        </w:tabs>
        <w:rPr>
          <w:b/>
          <w:bCs/>
        </w:rPr>
      </w:pPr>
      <w:r w:rsidRPr="005232A7">
        <w:tab/>
        <w:t>Contractor:</w:t>
      </w:r>
      <w:r w:rsidRPr="005232A7">
        <w:tab/>
      </w:r>
      <w:r w:rsidR="00211365">
        <w:rPr>
          <w:b/>
          <w:bCs/>
        </w:rPr>
        <w:t>E</w:t>
      </w:r>
      <w:r w:rsidR="007D4ACE">
        <w:rPr>
          <w:b/>
          <w:bCs/>
        </w:rPr>
        <w:t>nvironmental</w:t>
      </w:r>
      <w:r w:rsidR="00211365">
        <w:rPr>
          <w:b/>
          <w:bCs/>
        </w:rPr>
        <w:t xml:space="preserve"> </w:t>
      </w:r>
      <w:r w:rsidR="007D4ACE">
        <w:rPr>
          <w:b/>
          <w:bCs/>
        </w:rPr>
        <w:t>Systems Corporation</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256F" w14:textId="77777777" w:rsidR="00CA055C" w:rsidRDefault="00CA055C" w:rsidP="00ED2DF2">
      <w:pPr>
        <w:spacing w:after="0"/>
      </w:pPr>
      <w:r>
        <w:separator/>
      </w:r>
    </w:p>
  </w:endnote>
  <w:endnote w:type="continuationSeparator" w:id="0">
    <w:p w14:paraId="6D5BFF47" w14:textId="77777777" w:rsidR="00CA055C" w:rsidRDefault="00CA055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124C" w14:textId="77777777" w:rsidR="00CA055C" w:rsidRDefault="00CA055C" w:rsidP="00ED2DF2">
      <w:pPr>
        <w:spacing w:after="0"/>
      </w:pPr>
      <w:r>
        <w:separator/>
      </w:r>
    </w:p>
  </w:footnote>
  <w:footnote w:type="continuationSeparator" w:id="0">
    <w:p w14:paraId="4537A637" w14:textId="77777777" w:rsidR="00CA055C" w:rsidRDefault="00CA055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A227BE"/>
    <w:rsid w:val="00A33FC6"/>
    <w:rsid w:val="00A51331"/>
    <w:rsid w:val="00A63102"/>
    <w:rsid w:val="00A84B0A"/>
    <w:rsid w:val="00AA6962"/>
    <w:rsid w:val="00AF1955"/>
    <w:rsid w:val="00B13314"/>
    <w:rsid w:val="00B26EC7"/>
    <w:rsid w:val="00B27A06"/>
    <w:rsid w:val="00B43D4C"/>
    <w:rsid w:val="00B512CC"/>
    <w:rsid w:val="00B96703"/>
    <w:rsid w:val="00C0255D"/>
    <w:rsid w:val="00C308A7"/>
    <w:rsid w:val="00C5140E"/>
    <w:rsid w:val="00C5553F"/>
    <w:rsid w:val="00CA055C"/>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2023-05-30T19:37:00Z</dcterms:created>
  <dcterms:modified xsi:type="dcterms:W3CDTF">2023-05-30T19:37:00Z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