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28BE" w:rsidRDefault="00AB7071">
      <w:pPr>
        <w:spacing w:after="240"/>
        <w:jc w:val="center"/>
        <w:rPr>
          <w:rFonts w:ascii="Times New Roman" w:hAnsi="Times New Roman"/>
          <w:sz w:val="20"/>
          <w:szCs w:val="20"/>
        </w:rPr>
      </w:pPr>
      <w:bookmarkStart w:id="0" w:name="_GoBack"/>
      <w:bookmarkEnd w:id="0"/>
      <w:r>
        <w:rPr>
          <w:rFonts w:ascii="Times New Roman" w:hAnsi="Times New Roman"/>
          <w:sz w:val="20"/>
          <w:szCs w:val="20"/>
        </w:rPr>
        <w:t xml:space="preserve">HIPAA BUSINESS ASSOCIATE ADDENDUM  - RESELLER </w:t>
      </w:r>
    </w:p>
    <w:p w:rsidR="002528BE" w:rsidRDefault="00AB7071">
      <w:pPr>
        <w:jc w:val="center"/>
      </w:pPr>
      <w:r>
        <w:rPr>
          <w:rFonts w:ascii="Times New Roman" w:eastAsia="Calibri" w:hAnsi="Times New Roman"/>
          <w:sz w:val="20"/>
          <w:szCs w:val="20"/>
        </w:rPr>
        <w:t>(Last Updated: September 2023)</w:t>
      </w:r>
    </w:p>
    <w:p w:rsidR="002528BE" w:rsidRDefault="002528BE">
      <w:pPr>
        <w:jc w:val="center"/>
        <w:rPr>
          <w:rFonts w:ascii="Times New Roman" w:eastAsia="Calibri" w:hAnsi="Times New Roman"/>
          <w:bCs/>
          <w:sz w:val="20"/>
          <w:szCs w:val="20"/>
        </w:rPr>
      </w:pPr>
    </w:p>
    <w:p w:rsidR="002528BE" w:rsidRDefault="00AB7071">
      <w:pPr>
        <w:spacing w:after="240"/>
        <w:jc w:val="both"/>
      </w:pPr>
      <w:bookmarkStart w:id="1" w:name="_heading=h.gjdgxs"/>
      <w:bookmarkEnd w:id="1"/>
      <w:r>
        <w:rPr>
          <w:rFonts w:ascii="Times New Roman" w:eastAsia="Calibri" w:hAnsi="Times New Roman"/>
          <w:sz w:val="20"/>
          <w:szCs w:val="20"/>
        </w:rPr>
        <w:t xml:space="preserve">This HIPAA Business Associate Addendum (this “Addendum”) is made a part of, and incorporated into, the </w:t>
      </w:r>
      <w:r>
        <w:rPr>
          <w:rFonts w:ascii="Times New Roman" w:eastAsia="Calibri" w:hAnsi="Times New Roman"/>
          <w:sz w:val="20"/>
          <w:szCs w:val="20"/>
        </w:rPr>
        <w:t>Agreement between Reseller and SFDC.  If the term “Reseller” is not defined in the Agreement, then references herein to Reseller refer to Partner (as defined in the Agreement).  If the term “Reseller Customer” is defined in the Agreement, then references h</w:t>
      </w:r>
      <w:r>
        <w:rPr>
          <w:rFonts w:ascii="Times New Roman" w:eastAsia="Calibri" w:hAnsi="Times New Roman"/>
          <w:sz w:val="20"/>
          <w:szCs w:val="20"/>
        </w:rPr>
        <w:t>erein to Customer refer to the Reseller Customer.  If the term “OEM Services” is defined in the Agreement, then references herein to Services refer to the OEM Services.  If the term “Service Order” is used in the Agreement, then the term “Order Form” as us</w:t>
      </w:r>
      <w:r>
        <w:rPr>
          <w:rFonts w:ascii="Times New Roman" w:eastAsia="Calibri" w:hAnsi="Times New Roman"/>
          <w:sz w:val="20"/>
          <w:szCs w:val="20"/>
        </w:rPr>
        <w:t xml:space="preserve">ed herein means Service Order.  The purpose of this Addendum is to implement certain of the requirements of the Health Insurance Portability and Accountability Act of 1996 and the rules and regulations promulgated thereunder as supplemented and amended by </w:t>
      </w:r>
      <w:r>
        <w:rPr>
          <w:rFonts w:ascii="Times New Roman" w:eastAsia="Calibri" w:hAnsi="Times New Roman"/>
          <w:sz w:val="20"/>
          <w:szCs w:val="20"/>
        </w:rPr>
        <w:t>the requirements of Subtitle D of the Health Information Technology for Economic and Clinical Health (“HITECH”) Act provisions of the American Recovery and Reinvestment Act of 2009 and the rules and regulations promulgated thereunder (collectively, “HIPAA”</w:t>
      </w:r>
      <w:r>
        <w:rPr>
          <w:rFonts w:ascii="Times New Roman" w:eastAsia="Calibri" w:hAnsi="Times New Roman"/>
          <w:sz w:val="20"/>
          <w:szCs w:val="20"/>
        </w:rPr>
        <w:t>).  The parties acknowledge that those regulations include both the federal privacy regulations, as amended from time to time, issued</w:t>
      </w:r>
      <w:r>
        <w:rPr>
          <w:rFonts w:ascii="Times New Roman" w:eastAsia="Calibri" w:hAnsi="Times New Roman"/>
          <w:sz w:val="20"/>
        </w:rPr>
        <w:t xml:space="preserve"> </w:t>
      </w:r>
      <w:r>
        <w:rPr>
          <w:rFonts w:ascii="Times New Roman" w:eastAsia="Calibri" w:hAnsi="Times New Roman"/>
          <w:sz w:val="20"/>
          <w:szCs w:val="20"/>
        </w:rPr>
        <w:t>under HIPAA and codified at 45 CFR Parts 160 and 164 (Subparts A &amp; E) (the “Privacy Rule”) and the federal security regula</w:t>
      </w:r>
      <w:r>
        <w:rPr>
          <w:rFonts w:ascii="Times New Roman" w:eastAsia="Calibri" w:hAnsi="Times New Roman"/>
          <w:sz w:val="20"/>
          <w:szCs w:val="20"/>
        </w:rPr>
        <w:t>tions, as amended from time to time, issued under HIPAA and codified at 45 CFR Parts 160 and 164 (Subparts A &amp; C) (the “Security Rule”).</w:t>
      </w:r>
    </w:p>
    <w:p w:rsidR="002528BE" w:rsidRDefault="00AB7071">
      <w:pPr>
        <w:spacing w:after="120"/>
        <w:jc w:val="both"/>
      </w:pPr>
      <w:bookmarkStart w:id="2" w:name="_heading=h.30j0zll"/>
      <w:bookmarkEnd w:id="2"/>
      <w:r>
        <w:rPr>
          <w:rFonts w:ascii="Times New Roman" w:eastAsia="Calibri" w:hAnsi="Times New Roman"/>
          <w:sz w:val="20"/>
          <w:szCs w:val="20"/>
        </w:rPr>
        <w:t xml:space="preserve">In the course of providing the HIPAA Covered Services (as defined below) to Reseller under the Agreement, SFDC may, on </w:t>
      </w:r>
      <w:r>
        <w:rPr>
          <w:rFonts w:ascii="Times New Roman" w:eastAsia="Calibri" w:hAnsi="Times New Roman"/>
          <w:sz w:val="20"/>
          <w:szCs w:val="20"/>
        </w:rPr>
        <w:t>behalf of Reseller, receive, maintain or transmit information entered into the HIPAA Covered Services as Customer Data that constitutes Protected Health Information, as defined in 45 CFR §160.103, and as a result may, for certain purposes and under certain</w:t>
      </w:r>
      <w:r>
        <w:rPr>
          <w:rFonts w:ascii="Times New Roman" w:eastAsia="Calibri" w:hAnsi="Times New Roman"/>
          <w:sz w:val="20"/>
          <w:szCs w:val="20"/>
        </w:rPr>
        <w:t xml:space="preserve"> circumstances, be deemed a Business Associate (as such term is defined in 45 CFR §160.103) of Reseller under HIPAA. This Addendum applies to the Services located at </w:t>
      </w:r>
      <w:hyperlink r:id="rId7" w:history="1">
        <w:r>
          <w:rPr>
            <w:rFonts w:ascii="Times New Roman" w:eastAsia="Calibri" w:hAnsi="Times New Roman"/>
            <w:color w:val="0563C1"/>
            <w:sz w:val="20"/>
            <w:szCs w:val="20"/>
            <w:u w:val="single"/>
          </w:rPr>
          <w:t>https://www.salesforce.com/company/legal/business-associate-addendum-restrictions/</w:t>
        </w:r>
      </w:hyperlink>
      <w:r>
        <w:rPr>
          <w:rFonts w:ascii="Times New Roman" w:eastAsia="Calibri" w:hAnsi="Times New Roman"/>
          <w:sz w:val="20"/>
          <w:szCs w:val="20"/>
        </w:rPr>
        <w:t xml:space="preserve"> (as updated from time to time), to the extent SFDC, on behalf of Reseller, receives, maintains or transmits PHI (“HIPAA Covered Services”); provided, however, that</w:t>
      </w:r>
      <w:r>
        <w:rPr>
          <w:rFonts w:ascii="Times New Roman" w:eastAsia="Calibri" w:hAnsi="Times New Roman"/>
          <w:sz w:val="20"/>
          <w:szCs w:val="20"/>
        </w:rPr>
        <w:t xml:space="preserve"> the HIPAA Covered Services do not include any portion of such Services that are deployed on Customer’s premises. “PHI” means any such Protected Health Information to the extent that it is entered as Customer Data into the HIPAA Covered Services. “Document</w:t>
      </w:r>
      <w:r>
        <w:rPr>
          <w:rFonts w:ascii="Times New Roman" w:eastAsia="Calibri" w:hAnsi="Times New Roman"/>
          <w:sz w:val="20"/>
          <w:szCs w:val="20"/>
        </w:rPr>
        <w:t>ation” means the applicable Services’ Trust and Compliance documentation, and its usage guides and policies, as updated from time to time, accessible via help.salesforce.com or login to the applicable Services.</w:t>
      </w:r>
      <w:r>
        <w:rPr>
          <w:rFonts w:ascii="Times New Roman" w:eastAsia="Calibri" w:hAnsi="Times New Roman"/>
          <w:sz w:val="20"/>
        </w:rPr>
        <w:t xml:space="preserve"> </w:t>
      </w:r>
      <w:r>
        <w:rPr>
          <w:rFonts w:ascii="Times New Roman" w:eastAsia="Calibri" w:hAnsi="Times New Roman"/>
          <w:sz w:val="20"/>
          <w:szCs w:val="20"/>
        </w:rPr>
        <w:t>For clarity, Reseller acknowledges that neith</w:t>
      </w:r>
      <w:r>
        <w:rPr>
          <w:rFonts w:ascii="Times New Roman" w:eastAsia="Calibri" w:hAnsi="Times New Roman"/>
          <w:sz w:val="20"/>
          <w:szCs w:val="20"/>
        </w:rPr>
        <w:t>er SFDC nor its Subcontractors “create” PHI</w:t>
      </w:r>
      <w:r>
        <w:rPr>
          <w:rFonts w:ascii="Times New Roman" w:eastAsia="Calibri" w:hAnsi="Times New Roman"/>
          <w:sz w:val="20"/>
        </w:rPr>
        <w:t xml:space="preserve"> </w:t>
      </w:r>
      <w:r>
        <w:rPr>
          <w:rFonts w:ascii="Times New Roman" w:eastAsia="Calibri" w:hAnsi="Times New Roman"/>
          <w:sz w:val="20"/>
          <w:szCs w:val="20"/>
        </w:rPr>
        <w:t>in the provision of the HIPAA Covered Services. This Addendum governs Reseller’s and SFDC’s respective responsibilities with respect to such PHI to the extent SFDC acts as a Business Associate of Reseller, includ</w:t>
      </w:r>
      <w:r>
        <w:rPr>
          <w:rFonts w:ascii="Times New Roman" w:eastAsia="Calibri" w:hAnsi="Times New Roman"/>
          <w:sz w:val="20"/>
          <w:szCs w:val="20"/>
        </w:rPr>
        <w:t>ing SFDC’s Use and Disclosure of PHI, as such terms are defined in 45 CFR §160.103. A capitalized term not defined herein shall have the meaning ascribed to that term in the Agreement, or, if any such term has no meaning ascribed in the Agreement, then suc</w:t>
      </w:r>
      <w:r>
        <w:rPr>
          <w:rFonts w:ascii="Times New Roman" w:eastAsia="Calibri" w:hAnsi="Times New Roman"/>
          <w:sz w:val="20"/>
          <w:szCs w:val="20"/>
        </w:rPr>
        <w:t>h term shall have the meaning ascribed to it under HIPAA.</w:t>
      </w:r>
    </w:p>
    <w:p w:rsidR="002528BE" w:rsidRDefault="00AB7071">
      <w:pPr>
        <w:spacing w:after="240"/>
        <w:jc w:val="both"/>
      </w:pPr>
      <w:r>
        <w:rPr>
          <w:rFonts w:ascii="Times New Roman" w:eastAsia="Calibri" w:hAnsi="Times New Roman"/>
          <w:sz w:val="20"/>
          <w:szCs w:val="20"/>
        </w:rPr>
        <w:t>Accordingly, the parties agree as follows:</w:t>
      </w:r>
    </w:p>
    <w:p w:rsidR="002528BE" w:rsidRDefault="00AB7071">
      <w:pPr>
        <w:numPr>
          <w:ilvl w:val="0"/>
          <w:numId w:val="1"/>
        </w:numPr>
        <w:spacing w:after="240"/>
        <w:jc w:val="both"/>
      </w:pPr>
      <w:r>
        <w:rPr>
          <w:rFonts w:ascii="Times New Roman" w:eastAsia="Calibri" w:hAnsi="Times New Roman"/>
          <w:sz w:val="20"/>
          <w:szCs w:val="20"/>
        </w:rPr>
        <w:t>Use and Disclosure of PHI by Reseller; Responsibilities.  Reseller shall not include Protected Health Information in any Services other than as permitted b</w:t>
      </w:r>
      <w:r>
        <w:rPr>
          <w:rFonts w:ascii="Times New Roman" w:eastAsia="Calibri" w:hAnsi="Times New Roman"/>
          <w:sz w:val="20"/>
          <w:szCs w:val="20"/>
        </w:rPr>
        <w:t>y this Addendum.  Reseller is responsible for implementing appropriate privacy and security safeguards to protect PHI in compliance with HIPAA and this Addendum. Reseller acknowledges and agrees that Reseller</w:t>
      </w:r>
      <w:r>
        <w:rPr>
          <w:rFonts w:ascii="Times New Roman" w:eastAsia="Calibri" w:hAnsi="Times New Roman"/>
          <w:sz w:val="20"/>
        </w:rPr>
        <w:t xml:space="preserve"> controls how the HIPAA Covered Services are use</w:t>
      </w:r>
      <w:r>
        <w:rPr>
          <w:rFonts w:ascii="Times New Roman" w:eastAsia="Calibri" w:hAnsi="Times New Roman"/>
          <w:sz w:val="20"/>
        </w:rPr>
        <w:t xml:space="preserve">d and configured (e.g., through its agreement with the Customer) and is responsible for ensuring, where applicable, that such usage and configuration is in compliance with HIPAA, and that Reseller shall Use and Disclose PHI only as permitted by HIPAA. </w:t>
      </w:r>
      <w:r>
        <w:rPr>
          <w:rFonts w:ascii="Times New Roman" w:eastAsia="Calibri" w:hAnsi="Times New Roman"/>
          <w:sz w:val="20"/>
          <w:szCs w:val="20"/>
        </w:rPr>
        <w:t>With</w:t>
      </w:r>
      <w:r>
        <w:rPr>
          <w:rFonts w:ascii="Times New Roman" w:eastAsia="Calibri" w:hAnsi="Times New Roman"/>
          <w:sz w:val="20"/>
          <w:szCs w:val="20"/>
        </w:rPr>
        <w:t>out limiting the generality of the foregoing, Reseller shall do the following:</w:t>
      </w:r>
    </w:p>
    <w:p w:rsidR="002528BE" w:rsidRDefault="00AB7071">
      <w:pPr>
        <w:numPr>
          <w:ilvl w:val="1"/>
          <w:numId w:val="1"/>
        </w:numPr>
        <w:spacing w:after="240"/>
        <w:jc w:val="both"/>
      </w:pPr>
      <w:r>
        <w:rPr>
          <w:rFonts w:ascii="Times New Roman" w:eastAsia="Calibri" w:hAnsi="Times New Roman"/>
          <w:color w:val="000000"/>
          <w:sz w:val="20"/>
          <w:szCs w:val="20"/>
        </w:rPr>
        <w:t>N</w:t>
      </w:r>
      <w:r>
        <w:rPr>
          <w:rFonts w:ascii="Times New Roman" w:eastAsia="Calibri" w:hAnsi="Times New Roman"/>
          <w:sz w:val="20"/>
          <w:szCs w:val="20"/>
        </w:rPr>
        <w:t>ot authorize, request or require SFDC to Use or Disclose PHI in any manner that would violate HIPAA if the Use or Disclosure were carried out by Reseller except as permitted un</w:t>
      </w:r>
      <w:r>
        <w:rPr>
          <w:rFonts w:ascii="Times New Roman" w:eastAsia="Calibri" w:hAnsi="Times New Roman"/>
          <w:sz w:val="20"/>
          <w:szCs w:val="20"/>
        </w:rPr>
        <w:t>der HIPAA and set forth in this Addendum.</w:t>
      </w:r>
    </w:p>
    <w:p w:rsidR="002528BE" w:rsidRDefault="00AB7071">
      <w:pPr>
        <w:numPr>
          <w:ilvl w:val="1"/>
          <w:numId w:val="1"/>
        </w:numPr>
        <w:spacing w:after="240"/>
        <w:jc w:val="both"/>
      </w:pPr>
      <w:r>
        <w:rPr>
          <w:rFonts w:ascii="Times New Roman" w:eastAsia="Calibri" w:hAnsi="Times New Roman"/>
          <w:sz w:val="20"/>
          <w:szCs w:val="20"/>
        </w:rPr>
        <w:t xml:space="preserve">Not agree to any restriction requests or place any restrictions in any notice of privacy practices that would cause SFDC or one of its Subcontractors to violate this Addendum or any applicable law.  </w:t>
      </w:r>
      <w:r>
        <w:rPr>
          <w:rFonts w:ascii="Times New Roman" w:eastAsia="Calibri" w:hAnsi="Times New Roman"/>
          <w:sz w:val="20"/>
        </w:rPr>
        <w:t xml:space="preserve">     </w:t>
      </w:r>
    </w:p>
    <w:p w:rsidR="002528BE" w:rsidRDefault="00AB7071">
      <w:pPr>
        <w:numPr>
          <w:ilvl w:val="1"/>
          <w:numId w:val="1"/>
        </w:numPr>
        <w:spacing w:after="240"/>
        <w:jc w:val="both"/>
      </w:pPr>
      <w:r>
        <w:rPr>
          <w:rFonts w:ascii="Times New Roman" w:eastAsia="Calibri" w:hAnsi="Times New Roman"/>
          <w:sz w:val="20"/>
          <w:szCs w:val="20"/>
        </w:rPr>
        <w:lastRenderedPageBreak/>
        <w:t>Use and r</w:t>
      </w:r>
      <w:r>
        <w:rPr>
          <w:rFonts w:ascii="Times New Roman" w:eastAsia="Calibri" w:hAnsi="Times New Roman"/>
          <w:sz w:val="20"/>
          <w:szCs w:val="20"/>
        </w:rPr>
        <w:t>etain a level of audit logging</w:t>
      </w:r>
      <w:r>
        <w:rPr>
          <w:rFonts w:ascii="Times New Roman" w:eastAsia="Calibri" w:hAnsi="Times New Roman"/>
          <w:sz w:val="18"/>
          <w:szCs w:val="18"/>
        </w:rPr>
        <w:t xml:space="preserve"> </w:t>
      </w:r>
      <w:r>
        <w:rPr>
          <w:rFonts w:ascii="Times New Roman" w:eastAsia="Calibri" w:hAnsi="Times New Roman"/>
          <w:sz w:val="20"/>
          <w:szCs w:val="20"/>
        </w:rPr>
        <w:t xml:space="preserve">sufficient to record all activity related to use of and access to PHI in applicable information systems. </w:t>
      </w:r>
    </w:p>
    <w:p w:rsidR="002528BE" w:rsidRDefault="00AB7071">
      <w:pPr>
        <w:numPr>
          <w:ilvl w:val="1"/>
          <w:numId w:val="1"/>
        </w:numPr>
        <w:spacing w:after="240"/>
        <w:jc w:val="both"/>
      </w:pPr>
      <w:r>
        <w:rPr>
          <w:rFonts w:ascii="Times New Roman" w:eastAsia="Calibri" w:hAnsi="Times New Roman"/>
          <w:sz w:val="20"/>
        </w:rPr>
        <w:t>Review and c</w:t>
      </w:r>
      <w:r>
        <w:rPr>
          <w:rFonts w:ascii="Times New Roman" w:eastAsia="Calibri" w:hAnsi="Times New Roman"/>
          <w:sz w:val="20"/>
          <w:szCs w:val="20"/>
        </w:rPr>
        <w:t xml:space="preserve">omply with the Business Associate Addendum Restrictions document available at </w:t>
      </w:r>
      <w:hyperlink r:id="rId8" w:history="1">
        <w:r>
          <w:rPr>
            <w:rFonts w:ascii="Times New Roman" w:eastAsia="Calibri" w:hAnsi="Times New Roman"/>
            <w:color w:val="0563C1"/>
            <w:sz w:val="20"/>
            <w:szCs w:val="20"/>
            <w:u w:val="single"/>
          </w:rPr>
          <w:t>https://www.salesforce.com/company/legal/business-associate-addendum-restrictions/(“BAA</w:t>
        </w:r>
      </w:hyperlink>
      <w:r>
        <w:rPr>
          <w:rFonts w:ascii="Times New Roman" w:eastAsia="Calibri" w:hAnsi="Times New Roman"/>
          <w:color w:val="0563C1"/>
          <w:sz w:val="20"/>
          <w:szCs w:val="20"/>
          <w:u w:val="single"/>
        </w:rPr>
        <w:t xml:space="preserve"> Restrictions”)</w:t>
      </w:r>
      <w:r>
        <w:rPr>
          <w:rFonts w:ascii="Times New Roman" w:eastAsia="Calibri" w:hAnsi="Times New Roman"/>
          <w:sz w:val="20"/>
          <w:szCs w:val="20"/>
        </w:rPr>
        <w:t xml:space="preserve"> (as updated from time to time) and as applicable to Reseller’s use of the HIPAA C</w:t>
      </w:r>
      <w:r>
        <w:rPr>
          <w:rFonts w:ascii="Times New Roman" w:eastAsia="Calibri" w:hAnsi="Times New Roman"/>
          <w:sz w:val="20"/>
          <w:szCs w:val="20"/>
        </w:rPr>
        <w:t>overed Services, such use only if and to the extent permitted under the Agreement.</w:t>
      </w:r>
    </w:p>
    <w:p w:rsidR="002528BE" w:rsidRDefault="00AB7071">
      <w:pPr>
        <w:numPr>
          <w:ilvl w:val="1"/>
          <w:numId w:val="1"/>
        </w:numPr>
        <w:spacing w:after="240"/>
        <w:jc w:val="both"/>
      </w:pPr>
      <w:bookmarkStart w:id="3" w:name="_heading=h.tyjcwt"/>
      <w:bookmarkEnd w:id="3"/>
      <w:r>
        <w:rPr>
          <w:rFonts w:ascii="Times New Roman" w:eastAsia="Calibri" w:hAnsi="Times New Roman"/>
          <w:sz w:val="20"/>
          <w:szCs w:val="20"/>
        </w:rPr>
        <w:t xml:space="preserve">Reseller shall enter directly into an agreement with Customer containing (i) obligations that are not materially different than or less protective of SFDC than the </w:t>
      </w:r>
      <w:r>
        <w:rPr>
          <w:rFonts w:ascii="Times New Roman" w:eastAsia="Calibri" w:hAnsi="Times New Roman"/>
          <w:sz w:val="20"/>
          <w:szCs w:val="20"/>
        </w:rPr>
        <w:t>obligation set forth in this Addendum; and (ii) the obligations set forth in the BAA Restrictions (as updated from time to time). For the avoidance of doubt, the agreement with Customer must expressly state that the obligations set forth in this Addendum a</w:t>
      </w:r>
      <w:r>
        <w:rPr>
          <w:rFonts w:ascii="Times New Roman" w:eastAsia="Calibri" w:hAnsi="Times New Roman"/>
          <w:sz w:val="20"/>
          <w:szCs w:val="20"/>
        </w:rPr>
        <w:t xml:space="preserve">nd the BAA Restrictions (as updated from time to time) that are contained in such agreement with Customer are to the benefit of and enforceable by SFDC as a third party beneficiary.  </w:t>
      </w:r>
    </w:p>
    <w:p w:rsidR="002528BE" w:rsidRDefault="00AB7071">
      <w:pPr>
        <w:numPr>
          <w:ilvl w:val="0"/>
          <w:numId w:val="1"/>
        </w:numPr>
        <w:spacing w:after="240"/>
        <w:jc w:val="both"/>
      </w:pPr>
      <w:r>
        <w:rPr>
          <w:rFonts w:ascii="Times New Roman" w:eastAsia="Calibri" w:hAnsi="Times New Roman"/>
          <w:sz w:val="20"/>
          <w:szCs w:val="20"/>
        </w:rPr>
        <w:t xml:space="preserve">Use and Disclosure of PHI by SFDC; Responsibilities.  SFDC shall Use or </w:t>
      </w:r>
      <w:r>
        <w:rPr>
          <w:rFonts w:ascii="Times New Roman" w:eastAsia="Calibri" w:hAnsi="Times New Roman"/>
          <w:sz w:val="20"/>
          <w:szCs w:val="20"/>
        </w:rPr>
        <w:t>Disclose PHI only in the manner and for the purposes set forth in this Addendum or in accordance with the Agreement and not in any other manner or for any other purposes.  Without limiting the generality of the foregoing, Reseller hereby authorizes SFDC to</w:t>
      </w:r>
      <w:r>
        <w:rPr>
          <w:rFonts w:ascii="Times New Roman" w:eastAsia="Calibri" w:hAnsi="Times New Roman"/>
          <w:sz w:val="20"/>
          <w:szCs w:val="20"/>
        </w:rPr>
        <w:t xml:space="preserve"> do the following: </w:t>
      </w:r>
    </w:p>
    <w:p w:rsidR="002528BE" w:rsidRDefault="00AB7071">
      <w:pPr>
        <w:numPr>
          <w:ilvl w:val="0"/>
          <w:numId w:val="2"/>
        </w:numPr>
        <w:spacing w:after="240"/>
        <w:jc w:val="both"/>
      </w:pPr>
      <w:bookmarkStart w:id="4" w:name="_heading=h.3dy6vkm"/>
      <w:bookmarkEnd w:id="4"/>
      <w:r>
        <w:rPr>
          <w:rFonts w:ascii="Times New Roman" w:eastAsia="Calibri" w:hAnsi="Times New Roman"/>
          <w:sz w:val="20"/>
          <w:szCs w:val="20"/>
        </w:rPr>
        <w:t xml:space="preserve">Use and Disclose PHI as necessary to provide and maintain the HIPAA Covered Services, to prevent or address service or technical problems, and to perform customer support services to Reseller and Customer; </w:t>
      </w:r>
    </w:p>
    <w:p w:rsidR="002528BE" w:rsidRDefault="00AB7071">
      <w:pPr>
        <w:numPr>
          <w:ilvl w:val="0"/>
          <w:numId w:val="2"/>
        </w:numPr>
        <w:spacing w:after="240"/>
        <w:jc w:val="both"/>
      </w:pPr>
      <w:r>
        <w:rPr>
          <w:rFonts w:ascii="Times New Roman" w:eastAsia="Calibri" w:hAnsi="Times New Roman"/>
          <w:sz w:val="20"/>
          <w:szCs w:val="20"/>
        </w:rPr>
        <w:t xml:space="preserve">Use and Disclose PHI as </w:t>
      </w:r>
      <w:r>
        <w:rPr>
          <w:rFonts w:ascii="Times New Roman" w:eastAsia="Calibri" w:hAnsi="Times New Roman"/>
          <w:sz w:val="20"/>
          <w:szCs w:val="20"/>
        </w:rPr>
        <w:t>Required by Law; and</w:t>
      </w:r>
    </w:p>
    <w:p w:rsidR="002528BE" w:rsidRDefault="00AB7071">
      <w:pPr>
        <w:numPr>
          <w:ilvl w:val="0"/>
          <w:numId w:val="2"/>
        </w:numPr>
        <w:spacing w:after="240"/>
        <w:jc w:val="both"/>
      </w:pPr>
      <w:r>
        <w:rPr>
          <w:rFonts w:ascii="Times New Roman" w:eastAsia="Calibri" w:hAnsi="Times New Roman"/>
          <w:sz w:val="20"/>
          <w:szCs w:val="20"/>
        </w:rPr>
        <w:t>Use and Disclose PHI as necessary for the proper management and administration of SFDC and to carry out the legal responsibilities of SFDC.</w:t>
      </w:r>
    </w:p>
    <w:p w:rsidR="002528BE" w:rsidRDefault="00AB7071">
      <w:pPr>
        <w:numPr>
          <w:ilvl w:val="0"/>
          <w:numId w:val="1"/>
        </w:numPr>
        <w:spacing w:after="240"/>
        <w:jc w:val="both"/>
      </w:pPr>
      <w:bookmarkStart w:id="5" w:name="_heading=h.1t3h5sf"/>
      <w:bookmarkEnd w:id="5"/>
      <w:r>
        <w:rPr>
          <w:rFonts w:ascii="Times New Roman" w:eastAsia="Calibri" w:hAnsi="Times New Roman"/>
          <w:sz w:val="20"/>
          <w:szCs w:val="20"/>
        </w:rPr>
        <w:t>Protection of PHI.  In connection with its receipt, maintenance or transmission of PHI on behal</w:t>
      </w:r>
      <w:r>
        <w:rPr>
          <w:rFonts w:ascii="Times New Roman" w:eastAsia="Calibri" w:hAnsi="Times New Roman"/>
          <w:sz w:val="20"/>
          <w:szCs w:val="20"/>
        </w:rPr>
        <w:t xml:space="preserve">f of Reseller, SFDC agrees to do the following: </w:t>
      </w:r>
    </w:p>
    <w:p w:rsidR="002528BE" w:rsidRDefault="00AB7071">
      <w:pPr>
        <w:numPr>
          <w:ilvl w:val="0"/>
          <w:numId w:val="3"/>
        </w:numPr>
        <w:spacing w:after="240"/>
        <w:ind w:left="1260"/>
        <w:jc w:val="both"/>
      </w:pPr>
      <w:r>
        <w:rPr>
          <w:rFonts w:ascii="Times New Roman" w:eastAsia="Calibri" w:hAnsi="Times New Roman"/>
          <w:sz w:val="20"/>
          <w:szCs w:val="20"/>
        </w:rPr>
        <w:t xml:space="preserve">in accordance with 45 CFR § 164.502(e)(1), SFDC may disclose PHI to Subcontractors and such Subcontractors shall have the rights to Use and Disclose PHI </w:t>
      </w:r>
      <w:r>
        <w:rPr>
          <w:rFonts w:ascii="Times New Roman" w:eastAsia="Calibri" w:hAnsi="Times New Roman"/>
          <w:sz w:val="20"/>
        </w:rPr>
        <w:t xml:space="preserve"> </w:t>
      </w:r>
      <w:r>
        <w:rPr>
          <w:rFonts w:ascii="Times New Roman" w:eastAsia="Calibri" w:hAnsi="Times New Roman"/>
          <w:sz w:val="20"/>
          <w:szCs w:val="20"/>
        </w:rPr>
        <w:t>under the agreement between SFDC and each Subcontract</w:t>
      </w:r>
      <w:r>
        <w:rPr>
          <w:rFonts w:ascii="Times New Roman" w:eastAsia="Calibri" w:hAnsi="Times New Roman"/>
          <w:sz w:val="20"/>
          <w:szCs w:val="20"/>
        </w:rPr>
        <w:t xml:space="preserve">or, provided that SFDC shall ensure that any Subcontractors that receive, maintain or transmit PHI on behalf of SFDC agree to restrictions and conditions no less restrictive than those that apply to SFDC in this Addendum with respect to such PHI; </w:t>
      </w:r>
    </w:p>
    <w:p w:rsidR="002528BE" w:rsidRDefault="00AB7071">
      <w:pPr>
        <w:numPr>
          <w:ilvl w:val="0"/>
          <w:numId w:val="3"/>
        </w:numPr>
        <w:spacing w:after="240"/>
        <w:ind w:left="1260"/>
        <w:jc w:val="both"/>
      </w:pPr>
      <w:r>
        <w:rPr>
          <w:rFonts w:ascii="Times New Roman" w:eastAsia="Calibri" w:hAnsi="Times New Roman"/>
          <w:sz w:val="20"/>
          <w:szCs w:val="20"/>
        </w:rPr>
        <w:t>use appr</w:t>
      </w:r>
      <w:r>
        <w:rPr>
          <w:rFonts w:ascii="Times New Roman" w:eastAsia="Calibri" w:hAnsi="Times New Roman"/>
          <w:sz w:val="20"/>
          <w:szCs w:val="20"/>
        </w:rPr>
        <w:t>opriate administrative, technical and physical safeguards, and comply, where applicable, with the Security Rule with respect to any PHI that constitutes Electronic Protected Health Information, to prevent Use or Disclosure of PHI other than as provided for</w:t>
      </w:r>
      <w:r>
        <w:rPr>
          <w:rFonts w:ascii="Times New Roman" w:eastAsia="Calibri" w:hAnsi="Times New Roman"/>
          <w:sz w:val="20"/>
          <w:szCs w:val="20"/>
        </w:rPr>
        <w:t xml:space="preserve"> by this Addendum; and</w:t>
      </w:r>
    </w:p>
    <w:p w:rsidR="002528BE" w:rsidRDefault="00AB7071">
      <w:pPr>
        <w:numPr>
          <w:ilvl w:val="0"/>
          <w:numId w:val="3"/>
        </w:numPr>
        <w:spacing w:after="240"/>
        <w:ind w:left="1260"/>
        <w:jc w:val="both"/>
      </w:pPr>
      <w:r>
        <w:rPr>
          <w:rFonts w:ascii="Times New Roman" w:eastAsia="Calibri" w:hAnsi="Times New Roman"/>
          <w:sz w:val="20"/>
          <w:szCs w:val="20"/>
        </w:rPr>
        <w:t>to the extent SFDC carries out the Reseller’s obligations under the Privacy Rule, if applicable, comply with the requirements of the Privacy Rule that apply to the Reseller in the performance of those obligations; notwithstanding the</w:t>
      </w:r>
      <w:r>
        <w:rPr>
          <w:rFonts w:ascii="Times New Roman" w:eastAsia="Calibri" w:hAnsi="Times New Roman"/>
          <w:sz w:val="20"/>
          <w:szCs w:val="20"/>
        </w:rPr>
        <w:t xml:space="preserve"> foregoing, the parties acknowledge that, under the Agreement and this Addendum, unless otherwise agreed upon by the parties in writing, SFDC has no obligations to carry out any of Reseller’s obligations under the Privacy Rule.  </w:t>
      </w:r>
    </w:p>
    <w:p w:rsidR="002528BE" w:rsidRDefault="00AB7071">
      <w:pPr>
        <w:numPr>
          <w:ilvl w:val="0"/>
          <w:numId w:val="1"/>
        </w:numPr>
        <w:jc w:val="both"/>
      </w:pPr>
      <w:bookmarkStart w:id="6" w:name="_heading=h.4d34og8"/>
      <w:bookmarkEnd w:id="6"/>
      <w:r>
        <w:rPr>
          <w:rFonts w:ascii="Times New Roman" w:eastAsia="Calibri" w:hAnsi="Times New Roman"/>
          <w:sz w:val="20"/>
          <w:szCs w:val="20"/>
        </w:rPr>
        <w:t xml:space="preserve">Breach Notification.  </w:t>
      </w:r>
    </w:p>
    <w:p w:rsidR="002528BE" w:rsidRDefault="00AB7071">
      <w:pPr>
        <w:numPr>
          <w:ilvl w:val="0"/>
          <w:numId w:val="4"/>
        </w:numPr>
        <w:spacing w:after="240"/>
        <w:jc w:val="both"/>
      </w:pPr>
      <w:bookmarkStart w:id="7" w:name="_heading=h.2s8eyo1"/>
      <w:bookmarkEnd w:id="7"/>
      <w:r>
        <w:rPr>
          <w:rFonts w:ascii="Times New Roman" w:eastAsia="Calibri" w:hAnsi="Times New Roman"/>
          <w:sz w:val="20"/>
          <w:szCs w:val="20"/>
        </w:rPr>
        <w:t>SFD</w:t>
      </w:r>
      <w:r>
        <w:rPr>
          <w:rFonts w:ascii="Times New Roman" w:eastAsia="Calibri" w:hAnsi="Times New Roman"/>
          <w:sz w:val="20"/>
          <w:szCs w:val="20"/>
        </w:rPr>
        <w:t>C shall report to Reseller and/or Customer any Use or Disclosure of PHI not provided for in this Addendum of which SFDC becomes aware, including any Breach of Unsecured Protected Health Information in accordance with 45 CFR § 164.410.  SFDC shall provide t</w:t>
      </w:r>
      <w:r>
        <w:rPr>
          <w:rFonts w:ascii="Times New Roman" w:eastAsia="Calibri" w:hAnsi="Times New Roman"/>
          <w:sz w:val="20"/>
          <w:szCs w:val="20"/>
        </w:rPr>
        <w:t xml:space="preserve">o the Reseller and/or Customer all information required by 45 CFR § 164.410(c) to the extent known and provide any additional available information reasonably requested by Customer for purposes of investigating the Breach as required by HIPAA.  For </w:t>
      </w:r>
      <w:r>
        <w:rPr>
          <w:rFonts w:ascii="Times New Roman" w:eastAsia="Calibri" w:hAnsi="Times New Roman"/>
          <w:sz w:val="20"/>
          <w:szCs w:val="20"/>
        </w:rPr>
        <w:lastRenderedPageBreak/>
        <w:t>purpose</w:t>
      </w:r>
      <w:r>
        <w:rPr>
          <w:rFonts w:ascii="Times New Roman" w:eastAsia="Calibri" w:hAnsi="Times New Roman"/>
          <w:sz w:val="20"/>
          <w:szCs w:val="20"/>
        </w:rPr>
        <w:t>s of this Addendum, “Breach” means the acquisition, access, Use or Disclosure of PHI in a manner not permitted by the Privacy Rule that compromises the security or privacy of the PHI as defined, and subject to the exclusions set forth, in 45 CFR § 164.402.</w:t>
      </w:r>
      <w:r>
        <w:rPr>
          <w:rFonts w:ascii="Times New Roman" w:eastAsia="Calibri" w:hAnsi="Times New Roman"/>
          <w:sz w:val="20"/>
          <w:szCs w:val="20"/>
        </w:rPr>
        <w:t xml:space="preserve">  </w:t>
      </w:r>
    </w:p>
    <w:p w:rsidR="002528BE" w:rsidRDefault="00AB7071">
      <w:pPr>
        <w:numPr>
          <w:ilvl w:val="0"/>
          <w:numId w:val="4"/>
        </w:numPr>
        <w:spacing w:after="240"/>
        <w:jc w:val="both"/>
      </w:pPr>
      <w:bookmarkStart w:id="8" w:name="_heading=h.17dp8vu"/>
      <w:bookmarkEnd w:id="8"/>
      <w:r>
        <w:rPr>
          <w:rFonts w:ascii="Times New Roman" w:eastAsia="Calibri" w:hAnsi="Times New Roman"/>
          <w:sz w:val="20"/>
          <w:szCs w:val="20"/>
        </w:rPr>
        <w:t>SFDC shall be required to report to Reseller and/or Customer without unreasonable delay, only successful Security Incidents pertaining to PHI of which SFDC becomes aware.  SFDC hereby provides Reseller with notice in this Section 4(ii) of the ongoing ex</w:t>
      </w:r>
      <w:r>
        <w:rPr>
          <w:rFonts w:ascii="Times New Roman" w:eastAsia="Calibri" w:hAnsi="Times New Roman"/>
          <w:sz w:val="20"/>
          <w:szCs w:val="20"/>
        </w:rPr>
        <w:t>istence and occurrence of attempted but unsuccessful Security Incidents, which include, but are not limited to, pings and other broadcast attacks on SFDC’s firewall, port scans, unsuccessful log-in attempts, denial of service attacks and any combination of</w:t>
      </w:r>
      <w:r>
        <w:rPr>
          <w:rFonts w:ascii="Times New Roman" w:eastAsia="Calibri" w:hAnsi="Times New Roman"/>
          <w:sz w:val="20"/>
          <w:szCs w:val="20"/>
        </w:rPr>
        <w:t xml:space="preserve"> the above, so long as such incidents do not result in unauthorized access, Use or Disclosure of PHI.  The parties agree that no further notice of unsuccessful Security Incidents is required.</w:t>
      </w:r>
    </w:p>
    <w:p w:rsidR="002528BE" w:rsidRDefault="00AB7071">
      <w:pPr>
        <w:numPr>
          <w:ilvl w:val="0"/>
          <w:numId w:val="1"/>
        </w:numPr>
        <w:spacing w:after="240"/>
        <w:jc w:val="both"/>
      </w:pPr>
      <w:bookmarkStart w:id="9" w:name="_heading=h.3rdcrjn"/>
      <w:bookmarkEnd w:id="9"/>
      <w:r>
        <w:rPr>
          <w:rFonts w:ascii="Times New Roman" w:eastAsia="Calibri" w:hAnsi="Times New Roman"/>
          <w:sz w:val="20"/>
          <w:szCs w:val="20"/>
        </w:rPr>
        <w:t>Access by HHS. SFDC shall make its internal practices, books and</w:t>
      </w:r>
      <w:r>
        <w:rPr>
          <w:rFonts w:ascii="Times New Roman" w:eastAsia="Calibri" w:hAnsi="Times New Roman"/>
          <w:sz w:val="20"/>
          <w:szCs w:val="20"/>
        </w:rPr>
        <w:t xml:space="preserve"> records relating to the Use and Disclosure of PHI available to the Secretary of the United States Department of Health and Human Services for purposes of determining the Customer’s compliance with HIPAA.</w:t>
      </w:r>
    </w:p>
    <w:p w:rsidR="002528BE" w:rsidRDefault="00AB7071">
      <w:pPr>
        <w:numPr>
          <w:ilvl w:val="0"/>
          <w:numId w:val="1"/>
        </w:numPr>
        <w:spacing w:after="240"/>
        <w:jc w:val="both"/>
      </w:pPr>
      <w:bookmarkStart w:id="10" w:name="_heading=h.26in1rg"/>
      <w:bookmarkEnd w:id="10"/>
      <w:r>
        <w:rPr>
          <w:rFonts w:ascii="Times New Roman" w:eastAsia="Calibri" w:hAnsi="Times New Roman"/>
          <w:sz w:val="20"/>
          <w:szCs w:val="20"/>
        </w:rPr>
        <w:t>Individual Access Requests. SFDC shall forward to R</w:t>
      </w:r>
      <w:r>
        <w:rPr>
          <w:rFonts w:ascii="Times New Roman" w:eastAsia="Calibri" w:hAnsi="Times New Roman"/>
          <w:sz w:val="20"/>
          <w:szCs w:val="20"/>
        </w:rPr>
        <w:t>eseller and/or Customer any requests SFDC receives from an Individual for access to the Individual’s PHI that is entered in the HIPAA Covered Services to which Reseller or Customer, as the case may be, shall respond in accordance with the requirements of 4</w:t>
      </w:r>
      <w:r>
        <w:rPr>
          <w:rFonts w:ascii="Times New Roman" w:eastAsia="Calibri" w:hAnsi="Times New Roman"/>
          <w:sz w:val="20"/>
          <w:szCs w:val="20"/>
        </w:rPr>
        <w:t xml:space="preserve">5 CFR § 164.524.  The parties agree that, by providing the HIPAA Covered </w:t>
      </w:r>
      <w:r>
        <w:rPr>
          <w:rFonts w:ascii="Times New Roman" w:eastAsia="Calibri" w:hAnsi="Times New Roman"/>
          <w:color w:val="000000"/>
          <w:sz w:val="20"/>
          <w:szCs w:val="20"/>
        </w:rPr>
        <w:t xml:space="preserve">Services, when properly configured to the extent required by the BAA Restrictions, SFDC will make available to Customer all PHI then contained in the HIPAA </w:t>
      </w:r>
      <w:r>
        <w:rPr>
          <w:rFonts w:ascii="Times New Roman" w:eastAsia="Calibri" w:hAnsi="Times New Roman"/>
          <w:sz w:val="20"/>
          <w:szCs w:val="20"/>
        </w:rPr>
        <w:t xml:space="preserve">Covered </w:t>
      </w:r>
      <w:r>
        <w:rPr>
          <w:rFonts w:ascii="Times New Roman" w:eastAsia="Calibri" w:hAnsi="Times New Roman"/>
          <w:color w:val="000000"/>
          <w:sz w:val="20"/>
          <w:szCs w:val="20"/>
        </w:rPr>
        <w:t>Services that belon</w:t>
      </w:r>
      <w:r>
        <w:rPr>
          <w:rFonts w:ascii="Times New Roman" w:eastAsia="Calibri" w:hAnsi="Times New Roman"/>
          <w:color w:val="000000"/>
          <w:sz w:val="20"/>
          <w:szCs w:val="20"/>
        </w:rPr>
        <w:t>gs to Customer, including PHI about an Individual, to facilitate</w:t>
      </w:r>
      <w:r>
        <w:rPr>
          <w:rFonts w:ascii="Times New Roman" w:eastAsia="Calibri" w:hAnsi="Times New Roman"/>
          <w:sz w:val="20"/>
          <w:szCs w:val="20"/>
        </w:rPr>
        <w:t xml:space="preserve"> Reseller or Customer’s, as the case may be, compliance with the requirements of 45 CFR § 164.524.</w:t>
      </w:r>
    </w:p>
    <w:p w:rsidR="002528BE" w:rsidRDefault="00AB7071">
      <w:pPr>
        <w:numPr>
          <w:ilvl w:val="0"/>
          <w:numId w:val="1"/>
        </w:numPr>
        <w:spacing w:after="240"/>
        <w:jc w:val="both"/>
      </w:pPr>
      <w:bookmarkStart w:id="11" w:name="_heading=h.lnxbz9"/>
      <w:bookmarkEnd w:id="11"/>
      <w:r>
        <w:rPr>
          <w:rFonts w:ascii="Times New Roman" w:eastAsia="Calibri" w:hAnsi="Times New Roman"/>
          <w:sz w:val="20"/>
          <w:szCs w:val="20"/>
        </w:rPr>
        <w:t>Individual Amendment Requests.  SFDC shall forward to Reseller and/or Customer any requests S</w:t>
      </w:r>
      <w:r>
        <w:rPr>
          <w:rFonts w:ascii="Times New Roman" w:eastAsia="Calibri" w:hAnsi="Times New Roman"/>
          <w:sz w:val="20"/>
          <w:szCs w:val="20"/>
        </w:rPr>
        <w:t xml:space="preserve">FDC receives from an Individual for amendments to the Individual’s PHI that is entered in the HIPAA Covered Services.  </w:t>
      </w:r>
      <w:r>
        <w:rPr>
          <w:rFonts w:ascii="Times New Roman" w:eastAsia="Calibri" w:hAnsi="Times New Roman"/>
          <w:color w:val="000000"/>
          <w:sz w:val="20"/>
          <w:szCs w:val="20"/>
        </w:rPr>
        <w:t xml:space="preserve">SFDC shall not </w:t>
      </w:r>
      <w:r>
        <w:rPr>
          <w:rFonts w:ascii="Times New Roman" w:eastAsia="Calibri" w:hAnsi="Times New Roman"/>
          <w:sz w:val="20"/>
          <w:szCs w:val="20"/>
        </w:rPr>
        <w:t xml:space="preserve">be responsible for responding to requests by Individuals for amendment to their PHI in accordance with HIPAA. The parties </w:t>
      </w:r>
      <w:r>
        <w:rPr>
          <w:rFonts w:ascii="Times New Roman" w:eastAsia="Calibri" w:hAnsi="Times New Roman"/>
          <w:sz w:val="20"/>
          <w:szCs w:val="20"/>
        </w:rPr>
        <w:t xml:space="preserve">agree that, by </w:t>
      </w:r>
      <w:r>
        <w:rPr>
          <w:rFonts w:ascii="Times New Roman" w:eastAsia="Calibri" w:hAnsi="Times New Roman"/>
          <w:color w:val="000000"/>
          <w:sz w:val="20"/>
          <w:szCs w:val="20"/>
        </w:rPr>
        <w:t xml:space="preserve">providing the HIPAA Covered Services, when properly configured to the extent required by the BAA Restrictions, SFDC </w:t>
      </w:r>
      <w:r>
        <w:rPr>
          <w:rFonts w:ascii="Times New Roman" w:eastAsia="Calibri" w:hAnsi="Times New Roman"/>
          <w:sz w:val="20"/>
          <w:szCs w:val="20"/>
        </w:rPr>
        <w:t xml:space="preserve">will make available to Customer all PHI then contained in the HIPAA </w:t>
      </w:r>
      <w:r>
        <w:rPr>
          <w:rFonts w:ascii="Times New Roman" w:eastAsia="Calibri" w:hAnsi="Times New Roman"/>
          <w:color w:val="000000"/>
          <w:sz w:val="20"/>
          <w:szCs w:val="20"/>
        </w:rPr>
        <w:t xml:space="preserve">Covered Services that belongs to </w:t>
      </w:r>
      <w:r>
        <w:rPr>
          <w:rFonts w:ascii="Times New Roman" w:eastAsia="Calibri" w:hAnsi="Times New Roman"/>
          <w:sz w:val="20"/>
          <w:szCs w:val="20"/>
        </w:rPr>
        <w:t xml:space="preserve">Customer, including any </w:t>
      </w:r>
      <w:r>
        <w:rPr>
          <w:rFonts w:ascii="Times New Roman" w:eastAsia="Calibri" w:hAnsi="Times New Roman"/>
          <w:sz w:val="20"/>
          <w:szCs w:val="20"/>
        </w:rPr>
        <w:t>PHI required to be made available for amendment in accordance with 45 CFR § 164.526, in a manner that allows the Reseller or Customer, as the case may be, to reasonably incorporate any amendments to the PHI in accordance with 45 CFR § 164.526.</w:t>
      </w:r>
    </w:p>
    <w:p w:rsidR="002528BE" w:rsidRDefault="00AB7071">
      <w:pPr>
        <w:numPr>
          <w:ilvl w:val="0"/>
          <w:numId w:val="1"/>
        </w:numPr>
        <w:spacing w:after="240"/>
        <w:jc w:val="both"/>
      </w:pPr>
      <w:bookmarkStart w:id="12" w:name="_heading=h.35nkun2"/>
      <w:bookmarkEnd w:id="12"/>
      <w:r>
        <w:rPr>
          <w:rFonts w:ascii="Times New Roman" w:eastAsia="Calibri" w:hAnsi="Times New Roman"/>
          <w:sz w:val="20"/>
          <w:szCs w:val="20"/>
        </w:rPr>
        <w:t>Individual A</w:t>
      </w:r>
      <w:r>
        <w:rPr>
          <w:rFonts w:ascii="Times New Roman" w:eastAsia="Calibri" w:hAnsi="Times New Roman"/>
          <w:sz w:val="20"/>
          <w:szCs w:val="20"/>
        </w:rPr>
        <w:t>ccounting Requests.  SFDC shall in accordance with and as required by 45 CFR § 164.504(e)(2) document Disclosures of PHI made by SFDC and maintain information related to such Disclosures. SFDC shall make related information reasonably available to Reseller</w:t>
      </w:r>
      <w:r>
        <w:rPr>
          <w:rFonts w:ascii="Times New Roman" w:eastAsia="Calibri" w:hAnsi="Times New Roman"/>
          <w:sz w:val="20"/>
          <w:szCs w:val="20"/>
        </w:rPr>
        <w:t xml:space="preserve"> and/or Customer to assist Reseller and/or Customer with complying with its legal obligations under 45 CFR § 164.528 and with responding to requests by Individuals for an accounting of Disclosures of their respective PHI.</w:t>
      </w:r>
    </w:p>
    <w:p w:rsidR="002528BE" w:rsidRDefault="00AB7071">
      <w:pPr>
        <w:numPr>
          <w:ilvl w:val="0"/>
          <w:numId w:val="1"/>
        </w:numPr>
        <w:spacing w:after="240"/>
        <w:jc w:val="both"/>
      </w:pPr>
      <w:bookmarkStart w:id="13" w:name="_heading=h.1ksv4uv"/>
      <w:bookmarkEnd w:id="13"/>
      <w:r>
        <w:rPr>
          <w:rFonts w:ascii="Times New Roman" w:eastAsia="Calibri" w:hAnsi="Times New Roman"/>
          <w:sz w:val="20"/>
          <w:szCs w:val="20"/>
        </w:rPr>
        <w:t>Termination. Upon request by Resel</w:t>
      </w:r>
      <w:r>
        <w:rPr>
          <w:rFonts w:ascii="Times New Roman" w:eastAsia="Calibri" w:hAnsi="Times New Roman"/>
          <w:sz w:val="20"/>
          <w:szCs w:val="20"/>
        </w:rPr>
        <w:t>ler made in accordance with the terms of the Agreement, SFDC will make the Customer Data submitted to the HIPAA Covered Services available to Customer for return, export, or download as provided in the Documentation, unless legally prohibited. Reseller sha</w:t>
      </w:r>
      <w:r>
        <w:rPr>
          <w:rFonts w:ascii="Times New Roman" w:eastAsia="Calibri" w:hAnsi="Times New Roman"/>
          <w:sz w:val="20"/>
          <w:szCs w:val="20"/>
        </w:rPr>
        <w:t xml:space="preserve">ll advise Customers that such customers have the amount of time set forth in the applicable Documentation from the date of termination of their final Order Form subscription term in which to request return, export, or download of Customer Data as provided </w:t>
      </w:r>
      <w:r>
        <w:rPr>
          <w:rFonts w:ascii="Times New Roman" w:eastAsia="Calibri" w:hAnsi="Times New Roman"/>
          <w:sz w:val="20"/>
          <w:szCs w:val="20"/>
        </w:rPr>
        <w:t>for in the Documentation. SFDC will otherwise have no obligation to maintain or provide any Customer Data, and will delete, overwrite, or destroy all copies of Customer Data in its systems or otherwise in its possession or control as provided in the Docume</w:t>
      </w:r>
      <w:r>
        <w:rPr>
          <w:rFonts w:ascii="Times New Roman" w:eastAsia="Calibri" w:hAnsi="Times New Roman"/>
          <w:sz w:val="20"/>
          <w:szCs w:val="20"/>
        </w:rPr>
        <w:t>ntation, unless legally prohibited.</w:t>
      </w:r>
      <w:r>
        <w:rPr>
          <w:rFonts w:ascii="Times New Roman" w:eastAsia="Calibri" w:hAnsi="Times New Roman"/>
          <w:sz w:val="20"/>
        </w:rPr>
        <w:t xml:space="preserve"> </w:t>
      </w:r>
      <w:r>
        <w:rPr>
          <w:rFonts w:ascii="Times New Roman" w:eastAsia="Calibri" w:hAnsi="Times New Roman"/>
          <w:sz w:val="20"/>
          <w:szCs w:val="20"/>
        </w:rPr>
        <w:t>If return or destruction of Customer Data that constitutes PHI is not feasible, SFDC shall extend the confidentiality and security protections of this Addendum to that Customer Data and limit further Uses and Disclosures</w:t>
      </w:r>
      <w:r>
        <w:rPr>
          <w:rFonts w:ascii="Times New Roman" w:eastAsia="Calibri" w:hAnsi="Times New Roman"/>
          <w:sz w:val="20"/>
          <w:szCs w:val="20"/>
        </w:rPr>
        <w:t xml:space="preserve"> of such Customer Data to those purposes that make the return or destruction of the Customer Data infeasible.</w:t>
      </w:r>
    </w:p>
    <w:p w:rsidR="002528BE" w:rsidRDefault="00AB7071">
      <w:pPr>
        <w:numPr>
          <w:ilvl w:val="0"/>
          <w:numId w:val="1"/>
        </w:numPr>
        <w:spacing w:after="240"/>
        <w:jc w:val="both"/>
      </w:pPr>
      <w:r>
        <w:rPr>
          <w:rFonts w:ascii="Times New Roman" w:eastAsia="Calibri" w:hAnsi="Times New Roman"/>
          <w:sz w:val="20"/>
          <w:szCs w:val="20"/>
        </w:rPr>
        <w:t>Removal of HIPAA Covered Services. If an SFDC Subcontractor providing services to SFDC in support of this Addendum elects to discontinue providing</w:t>
      </w:r>
      <w:r>
        <w:rPr>
          <w:rFonts w:ascii="Times New Roman" w:eastAsia="Calibri" w:hAnsi="Times New Roman"/>
          <w:sz w:val="20"/>
          <w:szCs w:val="20"/>
        </w:rPr>
        <w:t xml:space="preserve"> services or functionality that enable the provision of the HIPAA Covered Services in compliance with this Addendum, then SFDC shall be permitted to terminate this Addendum for the applicable HIPAA Covered Services upon written notice. Prior to the termina</w:t>
      </w:r>
      <w:r>
        <w:rPr>
          <w:rFonts w:ascii="Times New Roman" w:eastAsia="Calibri" w:hAnsi="Times New Roman"/>
          <w:sz w:val="20"/>
          <w:szCs w:val="20"/>
        </w:rPr>
        <w:t xml:space="preserve">tion by SFDC of this Addendum for the applicable HIPAA Covered Services, SFDC will use reasonable efforts to make available to Reseller a change in the HIPAA Covered Services or recommend a commercially reasonable change to Reseller’s configuration or use </w:t>
      </w:r>
      <w:r>
        <w:rPr>
          <w:rFonts w:ascii="Times New Roman" w:eastAsia="Calibri" w:hAnsi="Times New Roman"/>
          <w:sz w:val="20"/>
          <w:szCs w:val="20"/>
        </w:rPr>
        <w:t>of the HIPAA Covered Services to avoid use of the SFDC Subcontractor without unreasonably burdening Reseller. If SFDC terminates this Addendum, SFDC will provide at least 12 months prior notice to Reseller of such termination where reasonably practical. If</w:t>
      </w:r>
      <w:r>
        <w:rPr>
          <w:rFonts w:ascii="Times New Roman" w:eastAsia="Calibri" w:hAnsi="Times New Roman"/>
          <w:sz w:val="20"/>
          <w:szCs w:val="20"/>
        </w:rPr>
        <w:t xml:space="preserve"> SFDC terminates this Addendum in whole or in part as outlined in this paragraph, Reseller may terminate its resale of the affected HIPAA Covered Services upon written notice to SFDC, and SFDC will refund Reseller any prepaid fees covering the remainder of</w:t>
      </w:r>
      <w:r>
        <w:rPr>
          <w:rFonts w:ascii="Times New Roman" w:eastAsia="Calibri" w:hAnsi="Times New Roman"/>
          <w:sz w:val="20"/>
          <w:szCs w:val="20"/>
        </w:rPr>
        <w:t xml:space="preserve"> the term of all Order Forms applicable to such HIPAA Covered Services.</w:t>
      </w:r>
    </w:p>
    <w:p w:rsidR="002528BE" w:rsidRDefault="00AB7071">
      <w:pPr>
        <w:numPr>
          <w:ilvl w:val="0"/>
          <w:numId w:val="1"/>
        </w:numPr>
        <w:spacing w:after="240"/>
        <w:jc w:val="both"/>
      </w:pPr>
      <w:bookmarkStart w:id="14" w:name="_heading=h.44sinio"/>
      <w:bookmarkEnd w:id="14"/>
      <w:r>
        <w:rPr>
          <w:rFonts w:ascii="Times New Roman" w:eastAsia="Calibri" w:hAnsi="Times New Roman"/>
          <w:sz w:val="20"/>
          <w:szCs w:val="20"/>
        </w:rPr>
        <w:t>Non-Compliance.  If either party becomes aware that the other party has engaged in a pattern of activity or practice that constitutes a material breach or violation of this Addendum, t</w:t>
      </w:r>
      <w:r>
        <w:rPr>
          <w:rFonts w:ascii="Times New Roman" w:eastAsia="Calibri" w:hAnsi="Times New Roman"/>
          <w:sz w:val="20"/>
          <w:szCs w:val="20"/>
        </w:rPr>
        <w:t>he non-breaching party may request in writing that the breaching party cure the breach or violation.  If the breach or violation is not cured within 30 days of the written notice, the non-breaching party may terminate this Addendum and the Agreement.</w:t>
      </w:r>
    </w:p>
    <w:p w:rsidR="002528BE" w:rsidRDefault="00AB7071">
      <w:pPr>
        <w:numPr>
          <w:ilvl w:val="0"/>
          <w:numId w:val="1"/>
        </w:numPr>
        <w:spacing w:after="240"/>
        <w:jc w:val="both"/>
      </w:pPr>
      <w:bookmarkStart w:id="15" w:name="_heading=h.2jxsxqh"/>
      <w:bookmarkEnd w:id="15"/>
      <w:r>
        <w:rPr>
          <w:rFonts w:ascii="Times New Roman" w:eastAsia="Calibri" w:hAnsi="Times New Roman"/>
          <w:sz w:val="20"/>
          <w:szCs w:val="20"/>
        </w:rPr>
        <w:t>Gener</w:t>
      </w:r>
      <w:r>
        <w:rPr>
          <w:rFonts w:ascii="Times New Roman" w:eastAsia="Calibri" w:hAnsi="Times New Roman"/>
          <w:sz w:val="20"/>
          <w:szCs w:val="20"/>
        </w:rPr>
        <w:t>al. SFDC may, in its discretion, fulfill certain communication obligations to Reseller hereunder by making such communications to the Customer on Reseller’s behalf.  Such communications may include the following: forwarding a request or making certain info</w:t>
      </w:r>
      <w:r>
        <w:rPr>
          <w:rFonts w:ascii="Times New Roman" w:eastAsia="Calibri" w:hAnsi="Times New Roman"/>
          <w:sz w:val="20"/>
          <w:szCs w:val="20"/>
        </w:rPr>
        <w:t>rmation available.</w:t>
      </w:r>
      <w:r>
        <w:rPr>
          <w:rFonts w:ascii="Times New Roman" w:eastAsia="Calibri" w:hAnsi="Times New Roman"/>
          <w:sz w:val="20"/>
          <w:szCs w:val="20"/>
        </w:rPr>
        <w:tab/>
      </w:r>
    </w:p>
    <w:p w:rsidR="002528BE" w:rsidRDefault="00AB7071">
      <w:pPr>
        <w:numPr>
          <w:ilvl w:val="0"/>
          <w:numId w:val="1"/>
        </w:numPr>
        <w:spacing w:after="240"/>
        <w:jc w:val="both"/>
      </w:pPr>
      <w:r>
        <w:rPr>
          <w:rFonts w:ascii="Times New Roman" w:eastAsia="Calibri" w:hAnsi="Times New Roman"/>
          <w:sz w:val="20"/>
          <w:szCs w:val="20"/>
        </w:rPr>
        <w:t>Amendment.  The parties shall take such action as is necessary to amend the Agreement and this Addendum from time to time as is necessary for the parties to comply with changes to the rules and regulations under HIPAA.  If the parties c</w:t>
      </w:r>
      <w:r>
        <w:rPr>
          <w:rFonts w:ascii="Times New Roman" w:eastAsia="Calibri" w:hAnsi="Times New Roman"/>
          <w:sz w:val="20"/>
          <w:szCs w:val="20"/>
        </w:rPr>
        <w:t>annot agree as to a necessary amendment, either party may terminate the Agreement and this Addendum with 30 days prior written notice to the other party.</w:t>
      </w:r>
    </w:p>
    <w:p w:rsidR="002528BE" w:rsidRDefault="00AB7071">
      <w:pPr>
        <w:numPr>
          <w:ilvl w:val="0"/>
          <w:numId w:val="1"/>
        </w:numPr>
        <w:spacing w:after="240"/>
        <w:jc w:val="both"/>
      </w:pPr>
      <w:r>
        <w:rPr>
          <w:rFonts w:ascii="Times New Roman" w:eastAsia="Calibri" w:hAnsi="Times New Roman"/>
          <w:sz w:val="20"/>
          <w:szCs w:val="20"/>
        </w:rPr>
        <w:t xml:space="preserve">Interpretation. Any ambiguity in this Addendum shall be resolved to permit the parties to comply with </w:t>
      </w:r>
      <w:r>
        <w:rPr>
          <w:rFonts w:ascii="Times New Roman" w:eastAsia="Calibri" w:hAnsi="Times New Roman"/>
          <w:sz w:val="20"/>
          <w:szCs w:val="20"/>
        </w:rPr>
        <w:t>HIPAA.</w:t>
      </w:r>
    </w:p>
    <w:p w:rsidR="002528BE" w:rsidRDefault="002528BE">
      <w:pPr>
        <w:jc w:val="center"/>
        <w:rPr>
          <w:rFonts w:ascii="Times New Roman" w:eastAsia="Calibri" w:hAnsi="Times New Roman"/>
          <w:b/>
          <w:bCs/>
          <w:sz w:val="20"/>
          <w:szCs w:val="20"/>
        </w:rPr>
      </w:pPr>
    </w:p>
    <w:p w:rsidR="002528BE" w:rsidRDefault="00AB7071">
      <w:pPr>
        <w:jc w:val="center"/>
      </w:pPr>
      <w:r>
        <w:rPr>
          <w:rFonts w:ascii="Times New Roman" w:eastAsia="Calibri" w:hAnsi="Times New Roman"/>
          <w:sz w:val="20"/>
          <w:szCs w:val="20"/>
        </w:rPr>
        <w:t>[REMAINDER OF PAGE INTENTIONALLY BLANK]</w:t>
      </w:r>
    </w:p>
    <w:p w:rsidR="002528BE" w:rsidRDefault="002528BE">
      <w:pPr>
        <w:rPr>
          <w:rFonts w:ascii="Times New Roman" w:hAnsi="Times New Roman"/>
          <w:sz w:val="20"/>
          <w:szCs w:val="20"/>
        </w:rPr>
      </w:pPr>
    </w:p>
    <w:p w:rsidR="002528BE" w:rsidRDefault="002528BE">
      <w:pPr>
        <w:pBdr>
          <w:top w:val="single" w:sz="2" w:space="31" w:color="FFFFFF" w:shadow="1"/>
          <w:left w:val="single" w:sz="2" w:space="31" w:color="FFFFFF" w:shadow="1"/>
          <w:bottom w:val="single" w:sz="2" w:space="31" w:color="FFFFFF" w:shadow="1"/>
          <w:right w:val="single" w:sz="2" w:space="31" w:color="FFFFFF" w:shadow="1"/>
        </w:pBdr>
        <w:spacing w:line="240" w:lineRule="auto"/>
        <w:jc w:val="both"/>
        <w:rPr>
          <w:rFonts w:ascii="Times New Roman" w:hAnsi="Times New Roman"/>
          <w:sz w:val="20"/>
          <w:szCs w:val="20"/>
        </w:rPr>
      </w:pPr>
    </w:p>
    <w:p w:rsidR="002528BE" w:rsidRDefault="002528BE"/>
    <w:sectPr w:rsidR="002528BE">
      <w:headerReference w:type="default" r:id="rId9"/>
      <w:footerReference w:type="default" r:id="rId10"/>
      <w:pgSz w:w="12240" w:h="15840"/>
      <w:pgMar w:top="1008"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7071" w:rsidRDefault="00AB7071">
      <w:pPr>
        <w:spacing w:after="0" w:line="240" w:lineRule="auto"/>
      </w:pPr>
      <w:r>
        <w:separator/>
      </w:r>
    </w:p>
  </w:endnote>
  <w:endnote w:type="continuationSeparator" w:id="0">
    <w:p w:rsidR="00AB7071" w:rsidRDefault="00AB7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font>
  <w:font w:name="Aptos Display">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A62" w:rsidRDefault="00AB7071">
    <w:pPr>
      <w:pStyle w:val="Footer"/>
      <w:jc w:val="center"/>
    </w:pPr>
    <w:r>
      <w:rPr>
        <w:rFonts w:ascii="Times New Roman" w:hAnsi="Times New Roman"/>
        <w:sz w:val="16"/>
        <w:szCs w:val="16"/>
      </w:rPr>
      <w:t xml:space="preserve">Page </w:t>
    </w:r>
    <w:r>
      <w:rPr>
        <w:rFonts w:ascii="Times New Roman" w:hAnsi="Times New Roman"/>
        <w:sz w:val="16"/>
        <w:szCs w:val="16"/>
      </w:rPr>
      <w:fldChar w:fldCharType="begin"/>
    </w:r>
    <w:r>
      <w:rPr>
        <w:rFonts w:ascii="Times New Roman" w:hAnsi="Times New Roman"/>
        <w:sz w:val="16"/>
        <w:szCs w:val="16"/>
      </w:rPr>
      <w:instrText xml:space="preserve"> PAGE </w:instrText>
    </w:r>
    <w:r>
      <w:rPr>
        <w:rFonts w:ascii="Times New Roman" w:hAnsi="Times New Roman"/>
        <w:sz w:val="16"/>
        <w:szCs w:val="16"/>
      </w:rPr>
      <w:fldChar w:fldCharType="separate"/>
    </w:r>
    <w:r>
      <w:rPr>
        <w:rFonts w:ascii="Times New Roman" w:hAnsi="Times New Roman"/>
        <w:sz w:val="16"/>
        <w:szCs w:val="16"/>
      </w:rPr>
      <w:t>13</w:t>
    </w:r>
    <w:r>
      <w:rPr>
        <w:rFonts w:ascii="Times New Roman" w:hAnsi="Times New Roman"/>
        <w:sz w:val="16"/>
        <w:szCs w:val="16"/>
      </w:rPr>
      <w:fldChar w:fldCharType="end"/>
    </w:r>
    <w:r>
      <w:rPr>
        <w:rFonts w:ascii="Times New Roman" w:hAnsi="Times New Roman"/>
        <w:sz w:val="16"/>
        <w:szCs w:val="16"/>
      </w:rPr>
      <w:t xml:space="preserve"> of </w:t>
    </w:r>
    <w:r>
      <w:rPr>
        <w:rFonts w:ascii="Times New Roman" w:hAnsi="Times New Roman"/>
        <w:sz w:val="16"/>
        <w:szCs w:val="16"/>
      </w:rPr>
      <w:fldChar w:fldCharType="begin"/>
    </w:r>
    <w:r>
      <w:rPr>
        <w:rFonts w:ascii="Times New Roman" w:hAnsi="Times New Roman"/>
        <w:sz w:val="16"/>
        <w:szCs w:val="16"/>
      </w:rPr>
      <w:instrText xml:space="preserve"> NUMPAGES </w:instrText>
    </w:r>
    <w:r>
      <w:rPr>
        <w:rFonts w:ascii="Times New Roman" w:hAnsi="Times New Roman"/>
        <w:sz w:val="16"/>
        <w:szCs w:val="16"/>
      </w:rPr>
      <w:fldChar w:fldCharType="separate"/>
    </w:r>
    <w:r>
      <w:rPr>
        <w:rFonts w:ascii="Times New Roman" w:hAnsi="Times New Roman"/>
        <w:sz w:val="16"/>
        <w:szCs w:val="16"/>
      </w:rPr>
      <w:t>19</w:t>
    </w:r>
    <w:r>
      <w:rPr>
        <w:rFonts w:ascii="Times New Roman" w:hAnsi="Times New Roman"/>
        <w:sz w:val="16"/>
        <w:szCs w:val="16"/>
      </w:rPr>
      <w:fldChar w:fldCharType="end"/>
    </w:r>
  </w:p>
  <w:p w:rsidR="00643A62" w:rsidRDefault="00AB7071">
    <w:pPr>
      <w:pStyle w:val="Footer"/>
      <w:rPr>
        <w:rFonts w:ascii="Times New Roman" w:hAnsi="Times New Roman"/>
        <w:sz w:val="14"/>
        <w:szCs w:val="14"/>
      </w:rPr>
    </w:pPr>
    <w:r>
      <w:rPr>
        <w:rFonts w:ascii="Times New Roman" w:hAnsi="Times New Roman"/>
        <w:sz w:val="14"/>
        <w:szCs w:val="14"/>
      </w:rPr>
      <w:t>Agmt#: 02576796.0</w:t>
    </w:r>
  </w:p>
  <w:p w:rsidR="00643A62" w:rsidRDefault="00AB7071">
    <w:pPr>
      <w:pStyle w:val="Footer"/>
      <w:rPr>
        <w:rFonts w:ascii="Times New Roman" w:hAnsi="Times New Roman"/>
        <w:sz w:val="14"/>
        <w:szCs w:val="14"/>
      </w:rPr>
    </w:pPr>
    <w:r>
      <w:rPr>
        <w:rFonts w:ascii="Times New Roman" w:hAnsi="Times New Roman"/>
        <w:sz w:val="14"/>
        <w:szCs w:val="14"/>
      </w:rPr>
      <w:t>Reseller-AMER-EN-California</w:t>
    </w:r>
  </w:p>
  <w:p w:rsidR="00643A62" w:rsidRDefault="00AB7071">
    <w:pPr>
      <w:pStyle w:val="Footer"/>
    </w:pPr>
    <w:r>
      <w:rPr>
        <w:rFonts w:ascii="Times New Roman" w:hAnsi="Times New Roman"/>
        <w:sz w:val="14"/>
        <w:szCs w:val="14"/>
      </w:rPr>
      <w:t>SFDC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7071" w:rsidRDefault="00AB7071">
      <w:pPr>
        <w:spacing w:after="0" w:line="240" w:lineRule="auto"/>
      </w:pPr>
      <w:r>
        <w:rPr>
          <w:color w:val="000000"/>
        </w:rPr>
        <w:separator/>
      </w:r>
    </w:p>
  </w:footnote>
  <w:footnote w:type="continuationSeparator" w:id="0">
    <w:p w:rsidR="00AB7071" w:rsidRDefault="00AB70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A62" w:rsidRDefault="00AB7071">
    <w:pPr>
      <w:pStyle w:val="Header"/>
    </w:pPr>
  </w:p>
  <w:p w:rsidR="00643A62" w:rsidRDefault="00AB7071">
    <w:pPr>
      <w:pStyle w:val="Header"/>
    </w:pPr>
    <w:r>
      <w:rPr>
        <w:noProof/>
      </w:rP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37482" cy="3142619"/>
              <wp:effectExtent l="209550" t="1333500" r="287018" b="1334131"/>
              <wp:wrapNone/>
              <wp:docPr id="1" name="WordArt 3"/>
              <wp:cNvGraphicFramePr/>
              <a:graphic xmlns:a="http://schemas.openxmlformats.org/drawingml/2006/main">
                <a:graphicData uri="http://schemas.microsoft.com/office/word/2010/wordprocessingShape">
                  <wps:wsp>
                    <wps:cNvSpPr txBox="1"/>
                    <wps:spPr>
                      <a:xfrm rot="18900010">
                        <a:off x="0" y="0"/>
                        <a:ext cx="5237482" cy="3142619"/>
                      </a:xfrm>
                      <a:prstGeom prst="rect">
                        <a:avLst/>
                      </a:prstGeom>
                      <a:noFill/>
                      <a:ln>
                        <a:noFill/>
                        <a:prstDash/>
                      </a:ln>
                    </wps:spPr>
                    <wps:txbx>
                      <w:txbxContent>
                        <w:p w:rsidR="00643A62" w:rsidRDefault="00AB7071">
                          <w:pPr>
                            <w:pStyle w:val="NormalWeb"/>
                            <w:spacing w:before="0" w:after="0"/>
                            <w:jc w:val="center"/>
                          </w:pPr>
                          <w:r>
                            <w:rPr>
                              <w:rFonts w:ascii="Calibri" w:eastAsia="Calibri" w:hAnsi="Calibri" w:cs="Calibri"/>
                              <w:color w:val="C0C0C0"/>
                              <w:sz w:val="2"/>
                              <w:szCs w:val="2"/>
                            </w:rPr>
                            <w:t>DRAFT</w:t>
                          </w:r>
                        </w:p>
                      </w:txbxContent>
                    </wps:txbx>
                    <wps:bodyPr vert="horz" wrap="square" lIns="91440" tIns="45720" rIns="91440" bIns="4572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WordArt 3" o:spid="_x0000_s1026" type="#_x0000_t202" style="position:absolute;margin-left:0;margin-top:0;width:412.4pt;height:247.45pt;rotation:-2949109fd;z-index:-251657216;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" filled="f" stroked="f">
              <v:textbox style="mso-fit-shape-to-text:t">
                <w:txbxContent>
                  <w:p w:rsidR="00643A62" w:rsidRDefault="00AB7071">
                    <w:pPr>
                      <w:pStyle w:val="NormalWeb"/>
                      <w:spacing w:before="0" w:after="0"/>
                      <w:jc w:val="center"/>
                    </w:pPr>
                    <w:r>
                      <w:rPr>
                        <w:rFonts w:ascii="Calibri" w:eastAsia="Calibri" w:hAnsi="Calibri" w:cs="Calibri"/>
                        <w:color w:val="C0C0C0"/>
                        <w:sz w:val="2"/>
                        <w:szCs w:val="2"/>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BE0CEC"/>
    <w:multiLevelType w:val="multilevel"/>
    <w:tmpl w:val="FBAE006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4CCF69D5"/>
    <w:multiLevelType w:val="multilevel"/>
    <w:tmpl w:val="D4FEC7E0"/>
    <w:lvl w:ilvl="0">
      <w:start w:val="1"/>
      <w:numFmt w:val="lowerRoman"/>
      <w:lvlText w:val="(%1)"/>
      <w:lvlJc w:val="left"/>
      <w:pPr>
        <w:ind w:left="1260" w:hanging="720"/>
      </w:pPr>
      <w:rPr>
        <w:rFonts w:ascii="Times New Roman" w:eastAsia="Times New Roman" w:hAnsi="Times New Roman" w:cs="Times New Roman"/>
        <w:b w:val="0"/>
        <w:i w:val="0"/>
        <w:color w:val="000000"/>
        <w:sz w:val="20"/>
        <w:szCs w:val="20"/>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CB96365"/>
    <w:multiLevelType w:val="multilevel"/>
    <w:tmpl w:val="EC36541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0E801B6"/>
    <w:multiLevelType w:val="multilevel"/>
    <w:tmpl w:val="7DF2253C"/>
    <w:lvl w:ilvl="0">
      <w:start w:val="1"/>
      <w:numFmt w:val="lowerRoman"/>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528BE"/>
    <w:rsid w:val="002528BE"/>
    <w:rsid w:val="00AB7071"/>
    <w:rsid w:val="00E71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56D3E5-B733-4F65-AD07-3BE38B96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256" w:lineRule="auto"/>
    </w:pPr>
    <w:rPr>
      <w:kern w:val="0"/>
      <w:sz w:val="22"/>
      <w:szCs w:val="22"/>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pPr>
    <w:rPr>
      <w:rFonts w:ascii="Aptos Display" w:eastAsia="Times New Roman" w:hAnsi="Aptos Display"/>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rPr>
      <w:kern w:val="0"/>
      <w:sz w:val="22"/>
      <w:szCs w:val="22"/>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kern w:val="0"/>
      <w:sz w:val="22"/>
      <w:szCs w:val="22"/>
    </w:rPr>
  </w:style>
  <w:style w:type="paragraph" w:styleId="NormalWeb">
    <w:name w:val="Normal (Web)"/>
    <w:basedOn w:val="Normal"/>
    <w:pPr>
      <w:spacing w:before="100" w:after="10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alesforce.com/company/legal/business-associate-addendum-restrictions/(" TargetMode="External"/><Relationship Id="rId3" Type="http://schemas.openxmlformats.org/officeDocument/2006/relationships/settings" Target="settings.xml"/><Relationship Id="rId7" Type="http://schemas.openxmlformats.org/officeDocument/2006/relationships/hyperlink" Target="https://www.salesforce.com/company/legal/business-associate-addendum-restric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2325</Words>
  <Characters>13254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15548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Richer</dc:creator>
  <dc:description/>
  <cp:lastModifiedBy>Blake Porter</cp:lastModifiedBy>
  <cp:revision>2</cp:revision>
  <dcterms:created xsi:type="dcterms:W3CDTF">2025-04-10T21:45:00Z</dcterms:created>
  <dcterms:modified xsi:type="dcterms:W3CDTF">2025-04-10T21:45:00Z</dcterms:modified>
</cp:coreProperties>
</file>