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3F4C5" w14:textId="77777777" w:rsidR="00566F4A" w:rsidRDefault="00283F55" w:rsidP="003709A7">
      <w:pPr>
        <w:tabs>
          <w:tab w:val="right" w:pos="3060"/>
          <w:tab w:val="left" w:pos="3240"/>
          <w:tab w:val="right" w:pos="7740"/>
          <w:tab w:val="left" w:pos="7920"/>
        </w:tabs>
      </w:pPr>
      <w:r>
        <w:t>Master Agreement</w:t>
      </w:r>
      <w:r w:rsidR="004A64D2">
        <w:t xml:space="preserve"> #: 00318</w:t>
      </w:r>
    </w:p>
    <w:p w14:paraId="6C51DCAA" w14:textId="051A304F" w:rsidR="00283F55" w:rsidRDefault="00283F55" w:rsidP="0088201E">
      <w:pPr>
        <w:tabs>
          <w:tab w:val="right" w:pos="3060"/>
          <w:tab w:val="left" w:pos="3240"/>
          <w:tab w:val="left" w:pos="7290"/>
        </w:tabs>
        <w:ind w:left="720"/>
      </w:pPr>
      <w:r>
        <w:t>Contractor:</w:t>
      </w:r>
      <w:r>
        <w:tab/>
      </w:r>
      <w:r w:rsidR="0088201E" w:rsidRPr="0088201E">
        <w:rPr>
          <w:rStyle w:val="Strong"/>
        </w:rPr>
        <w:t xml:space="preserve">Daniels Electronics dba: </w:t>
      </w:r>
      <w:r w:rsidR="00A30C29">
        <w:rPr>
          <w:rStyle w:val="Strong"/>
          <w:b w:val="0"/>
          <w:caps w:val="0"/>
        </w:rPr>
        <w:t>Codan Communications</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5CC8366F" w:rsidR="00FC3347" w:rsidRPr="004A64D2" w:rsidRDefault="00A30C29" w:rsidP="004A64D2">
      <w:pPr>
        <w:ind w:left="360"/>
        <w:rPr>
          <w:i/>
        </w:rPr>
      </w:pPr>
      <w:r>
        <w:rPr>
          <w:i/>
          <w:u w:val="single"/>
        </w:rPr>
        <w:t>Codan Communications</w:t>
      </w:r>
      <w:r w:rsidR="004A64D2" w:rsidRPr="004A64D2">
        <w:rPr>
          <w:i/>
          <w:u w:val="single"/>
        </w:rPr>
        <w:t xml:space="preserve"> has been awarded the following categories/sub-category/solutions. Detail regarding available services, warranty, software options along with products and pricing are available on the NASPO ValuePoint webpage.</w:t>
      </w:r>
    </w:p>
    <w:p w14:paraId="1A1514D9" w14:textId="77777777" w:rsidR="00A30C29" w:rsidRPr="00A30C29" w:rsidRDefault="00A30C29" w:rsidP="00A30C29">
      <w:pPr>
        <w:pStyle w:val="ListParagraph"/>
        <w:spacing w:after="0"/>
        <w:ind w:left="1090"/>
        <w:rPr>
          <w:rFonts w:cs="Arial"/>
        </w:rPr>
      </w:pPr>
      <w:r w:rsidRPr="00A30C29">
        <w:rPr>
          <w:rFonts w:cs="Arial"/>
        </w:rPr>
        <w:t>1.7 Radio: Base Station/Repeater (P25)</w:t>
      </w:r>
    </w:p>
    <w:p w14:paraId="35CD7E42" w14:textId="77777777" w:rsidR="00A30C29" w:rsidRPr="00A30C29" w:rsidRDefault="00A30C29" w:rsidP="00A30C29">
      <w:pPr>
        <w:pStyle w:val="NormalWeb"/>
        <w:spacing w:before="0" w:beforeAutospacing="0" w:after="0" w:afterAutospacing="0"/>
        <w:ind w:left="370" w:firstLine="720"/>
        <w:rPr>
          <w:rFonts w:ascii="Arial" w:hAnsi="Arial" w:cs="Arial"/>
          <w:sz w:val="22"/>
          <w:szCs w:val="22"/>
        </w:rPr>
      </w:pPr>
      <w:r w:rsidRPr="00A30C29">
        <w:rPr>
          <w:rFonts w:ascii="Arial" w:hAnsi="Arial" w:cs="Arial"/>
          <w:sz w:val="22"/>
          <w:szCs w:val="22"/>
        </w:rPr>
        <w:t xml:space="preserve">2.4 Radio: Conventional Analog Base Station/Repeater </w:t>
      </w:r>
      <w:r w:rsidRPr="00A30C29">
        <w:rPr>
          <w:rFonts w:ascii="Arial" w:hAnsi="Arial" w:cs="Arial"/>
        </w:rPr>
        <w:t>(Non-P25)</w:t>
      </w:r>
    </w:p>
    <w:p w14:paraId="07D1F3CC" w14:textId="77777777" w:rsidR="00EA33C6" w:rsidRPr="00EA33C6" w:rsidRDefault="00EA33C6" w:rsidP="00EA33C6">
      <w:pPr>
        <w:ind w:left="720"/>
        <w:rPr>
          <w:rStyle w:val="Strong"/>
          <w:rFonts w:ascii="Arial" w:hAnsi="Arial" w:cs="Arial"/>
          <w:b w:val="0"/>
          <w:bCs w:val="0"/>
          <w:caps w:val="0"/>
          <w:sz w:val="22"/>
        </w:rPr>
      </w:pP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130A6A09" w:rsidR="000D7197" w:rsidRPr="004E043C" w:rsidRDefault="00A30C29" w:rsidP="004A64D2">
            <w:pPr>
              <w:keepNext/>
              <w:keepLines/>
              <w:spacing w:before="60" w:after="60"/>
              <w:rPr>
                <w:rFonts w:cs="Arial"/>
              </w:rPr>
            </w:pPr>
            <w:r>
              <w:rPr>
                <w:rFonts w:cs="Arial"/>
                <w:sz w:val="22"/>
                <w:szCs w:val="22"/>
              </w:rPr>
              <w:t>Cameron Inouye</w:t>
            </w:r>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78782207" w14:textId="77777777" w:rsidR="00EA33C6" w:rsidRDefault="00A30C29" w:rsidP="004A64D2">
            <w:pPr>
              <w:keepNext/>
              <w:keepLines/>
              <w:spacing w:before="60" w:after="60"/>
            </w:pPr>
            <w:r>
              <w:t>43 Erie Street</w:t>
            </w:r>
          </w:p>
          <w:p w14:paraId="6C58508D" w14:textId="6F806C67" w:rsidR="00A30C29" w:rsidRPr="00C308A7" w:rsidRDefault="00A30C29" w:rsidP="004A64D2">
            <w:pPr>
              <w:keepNext/>
              <w:keepLines/>
              <w:spacing w:before="60" w:after="60"/>
            </w:pPr>
            <w:r>
              <w:t>Victoria, BC V8V 1P8 Canada</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0E634F44" w:rsidR="000D7197" w:rsidRPr="00EA33C6" w:rsidRDefault="00A30C29" w:rsidP="00EA33C6">
            <w:pPr>
              <w:pStyle w:val="Default"/>
              <w:rPr>
                <w:rFonts w:ascii="Arial" w:hAnsi="Arial" w:cs="Arial"/>
              </w:rPr>
            </w:pPr>
            <w:r>
              <w:rPr>
                <w:rFonts w:ascii="Arial" w:hAnsi="Arial" w:cs="Arial"/>
                <w:sz w:val="22"/>
                <w:szCs w:val="22"/>
              </w:rPr>
              <w:t>250-382-8268</w:t>
            </w:r>
            <w:r w:rsidR="00EA33C6" w:rsidRPr="00EA33C6">
              <w:rPr>
                <w:rFonts w:ascii="Arial" w:hAnsi="Arial" w:cs="Arial"/>
                <w:sz w:val="22"/>
                <w:szCs w:val="22"/>
              </w:rPr>
              <w:t xml:space="preserve"> </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C308A7" w:rsidRDefault="000D7197" w:rsidP="004A64D2">
            <w:pPr>
              <w:keepNext/>
              <w:keepLines/>
              <w:spacing w:before="60" w:after="60"/>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14E6FBC0" w:rsidR="004A64D2" w:rsidRPr="00EA33C6" w:rsidRDefault="00A30C29" w:rsidP="00EA33C6">
            <w:pPr>
              <w:pStyle w:val="Default"/>
              <w:rPr>
                <w:rFonts w:ascii="Arial" w:hAnsi="Arial" w:cs="Arial"/>
                <w:color w:val="0000FF"/>
              </w:rPr>
            </w:pPr>
            <w:r>
              <w:rPr>
                <w:rFonts w:ascii="Arial" w:hAnsi="Arial" w:cs="Arial"/>
                <w:color w:val="auto"/>
                <w:sz w:val="22"/>
                <w:szCs w:val="22"/>
              </w:rPr>
              <w:t>Cam.inouye@codancomms.com</w:t>
            </w:r>
            <w:r w:rsidR="00EA33C6" w:rsidRPr="00EA33C6">
              <w:rPr>
                <w:rFonts w:ascii="Arial" w:hAnsi="Arial" w:cs="Arial"/>
                <w:color w:val="auto"/>
                <w:sz w:val="22"/>
                <w:szCs w:val="22"/>
              </w:rPr>
              <w:t xml:space="preserve"> </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7C07C767" w14:textId="77777777" w:rsidR="006E62D0" w:rsidRPr="00FC3347" w:rsidRDefault="006E62D0" w:rsidP="00F77FD5"/>
    <w:p w14:paraId="5179B081" w14:textId="77777777" w:rsidR="006E62D0" w:rsidRDefault="006E62D0" w:rsidP="00F77FD5">
      <w:pPr>
        <w:keepNext/>
        <w:keepLines/>
        <w:spacing w:after="24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r w:rsidRPr="008B7F17">
              <w:t xml:space="preserve">Participating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2209A2" w:rsidRPr="00B13314" w14:paraId="705BDC84" w14:textId="77777777" w:rsidTr="0088201E">
        <w:tc>
          <w:tcPr>
            <w:tcW w:w="4405" w:type="dxa"/>
          </w:tcPr>
          <w:p w14:paraId="20CD8B97" w14:textId="77777777" w:rsidR="002209A2" w:rsidRPr="00B13314" w:rsidRDefault="002209A2" w:rsidP="002209A2">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shd w:val="clear" w:color="auto" w:fill="auto"/>
          </w:tcPr>
          <w:p w14:paraId="0870F461" w14:textId="2A01DDFD" w:rsidR="002209A2" w:rsidRPr="0088201E" w:rsidRDefault="002209A2" w:rsidP="002209A2">
            <w:pPr>
              <w:pStyle w:val="BlockText"/>
              <w:keepNext/>
              <w:keepLines/>
              <w:widowControl/>
              <w:tabs>
                <w:tab w:val="clear" w:pos="-1440"/>
              </w:tabs>
              <w:ind w:left="0"/>
              <w:rPr>
                <w:rFonts w:ascii="Arial" w:hAnsi="Arial" w:cs="Arial"/>
                <w:sz w:val="22"/>
                <w:szCs w:val="22"/>
              </w:rPr>
            </w:pPr>
            <w:r w:rsidRPr="0088201E">
              <w:rPr>
                <w:rFonts w:ascii="Arial" w:hAnsi="Arial" w:cs="Arial"/>
                <w:sz w:val="22"/>
                <w:szCs w:val="22"/>
              </w:rPr>
              <w:t>Ted Fosket</w:t>
            </w:r>
          </w:p>
        </w:tc>
      </w:tr>
      <w:tr w:rsidR="002209A2" w:rsidRPr="00B13314" w14:paraId="61B0CB8F" w14:textId="77777777" w:rsidTr="0088201E">
        <w:tc>
          <w:tcPr>
            <w:tcW w:w="4405" w:type="dxa"/>
          </w:tcPr>
          <w:p w14:paraId="0F27A566" w14:textId="77777777" w:rsidR="002209A2" w:rsidRPr="00B13314" w:rsidRDefault="002209A2" w:rsidP="002209A2">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7F00EDD4" w14:textId="172589F3" w:rsidR="002209A2" w:rsidRPr="0088201E" w:rsidRDefault="002209A2" w:rsidP="002209A2">
            <w:pPr>
              <w:pStyle w:val="BlockText"/>
              <w:keepNext/>
              <w:keepLines/>
              <w:widowControl/>
              <w:tabs>
                <w:tab w:val="clear" w:pos="-1440"/>
              </w:tabs>
              <w:ind w:left="0"/>
              <w:rPr>
                <w:rFonts w:ascii="Arial" w:hAnsi="Arial" w:cs="Arial"/>
                <w:sz w:val="22"/>
                <w:szCs w:val="22"/>
              </w:rPr>
            </w:pPr>
            <w:r w:rsidRPr="0088201E">
              <w:rPr>
                <w:rFonts w:ascii="Arial" w:hAnsi="Arial" w:cs="Arial"/>
                <w:sz w:val="22"/>
                <w:szCs w:val="22"/>
              </w:rPr>
              <w:t>(907) 723-3360</w:t>
            </w:r>
          </w:p>
        </w:tc>
      </w:tr>
      <w:tr w:rsidR="002209A2" w:rsidRPr="00B13314" w14:paraId="5BB823FC" w14:textId="77777777" w:rsidTr="0088201E">
        <w:tc>
          <w:tcPr>
            <w:tcW w:w="4405" w:type="dxa"/>
          </w:tcPr>
          <w:p w14:paraId="567E1C5E" w14:textId="77777777" w:rsidR="002209A2" w:rsidRPr="00B13314" w:rsidRDefault="002209A2" w:rsidP="002209A2">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F131FCF" w14:textId="61FDEB41" w:rsidR="002209A2" w:rsidRPr="0088201E" w:rsidRDefault="0088201E" w:rsidP="002209A2">
            <w:pPr>
              <w:pStyle w:val="BlockText"/>
              <w:keepNext/>
              <w:keepLines/>
              <w:widowControl/>
              <w:tabs>
                <w:tab w:val="clear" w:pos="-1440"/>
              </w:tabs>
              <w:ind w:left="0"/>
              <w:rPr>
                <w:rFonts w:ascii="Arial" w:hAnsi="Arial" w:cs="Arial"/>
                <w:sz w:val="22"/>
                <w:szCs w:val="22"/>
              </w:rPr>
            </w:pPr>
            <w:hyperlink r:id="rId7" w:history="1">
              <w:r w:rsidR="002209A2" w:rsidRPr="0088201E">
                <w:rPr>
                  <w:rStyle w:val="Hyperlink"/>
                  <w:rFonts w:ascii="Arial" w:hAnsi="Arial" w:cs="Arial"/>
                  <w:sz w:val="22"/>
                  <w:szCs w:val="22"/>
                </w:rPr>
                <w:t>tfosket@naspovaluepoint.org</w:t>
              </w:r>
            </w:hyperlink>
            <w:bookmarkStart w:id="0" w:name="_GoBack"/>
            <w:bookmarkEnd w:id="0"/>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8"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0D7F2" w14:textId="77777777" w:rsidR="00430F56" w:rsidRDefault="00430F56" w:rsidP="00ED2DF2">
      <w:pPr>
        <w:spacing w:after="0"/>
      </w:pPr>
      <w:r>
        <w:separator/>
      </w:r>
    </w:p>
  </w:endnote>
  <w:endnote w:type="continuationSeparator" w:id="0">
    <w:p w14:paraId="07B57F6F" w14:textId="77777777" w:rsidR="00430F56" w:rsidRDefault="00430F56"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2A6571E9" w14:textId="6141B996"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88201E">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88201E">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A4F2C" w14:textId="77777777" w:rsidR="00430F56" w:rsidRDefault="00430F56" w:rsidP="00ED2DF2">
      <w:pPr>
        <w:spacing w:after="0"/>
      </w:pPr>
      <w:r>
        <w:separator/>
      </w:r>
    </w:p>
  </w:footnote>
  <w:footnote w:type="continuationSeparator" w:id="0">
    <w:p w14:paraId="1B433DEB" w14:textId="77777777" w:rsidR="00430F56" w:rsidRDefault="00430F56"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D7197"/>
    <w:rsid w:val="001A1817"/>
    <w:rsid w:val="002209A2"/>
    <w:rsid w:val="00274D34"/>
    <w:rsid w:val="00283F55"/>
    <w:rsid w:val="00311C81"/>
    <w:rsid w:val="003709A7"/>
    <w:rsid w:val="003E4368"/>
    <w:rsid w:val="00430F56"/>
    <w:rsid w:val="004A37A4"/>
    <w:rsid w:val="004A64D2"/>
    <w:rsid w:val="004E043C"/>
    <w:rsid w:val="00523EDA"/>
    <w:rsid w:val="0055585D"/>
    <w:rsid w:val="005801EF"/>
    <w:rsid w:val="006D264F"/>
    <w:rsid w:val="006E62D0"/>
    <w:rsid w:val="00753EFB"/>
    <w:rsid w:val="007576D5"/>
    <w:rsid w:val="007F19E6"/>
    <w:rsid w:val="0088201E"/>
    <w:rsid w:val="00886675"/>
    <w:rsid w:val="008F1B68"/>
    <w:rsid w:val="00A227BE"/>
    <w:rsid w:val="00A30C29"/>
    <w:rsid w:val="00A33FC6"/>
    <w:rsid w:val="00A63102"/>
    <w:rsid w:val="00A84B0A"/>
    <w:rsid w:val="00AF1955"/>
    <w:rsid w:val="00B13314"/>
    <w:rsid w:val="00B43D4C"/>
    <w:rsid w:val="00C0255D"/>
    <w:rsid w:val="00C308A7"/>
    <w:rsid w:val="00C32990"/>
    <w:rsid w:val="00CE6847"/>
    <w:rsid w:val="00CF7D19"/>
    <w:rsid w:val="00DD4A95"/>
    <w:rsid w:val="00DE3119"/>
    <w:rsid w:val="00DE561D"/>
    <w:rsid w:val="00E11D4B"/>
    <w:rsid w:val="00E771FD"/>
    <w:rsid w:val="00E9510C"/>
    <w:rsid w:val="00EA33C6"/>
    <w:rsid w:val="00ED2DF2"/>
    <w:rsid w:val="00F01753"/>
    <w:rsid w:val="00F07860"/>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A33C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tfosket@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Peckham, Neva J. (DES)</cp:lastModifiedBy>
  <cp:revision>10</cp:revision>
  <dcterms:created xsi:type="dcterms:W3CDTF">2021-05-26T20:44:00Z</dcterms:created>
  <dcterms:modified xsi:type="dcterms:W3CDTF">2021-07-30T19:54:00Z</dcterms:modified>
</cp:coreProperties>
</file>