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A2CE9" w14:textId="77777777" w:rsidR="001F2A75" w:rsidRDefault="001F2A75">
      <w:pPr>
        <w:spacing w:line="264" w:lineRule="auto"/>
        <w:jc w:val="both"/>
        <w:rPr>
          <w:rFonts w:ascii="Arial" w:eastAsia="Arial" w:hAnsi="Arial" w:cs="Arial"/>
          <w:b/>
          <w:color w:val="E28B8E"/>
          <w:sz w:val="28"/>
          <w:szCs w:val="28"/>
        </w:rPr>
      </w:pPr>
    </w:p>
    <w:p w14:paraId="0169D3F8" w14:textId="77777777" w:rsidR="001F2A75" w:rsidRPr="00657918" w:rsidRDefault="00FC73FB">
      <w:pPr>
        <w:spacing w:line="264" w:lineRule="auto"/>
        <w:jc w:val="both"/>
        <w:rPr>
          <w:rFonts w:ascii="Arial" w:eastAsia="Arial" w:hAnsi="Arial" w:cs="Arial"/>
          <w:b/>
          <w:color w:val="C81521"/>
          <w:sz w:val="28"/>
          <w:szCs w:val="28"/>
        </w:rPr>
      </w:pPr>
      <w:r w:rsidRPr="00657918">
        <w:rPr>
          <w:rFonts w:ascii="Arial" w:eastAsia="Arial" w:hAnsi="Arial" w:cs="Arial"/>
          <w:b/>
          <w:color w:val="C81521"/>
          <w:sz w:val="28"/>
          <w:szCs w:val="28"/>
        </w:rPr>
        <w:t xml:space="preserve">Compliance Requirements </w:t>
      </w:r>
      <w:proofErr w:type="spellStart"/>
      <w:r w:rsidRPr="00657918">
        <w:rPr>
          <w:rFonts w:ascii="Arial" w:eastAsia="Arial" w:hAnsi="Arial" w:cs="Arial"/>
          <w:b/>
          <w:color w:val="C81521"/>
          <w:sz w:val="28"/>
          <w:szCs w:val="28"/>
        </w:rPr>
        <w:t>Response_Base</w:t>
      </w:r>
      <w:proofErr w:type="spellEnd"/>
      <w:r w:rsidRPr="00657918">
        <w:rPr>
          <w:rFonts w:ascii="Arial" w:eastAsia="Arial" w:hAnsi="Arial" w:cs="Arial"/>
          <w:b/>
          <w:color w:val="C81521"/>
          <w:sz w:val="28"/>
          <w:szCs w:val="28"/>
        </w:rPr>
        <w:t xml:space="preserve"> Requirements</w:t>
      </w:r>
    </w:p>
    <w:p w14:paraId="53F58518" w14:textId="77777777" w:rsidR="001F2A75" w:rsidRDefault="001F2A75">
      <w:pPr>
        <w:spacing w:line="264" w:lineRule="auto"/>
        <w:jc w:val="both"/>
        <w:rPr>
          <w:rFonts w:ascii="Arial" w:eastAsia="Arial" w:hAnsi="Arial" w:cs="Arial"/>
          <w:sz w:val="20"/>
          <w:szCs w:val="20"/>
        </w:rPr>
      </w:pPr>
    </w:p>
    <w:p w14:paraId="0CFFC5CF"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Compliance Requirements- Describe in detail how your company will meet all the requirements identified in Attachment F, Compliance Section, CMP01-CMP30. Your response should include the requirement number identified in the attachment, followed by your detailed response. You must provide a response to all requirements identified in Attachment F, Compliance Section.  </w:t>
      </w:r>
    </w:p>
    <w:p w14:paraId="4B545E34" w14:textId="77777777" w:rsidR="001F2A75" w:rsidRDefault="001F2A75">
      <w:pPr>
        <w:spacing w:line="264" w:lineRule="auto"/>
        <w:jc w:val="both"/>
        <w:rPr>
          <w:rFonts w:ascii="Arial" w:eastAsia="Arial" w:hAnsi="Arial" w:cs="Arial"/>
          <w:b/>
          <w:sz w:val="20"/>
          <w:szCs w:val="20"/>
        </w:rPr>
      </w:pPr>
    </w:p>
    <w:p w14:paraId="7EAEE015"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 xml:space="preserve">CMP01 </w:t>
      </w:r>
    </w:p>
    <w:p w14:paraId="15D774C0"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upon request by the State or at the end of the contract, transfer or destroy all documentation in the custody of the Supplier. The Supplier shall provide the transferred records and data in a format agreed upon by the State.</w:t>
      </w:r>
    </w:p>
    <w:p w14:paraId="05A6AB9E" w14:textId="77777777" w:rsidR="001F2A75" w:rsidRDefault="001F2A75">
      <w:pPr>
        <w:spacing w:line="264" w:lineRule="auto"/>
        <w:jc w:val="both"/>
        <w:rPr>
          <w:rFonts w:ascii="Arial" w:eastAsia="Arial" w:hAnsi="Arial" w:cs="Arial"/>
          <w:sz w:val="20"/>
          <w:szCs w:val="20"/>
        </w:rPr>
      </w:pPr>
    </w:p>
    <w:p w14:paraId="661272E9"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All documents and data, electronic and hard copy, are inventoried and segregated in the Benefit Recovery environment for both compliance and security purposes. Upon request or at contract end, Benefit Recovery transfers (in a format agreed upon with the State) or destroys all records not specifically requested to be maintained for a specified retention period. </w:t>
      </w:r>
    </w:p>
    <w:p w14:paraId="6CCF3C6B" w14:textId="77777777" w:rsidR="001F2A75" w:rsidRDefault="001F2A75">
      <w:pPr>
        <w:spacing w:line="264" w:lineRule="auto"/>
        <w:jc w:val="both"/>
        <w:rPr>
          <w:rFonts w:ascii="Arial" w:eastAsia="Arial" w:hAnsi="Arial" w:cs="Arial"/>
          <w:sz w:val="20"/>
          <w:szCs w:val="20"/>
        </w:rPr>
      </w:pPr>
    </w:p>
    <w:p w14:paraId="654DC4AA"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Hard copy documents are destroyed by certified document destruction entities and certificates of destruction are provided. The same processes are used for any information that the State has requested be retained for a certain period.  A retention schedule is maintained for and approved by each customer. Even as material hits its approved destruction date, we verify with the State that it is appropriate to destroy rather than return the information.</w:t>
      </w:r>
    </w:p>
    <w:p w14:paraId="737E87E5" w14:textId="77777777" w:rsidR="001F2A75" w:rsidRDefault="001F2A75">
      <w:pPr>
        <w:spacing w:line="264" w:lineRule="auto"/>
        <w:jc w:val="both"/>
        <w:rPr>
          <w:rFonts w:ascii="Arial" w:eastAsia="Arial" w:hAnsi="Arial" w:cs="Arial"/>
          <w:sz w:val="20"/>
          <w:szCs w:val="20"/>
        </w:rPr>
      </w:pPr>
    </w:p>
    <w:p w14:paraId="583049BC"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CMP02</w:t>
      </w:r>
    </w:p>
    <w:p w14:paraId="4F89A0B7"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notify the State in writing within twenty four (24) hours (or a timeframe as defined by the Agency) following initial detection of suspected fraud or abuse and provide supporting documentation.</w:t>
      </w:r>
    </w:p>
    <w:p w14:paraId="6DE76A23" w14:textId="77777777" w:rsidR="001F2A75" w:rsidRDefault="001F2A75">
      <w:pPr>
        <w:spacing w:line="264" w:lineRule="auto"/>
        <w:jc w:val="both"/>
        <w:rPr>
          <w:rFonts w:ascii="Arial" w:eastAsia="Arial" w:hAnsi="Arial" w:cs="Arial"/>
          <w:b/>
          <w:sz w:val="20"/>
          <w:szCs w:val="20"/>
        </w:rPr>
      </w:pPr>
    </w:p>
    <w:p w14:paraId="61DFC2DD"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incorporates review algorithms into its data processing routines and manual recovery efforts to identify cases of potential fraud, waste, and abuse. Once a potential instance is identified, all appropriate documentation is gathered and a summary description of the activity that appears to be fraud, waste or abuse is documented and provided to the appropriate State contact within 24 hours. These cases can include instances of Medicaid policies/procedures that require strengthening, provider fraud or abuse, and recipient eligibility or service abuse. Any further analytical or other assistance that the State requires to follow up on the referral is also provided.</w:t>
      </w:r>
    </w:p>
    <w:p w14:paraId="604385C1" w14:textId="77777777" w:rsidR="001F2A75" w:rsidRDefault="001F2A75">
      <w:pPr>
        <w:spacing w:line="264" w:lineRule="auto"/>
        <w:jc w:val="both"/>
        <w:rPr>
          <w:rFonts w:ascii="Arial" w:eastAsia="Arial" w:hAnsi="Arial" w:cs="Arial"/>
          <w:sz w:val="20"/>
          <w:szCs w:val="20"/>
        </w:rPr>
      </w:pPr>
    </w:p>
    <w:p w14:paraId="196F256B"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CMP03</w:t>
      </w:r>
    </w:p>
    <w:p w14:paraId="57FB275A"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adhere to data retention requirements cited in 45 CFR 164.316 and Administrative Rule 37.85.414. The agency may require a longer retention period on an exception basis to support ongoing business needs (e.g., TPL recovery and drug rebate). </w:t>
      </w:r>
    </w:p>
    <w:p w14:paraId="59218B59" w14:textId="77777777" w:rsidR="001F2A75" w:rsidRDefault="001F2A75">
      <w:pPr>
        <w:spacing w:line="264" w:lineRule="auto"/>
        <w:jc w:val="both"/>
        <w:rPr>
          <w:rFonts w:ascii="Arial" w:eastAsia="Arial" w:hAnsi="Arial" w:cs="Arial"/>
          <w:b/>
          <w:sz w:val="20"/>
          <w:szCs w:val="20"/>
        </w:rPr>
      </w:pPr>
    </w:p>
    <w:p w14:paraId="76EBC57F"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is accustomed to providing data retention over a range of customer requirements including those required by 45 CFR 164.316, six years from the date of its creation or the date when it last was in effect, whichever is later. Currently, retention periods for our existing customers range from one year to six years based on client preferences. To manage the various requirements, Benefit Recovery creates a retention table that identifies the appropriate retention periods and is maintained by our Compliance Manager.</w:t>
      </w:r>
    </w:p>
    <w:p w14:paraId="4E04961E" w14:textId="77777777" w:rsidR="001F2A75" w:rsidRDefault="001F2A75">
      <w:pPr>
        <w:spacing w:line="264" w:lineRule="auto"/>
        <w:jc w:val="both"/>
        <w:rPr>
          <w:rFonts w:ascii="Arial" w:eastAsia="Arial" w:hAnsi="Arial" w:cs="Arial"/>
          <w:sz w:val="20"/>
          <w:szCs w:val="20"/>
        </w:rPr>
      </w:pPr>
    </w:p>
    <w:p w14:paraId="20FFD5D7" w14:textId="77777777" w:rsidR="001F2A75" w:rsidRDefault="001F2A75">
      <w:pPr>
        <w:spacing w:line="264" w:lineRule="auto"/>
        <w:jc w:val="both"/>
        <w:rPr>
          <w:rFonts w:ascii="Arial" w:eastAsia="Arial" w:hAnsi="Arial" w:cs="Arial"/>
          <w:sz w:val="20"/>
          <w:szCs w:val="20"/>
        </w:rPr>
      </w:pPr>
    </w:p>
    <w:p w14:paraId="11BB63E3"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CMP04</w:t>
      </w:r>
    </w:p>
    <w:p w14:paraId="5CF3B994"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have written policies governing access to, and duplication and dissemination of all individual or entity information.</w:t>
      </w:r>
    </w:p>
    <w:p w14:paraId="0D2352DD" w14:textId="77777777" w:rsidR="001F2A75" w:rsidRDefault="001F2A75">
      <w:pPr>
        <w:spacing w:line="264" w:lineRule="auto"/>
        <w:jc w:val="both"/>
        <w:rPr>
          <w:rFonts w:ascii="Arial" w:eastAsia="Arial" w:hAnsi="Arial" w:cs="Arial"/>
          <w:b/>
          <w:sz w:val="20"/>
          <w:szCs w:val="20"/>
        </w:rPr>
      </w:pPr>
    </w:p>
    <w:p w14:paraId="1F2E9193"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has written policies governing access to and release of information. The policies include but are not limited to:</w:t>
      </w:r>
    </w:p>
    <w:p w14:paraId="58936B19" w14:textId="77777777" w:rsidR="001F2A75" w:rsidRDefault="00FC73FB">
      <w:pPr>
        <w:numPr>
          <w:ilvl w:val="0"/>
          <w:numId w:val="2"/>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Employee Handbook</w:t>
      </w:r>
    </w:p>
    <w:p w14:paraId="2A808EDA" w14:textId="77777777" w:rsidR="001F2A75" w:rsidRDefault="00FC73FB">
      <w:pPr>
        <w:numPr>
          <w:ilvl w:val="0"/>
          <w:numId w:val="2"/>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Internet Usage Policy</w:t>
      </w:r>
    </w:p>
    <w:p w14:paraId="20F502D6" w14:textId="77777777" w:rsidR="001F2A75" w:rsidRDefault="00FC73FB">
      <w:pPr>
        <w:numPr>
          <w:ilvl w:val="0"/>
          <w:numId w:val="2"/>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IT Security Policy and Rules of Behavior </w:t>
      </w:r>
    </w:p>
    <w:p w14:paraId="727A83B6" w14:textId="77777777" w:rsidR="001F2A75" w:rsidRDefault="001F2A75">
      <w:pPr>
        <w:spacing w:line="264" w:lineRule="auto"/>
        <w:jc w:val="both"/>
        <w:rPr>
          <w:rFonts w:ascii="Arial" w:eastAsia="Arial" w:hAnsi="Arial" w:cs="Arial"/>
          <w:sz w:val="20"/>
          <w:szCs w:val="20"/>
        </w:rPr>
      </w:pPr>
    </w:p>
    <w:p w14:paraId="611BD141"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 xml:space="preserve">Staff must sign each document and maintain their compliance. Information is limited to those with a legitimate need for the information to complete their job function, and then it is limited to the minimal information required to complete the function. Dissemination of information to other parties is strictly limited to those specifically approved in the contract scope of work. </w:t>
      </w:r>
    </w:p>
    <w:p w14:paraId="03379970" w14:textId="77777777" w:rsidR="001F2A75" w:rsidRDefault="001F2A75">
      <w:pPr>
        <w:spacing w:line="264" w:lineRule="auto"/>
        <w:jc w:val="both"/>
        <w:rPr>
          <w:rFonts w:ascii="Arial" w:eastAsia="Arial" w:hAnsi="Arial" w:cs="Arial"/>
          <w:sz w:val="20"/>
          <w:szCs w:val="20"/>
        </w:rPr>
      </w:pPr>
    </w:p>
    <w:p w14:paraId="0706039B"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Benefit Recovery understands our responsibilities regarding creating and maintaining records required by this solicitation. We agree that all records, files, documents, and working papers provided by the State remain State property, and we will not use any data acquired during performance of this contract for any other purpose and will not share the data with other entities.</w:t>
      </w:r>
    </w:p>
    <w:p w14:paraId="0CC50158" w14:textId="77777777" w:rsidR="001F2A75" w:rsidRDefault="001F2A75">
      <w:pPr>
        <w:spacing w:line="264" w:lineRule="auto"/>
        <w:jc w:val="both"/>
        <w:rPr>
          <w:rFonts w:ascii="Arial" w:eastAsia="Arial" w:hAnsi="Arial" w:cs="Arial"/>
          <w:sz w:val="20"/>
          <w:szCs w:val="20"/>
        </w:rPr>
      </w:pPr>
    </w:p>
    <w:p w14:paraId="7CD141A1"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CMP05</w:t>
      </w:r>
    </w:p>
    <w:p w14:paraId="02CFC909"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comply with all sections of the Americans with Disabilities Act (ADA), Section 508 of the Rehabilitation Act and ensure user interface standards account for the various forms of colorblindness.</w:t>
      </w:r>
    </w:p>
    <w:p w14:paraId="7860217A" w14:textId="77777777" w:rsidR="001F2A75" w:rsidRDefault="001F2A75">
      <w:pPr>
        <w:spacing w:line="264" w:lineRule="auto"/>
        <w:jc w:val="both"/>
        <w:rPr>
          <w:rFonts w:ascii="Arial" w:eastAsia="Arial" w:hAnsi="Arial" w:cs="Arial"/>
          <w:sz w:val="20"/>
          <w:szCs w:val="20"/>
        </w:rPr>
      </w:pPr>
    </w:p>
    <w:p w14:paraId="1AF142E8"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Benefit Recovery understands the Section 508 compliance requirements and incorporates them into our solution throughout our performance of this contract. Benefit Recovery ensures all purchased, developed, and/or modified electronic and information technology (E&amp;IT) products comply with the Architecture and Transportation Barriers Compliance Board at CFR Part 1194 – Section 508 of the Rehabilitation Act (29 U.S.C. 794d). </w:t>
      </w:r>
    </w:p>
    <w:p w14:paraId="34A072F5" w14:textId="77777777" w:rsidR="001F2A75" w:rsidRDefault="001F2A75">
      <w:pPr>
        <w:spacing w:line="264" w:lineRule="auto"/>
        <w:jc w:val="both"/>
        <w:rPr>
          <w:rFonts w:ascii="Arial" w:eastAsia="Arial" w:hAnsi="Arial" w:cs="Arial"/>
          <w:sz w:val="20"/>
          <w:szCs w:val="20"/>
        </w:rPr>
      </w:pPr>
    </w:p>
    <w:p w14:paraId="0A66EF15"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Benefit Recovery ensures that no maintenance activities during this Task Order degrade or remove any of the preexisting accessibility features and functions for the systems we maintain. We use version testing to ensure the systems continue to meet the Section 508 accessibility standards to their prior level. Any technology enhancement support we provide will maintain the same level of Section 508 compliance as the existing solution.</w:t>
      </w:r>
    </w:p>
    <w:p w14:paraId="29EEB672" w14:textId="77777777" w:rsidR="001F2A75" w:rsidRDefault="001F2A75">
      <w:pPr>
        <w:spacing w:line="264" w:lineRule="auto"/>
        <w:jc w:val="both"/>
        <w:rPr>
          <w:rFonts w:ascii="Arial" w:eastAsia="Arial" w:hAnsi="Arial" w:cs="Arial"/>
          <w:b/>
          <w:sz w:val="20"/>
          <w:szCs w:val="20"/>
        </w:rPr>
      </w:pPr>
    </w:p>
    <w:p w14:paraId="45DA07A2"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CMP06</w:t>
      </w:r>
    </w:p>
    <w:p w14:paraId="5863B1FC"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and its services, work products and final deliverables provided by the Supplier applicable to the services described in the scope of work shall be knowledgeable of and in compliance with pertinent State and Federal Statutes, CIO Promulgated Rules, State IT policies, rules, and standards for required system hardware, software and development tools and processes, and operational procedures when completed and accepted by the agency. The Supplier shall also be aware of upcoming changes to existing rules and regulations as well as new rules and regulations that may impact the scope of work.</w:t>
      </w:r>
    </w:p>
    <w:p w14:paraId="03AFEC1D" w14:textId="77777777" w:rsidR="001F2A75" w:rsidRDefault="001F2A75">
      <w:pPr>
        <w:spacing w:line="264" w:lineRule="auto"/>
        <w:jc w:val="both"/>
        <w:rPr>
          <w:rFonts w:ascii="Arial" w:eastAsia="Arial" w:hAnsi="Arial" w:cs="Arial"/>
          <w:sz w:val="20"/>
          <w:szCs w:val="20"/>
        </w:rPr>
      </w:pPr>
    </w:p>
    <w:p w14:paraId="0F01C6AA"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Benefit Recovery licenses and operates software on behalf of multiple organizations and States. When committing to a new contract, one of the initial tasks conducted is reviewing the regulations and standards that will pertain to the State or Federal entity, statutes, and policies for the contract. There are </w:t>
      </w:r>
    </w:p>
    <w:p w14:paraId="522F2F17" w14:textId="77777777" w:rsidR="001F2A75" w:rsidRDefault="001F2A75">
      <w:pPr>
        <w:spacing w:line="264" w:lineRule="auto"/>
        <w:jc w:val="both"/>
        <w:rPr>
          <w:rFonts w:ascii="Arial" w:eastAsia="Arial" w:hAnsi="Arial" w:cs="Arial"/>
          <w:sz w:val="20"/>
          <w:szCs w:val="20"/>
        </w:rPr>
      </w:pPr>
    </w:p>
    <w:p w14:paraId="772E5C32"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Benefit Recovery standards maintained in accordance with our SOC II Type II certification. Any contract specific hardware or software additions that must be added are clearly documented and tested prior to being implemented in any environment from testing, staging, or production. Through continuous monitoring of standards related to the contract there might be new rules or regulations which will be reviewed, documented, and planned into future releases. For any new rules that might affect the scope of the project, a change request will be submitted for review and approval before any planning, development, or implementation is started.</w:t>
      </w:r>
    </w:p>
    <w:p w14:paraId="4893D802" w14:textId="77777777" w:rsidR="001F2A75" w:rsidRDefault="001F2A75">
      <w:pPr>
        <w:spacing w:line="264" w:lineRule="auto"/>
        <w:jc w:val="both"/>
        <w:rPr>
          <w:rFonts w:ascii="Arial" w:eastAsia="Arial" w:hAnsi="Arial" w:cs="Arial"/>
          <w:sz w:val="20"/>
          <w:szCs w:val="20"/>
        </w:rPr>
      </w:pPr>
    </w:p>
    <w:p w14:paraId="6AD2A9A7"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CMP07</w:t>
      </w:r>
    </w:p>
    <w:p w14:paraId="2EC35F35"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adhere to recognized best practices during the execution of the scope of work including the latest version of the National Institute of Standards and Technology (NIST) Special Publication (SP) 800 series related to cyber security.</w:t>
      </w:r>
    </w:p>
    <w:p w14:paraId="182851B1" w14:textId="77777777" w:rsidR="001F2A75" w:rsidRDefault="001F2A75">
      <w:pPr>
        <w:spacing w:line="264" w:lineRule="auto"/>
        <w:jc w:val="both"/>
        <w:rPr>
          <w:rFonts w:ascii="Arial" w:eastAsia="Arial" w:hAnsi="Arial" w:cs="Arial"/>
          <w:sz w:val="20"/>
          <w:szCs w:val="20"/>
        </w:rPr>
      </w:pPr>
    </w:p>
    <w:p w14:paraId="5DD2BA2E"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The Benefit Recovery Disaster Recovery and Business Continuity Plans are built to National Institute of Standards and Technology (NIST) 800-34 Continuity Planning Guide standards. All NIST 800-53 High Continuity Planning controls are implemented and tested annually. External auditors throughout the year also conduct audits as part of certification maintenance and renewals.</w:t>
      </w:r>
    </w:p>
    <w:p w14:paraId="783D7077" w14:textId="77777777" w:rsidR="001F2A75" w:rsidRDefault="001F2A75">
      <w:pPr>
        <w:spacing w:line="264" w:lineRule="auto"/>
        <w:jc w:val="both"/>
        <w:rPr>
          <w:rFonts w:ascii="Arial" w:eastAsia="Arial" w:hAnsi="Arial" w:cs="Arial"/>
          <w:sz w:val="20"/>
          <w:szCs w:val="20"/>
        </w:rPr>
      </w:pPr>
    </w:p>
    <w:p w14:paraId="68108BCD"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Business Continuity Plans are reviewed on an annual basis and multiple times throughout the year. The Network and Data Security Team and staff who are assigned business continuity and disaster recovery roles receive annual training. The plans are hosted externally from our facilities and data centers to ensure access to the plans in the event of activation.</w:t>
      </w:r>
    </w:p>
    <w:p w14:paraId="5DD01A00" w14:textId="77777777" w:rsidR="001F2A75" w:rsidRDefault="001F2A75">
      <w:pPr>
        <w:spacing w:line="264" w:lineRule="auto"/>
        <w:jc w:val="both"/>
        <w:rPr>
          <w:rFonts w:ascii="Arial" w:eastAsia="Arial" w:hAnsi="Arial" w:cs="Arial"/>
          <w:sz w:val="20"/>
          <w:szCs w:val="20"/>
        </w:rPr>
      </w:pPr>
    </w:p>
    <w:p w14:paraId="13826CBC"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CMP08</w:t>
      </w:r>
    </w:p>
    <w:p w14:paraId="0D923002"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Supplier’s solution shall have full integration of the MITA initiative with business, architecture and data required to support the State’s healthcare programs. </w:t>
      </w:r>
    </w:p>
    <w:p w14:paraId="3C4869AF" w14:textId="77777777" w:rsidR="001F2A75" w:rsidRDefault="001F2A75">
      <w:pPr>
        <w:spacing w:line="264" w:lineRule="auto"/>
        <w:jc w:val="both"/>
        <w:rPr>
          <w:rFonts w:ascii="Arial" w:eastAsia="Arial" w:hAnsi="Arial" w:cs="Arial"/>
          <w:sz w:val="20"/>
          <w:szCs w:val="20"/>
        </w:rPr>
      </w:pPr>
    </w:p>
    <w:p w14:paraId="410B37D0"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solutions have been created to align with the MITA objectives of:</w:t>
      </w:r>
    </w:p>
    <w:p w14:paraId="66690D36" w14:textId="77777777" w:rsidR="001F2A75" w:rsidRDefault="00FC73FB">
      <w:pPr>
        <w:numPr>
          <w:ilvl w:val="0"/>
          <w:numId w:val="3"/>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Interoperability</w:t>
      </w:r>
    </w:p>
    <w:p w14:paraId="672CCAF9" w14:textId="77777777" w:rsidR="001F2A75" w:rsidRDefault="00FC73FB">
      <w:pPr>
        <w:numPr>
          <w:ilvl w:val="0"/>
          <w:numId w:val="3"/>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Common standards</w:t>
      </w:r>
    </w:p>
    <w:p w14:paraId="3C73A40D" w14:textId="77777777" w:rsidR="001F2A75" w:rsidRDefault="00FC73FB">
      <w:pPr>
        <w:numPr>
          <w:ilvl w:val="0"/>
          <w:numId w:val="3"/>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Web access</w:t>
      </w:r>
    </w:p>
    <w:p w14:paraId="3B694849" w14:textId="77777777" w:rsidR="001F2A75" w:rsidRDefault="00FC73FB">
      <w:pPr>
        <w:numPr>
          <w:ilvl w:val="0"/>
          <w:numId w:val="3"/>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Reusability</w:t>
      </w:r>
    </w:p>
    <w:p w14:paraId="5106EFE3" w14:textId="77777777" w:rsidR="001F2A75" w:rsidRDefault="00FC73FB">
      <w:pPr>
        <w:numPr>
          <w:ilvl w:val="0"/>
          <w:numId w:val="3"/>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COTS applications </w:t>
      </w:r>
    </w:p>
    <w:p w14:paraId="122DA95D" w14:textId="77777777" w:rsidR="001F2A75" w:rsidRDefault="001F2A75">
      <w:pPr>
        <w:spacing w:line="264" w:lineRule="auto"/>
        <w:jc w:val="both"/>
        <w:rPr>
          <w:rFonts w:ascii="Arial" w:eastAsia="Arial" w:hAnsi="Arial" w:cs="Arial"/>
          <w:sz w:val="20"/>
          <w:szCs w:val="20"/>
        </w:rPr>
      </w:pPr>
    </w:p>
    <w:p w14:paraId="7CC71CB7" w14:textId="77777777" w:rsidR="001F2A75" w:rsidRDefault="00FC73FB">
      <w:pPr>
        <w:spacing w:line="264" w:lineRule="auto"/>
        <w:jc w:val="both"/>
        <w:rPr>
          <w:rFonts w:ascii="Arial" w:eastAsia="Arial" w:hAnsi="Arial" w:cs="Arial"/>
          <w:b/>
          <w:sz w:val="20"/>
          <w:szCs w:val="20"/>
        </w:rPr>
      </w:pPr>
      <w:r>
        <w:rPr>
          <w:rFonts w:ascii="Arial" w:eastAsia="Arial" w:hAnsi="Arial" w:cs="Arial"/>
          <w:sz w:val="20"/>
          <w:szCs w:val="20"/>
        </w:rPr>
        <w:t>The interface with other systems within the State's healthcare programs have also been built with this knowledge.  As the State's platforms and frameworks evolve, Benefit Recovery’s solution will evolve to maintain the integration between systems.</w:t>
      </w:r>
    </w:p>
    <w:p w14:paraId="7DA580B4" w14:textId="77777777" w:rsidR="001F2A75" w:rsidRDefault="001F2A75">
      <w:pPr>
        <w:spacing w:line="264" w:lineRule="auto"/>
        <w:jc w:val="both"/>
        <w:rPr>
          <w:rFonts w:ascii="Arial" w:eastAsia="Arial" w:hAnsi="Arial" w:cs="Arial"/>
          <w:b/>
          <w:sz w:val="20"/>
          <w:szCs w:val="20"/>
        </w:rPr>
      </w:pPr>
    </w:p>
    <w:p w14:paraId="51476CB4"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CMP09</w:t>
      </w:r>
    </w:p>
    <w:p w14:paraId="3C222436"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be knowledgeable of and support the agency to maintain compliance with the "to be" vision of MITA 3.0 Standards and Conditions-MITA Condition or the latest MITA version that requires states to align to and advance in MITA maturity for business, architecture and data.</w:t>
      </w:r>
    </w:p>
    <w:p w14:paraId="04D3F7E6" w14:textId="77777777" w:rsidR="001F2A75" w:rsidRDefault="001F2A75">
      <w:pPr>
        <w:spacing w:line="264" w:lineRule="auto"/>
        <w:jc w:val="both"/>
        <w:rPr>
          <w:rFonts w:ascii="Arial" w:eastAsia="Arial" w:hAnsi="Arial" w:cs="Arial"/>
          <w:sz w:val="20"/>
          <w:szCs w:val="20"/>
        </w:rPr>
      </w:pPr>
    </w:p>
    <w:p w14:paraId="52D9E295"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 xml:space="preserve">ANSWER:  </w:t>
      </w:r>
      <w:r>
        <w:rPr>
          <w:rFonts w:ascii="Arial" w:eastAsia="Arial" w:hAnsi="Arial" w:cs="Arial"/>
          <w:sz w:val="20"/>
          <w:szCs w:val="20"/>
        </w:rPr>
        <w:t>Benefit Recovery is familiar with the current MITA standards and supports the State in their effort to achieve the “to be” condition. Over time the framework will continue to evolve, and Benefit Recovery systems adapt to support greater maturity with the evolving standards to provide greater benefits to all the stakeholders using MITA.</w:t>
      </w:r>
    </w:p>
    <w:p w14:paraId="0BD65888" w14:textId="77777777" w:rsidR="001F2A75" w:rsidRDefault="00FC73FB">
      <w:pPr>
        <w:rPr>
          <w:rFonts w:ascii="Arial" w:eastAsia="Arial" w:hAnsi="Arial" w:cs="Arial"/>
          <w:b/>
          <w:sz w:val="20"/>
          <w:szCs w:val="20"/>
        </w:rPr>
      </w:pPr>
      <w:r>
        <w:br w:type="page"/>
      </w:r>
    </w:p>
    <w:p w14:paraId="03059408" w14:textId="77777777" w:rsidR="000D11D1" w:rsidRDefault="000D11D1">
      <w:pPr>
        <w:spacing w:line="264" w:lineRule="auto"/>
        <w:jc w:val="both"/>
        <w:rPr>
          <w:rFonts w:ascii="Arial" w:eastAsia="Arial" w:hAnsi="Arial" w:cs="Arial"/>
          <w:b/>
          <w:color w:val="C81521"/>
          <w:sz w:val="22"/>
          <w:szCs w:val="22"/>
        </w:rPr>
      </w:pPr>
    </w:p>
    <w:p w14:paraId="390F0A2F" w14:textId="0B56263C"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CMP10</w:t>
      </w:r>
    </w:p>
    <w:p w14:paraId="1106906F"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be knowledgeable of and support the agency to maintain compliance with the “to be” vision of MITA 3.0 Standards and Conditions – Industry Standards Condition or the latest MITA version that requires states to align to and advance in MITA maturity for business, architecture and data. The Supplier shall ensure alignment with, and incorporation of, industry standards, HIPAA, privacy, and transaction standards; accessibility standards, and standards that provide greater accessibility for individuals with disabilities and standards under the Affordable Care Act.</w:t>
      </w:r>
    </w:p>
    <w:p w14:paraId="43DFA041" w14:textId="77777777" w:rsidR="001F2A75" w:rsidRDefault="001F2A75">
      <w:pPr>
        <w:spacing w:line="264" w:lineRule="auto"/>
        <w:jc w:val="both"/>
        <w:rPr>
          <w:rFonts w:ascii="Arial" w:eastAsia="Arial" w:hAnsi="Arial" w:cs="Arial"/>
          <w:sz w:val="20"/>
          <w:szCs w:val="20"/>
        </w:rPr>
      </w:pPr>
    </w:p>
    <w:p w14:paraId="7513C4B6"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Benefit Recovery’s solution is a COTS system, built to meet applicable business and industry standards and to support the MITA 3.0 vision of migration along a continuum of maturity for business, IT architecture and data.  MITA seeks to improve system development and healthcare administration through </w:t>
      </w:r>
    </w:p>
    <w:p w14:paraId="126E77ED" w14:textId="77777777" w:rsidR="001F2A75" w:rsidRDefault="001F2A75">
      <w:pPr>
        <w:spacing w:line="264" w:lineRule="auto"/>
        <w:jc w:val="both"/>
        <w:rPr>
          <w:rFonts w:ascii="Arial" w:eastAsia="Arial" w:hAnsi="Arial" w:cs="Arial"/>
          <w:sz w:val="20"/>
          <w:szCs w:val="20"/>
        </w:rPr>
      </w:pPr>
    </w:p>
    <w:p w14:paraId="32FB71AD" w14:textId="77777777" w:rsidR="001F2A75" w:rsidRDefault="00FC73FB">
      <w:pPr>
        <w:spacing w:line="264" w:lineRule="auto"/>
        <w:jc w:val="both"/>
        <w:rPr>
          <w:rFonts w:ascii="Arial" w:eastAsia="Arial" w:hAnsi="Arial" w:cs="Arial"/>
          <w:b/>
          <w:sz w:val="20"/>
          <w:szCs w:val="20"/>
        </w:rPr>
      </w:pPr>
      <w:r>
        <w:rPr>
          <w:rFonts w:ascii="Arial" w:eastAsia="Arial" w:hAnsi="Arial" w:cs="Arial"/>
          <w:sz w:val="20"/>
          <w:szCs w:val="20"/>
        </w:rPr>
        <w:t>improved interoperability and common standards. As the standards for business, architecture and data advance, we adapt the solution to incorporate any applicable new standards for privacy of data and transactions for accessibility and for any new standards that may be introduced in the future.</w:t>
      </w:r>
    </w:p>
    <w:p w14:paraId="7344C4A0" w14:textId="77777777" w:rsidR="001F2A75" w:rsidRDefault="001F2A75">
      <w:pPr>
        <w:spacing w:line="264" w:lineRule="auto"/>
        <w:jc w:val="both"/>
        <w:rPr>
          <w:rFonts w:ascii="Arial" w:eastAsia="Arial" w:hAnsi="Arial" w:cs="Arial"/>
          <w:b/>
          <w:sz w:val="20"/>
          <w:szCs w:val="20"/>
        </w:rPr>
      </w:pPr>
    </w:p>
    <w:p w14:paraId="3038129B"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CMP11</w:t>
      </w:r>
    </w:p>
    <w:p w14:paraId="722E8E1C"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be knowledgeable of and support the agency to maintain compliance with the "to be" vision of MITA 3.0 Standards and Conditions - Leverage Condition or the latest MITA version that requires states to align to and advance in MITA maturity for business, architecture and data. The Supplier shall promote sharing, leveraging, and reuse of healthcare technologies and systems within and among states.</w:t>
      </w:r>
    </w:p>
    <w:p w14:paraId="7F0EC526" w14:textId="77777777" w:rsidR="001F2A75" w:rsidRDefault="001F2A75">
      <w:pPr>
        <w:spacing w:line="264" w:lineRule="auto"/>
        <w:jc w:val="both"/>
        <w:rPr>
          <w:rFonts w:ascii="Arial" w:eastAsia="Arial" w:hAnsi="Arial" w:cs="Arial"/>
          <w:sz w:val="20"/>
          <w:szCs w:val="20"/>
        </w:rPr>
      </w:pPr>
    </w:p>
    <w:p w14:paraId="74AE421B"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 xml:space="preserve">ANSWER: </w:t>
      </w:r>
      <w:r>
        <w:rPr>
          <w:rFonts w:ascii="Arial" w:eastAsia="Arial" w:hAnsi="Arial" w:cs="Arial"/>
          <w:sz w:val="20"/>
          <w:szCs w:val="20"/>
        </w:rPr>
        <w:t>Benefit Recovery’s COTS solution is built with a flexible approach to meeting the business needs. ARMS PRO accepts data from the State’s current TPL operation to leverage the prior work to identify primary payers and provides cost avoidance information in the State’s format to leverage the current cost avoidance systems. As a new solution is implemented for different States, new business and technology features and options will be incorporated into the core solution.  These in turn will be available to all other states as the solution evolves with either changing business needs or MITA standards.</w:t>
      </w:r>
    </w:p>
    <w:p w14:paraId="5C2AF706" w14:textId="77777777" w:rsidR="001F2A75" w:rsidRDefault="001F2A75">
      <w:pPr>
        <w:spacing w:line="264" w:lineRule="auto"/>
        <w:jc w:val="both"/>
        <w:rPr>
          <w:rFonts w:ascii="Arial" w:eastAsia="Arial" w:hAnsi="Arial" w:cs="Arial"/>
          <w:b/>
          <w:sz w:val="20"/>
          <w:szCs w:val="20"/>
        </w:rPr>
      </w:pPr>
    </w:p>
    <w:p w14:paraId="77538CB3"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CMP12</w:t>
      </w:r>
    </w:p>
    <w:p w14:paraId="5B49A1F7"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be knowledgeable of and support the agency to maintain compliance with the “to be” vision of MITA 3.0-Standards and Conditions- Modularity Standard or the latest MITA version that requires states to align to and advance in MITA maturity for business, architecture and data. The Supplier’s solution shall use a modular, flexible approach to systems development, including the use of open interfaces and exposed Application Programming Interfaces (API); the separation of standardized business rule definitions from core programming; and the availability of standardized business rule definitions in both human and machine-readable formats.</w:t>
      </w:r>
    </w:p>
    <w:p w14:paraId="32D77326" w14:textId="77777777" w:rsidR="001F2A75" w:rsidRDefault="001F2A75">
      <w:pPr>
        <w:spacing w:line="264" w:lineRule="auto"/>
        <w:jc w:val="both"/>
        <w:rPr>
          <w:rFonts w:ascii="Arial" w:eastAsia="Arial" w:hAnsi="Arial" w:cs="Arial"/>
          <w:sz w:val="20"/>
          <w:szCs w:val="20"/>
        </w:rPr>
      </w:pPr>
    </w:p>
    <w:p w14:paraId="0E693A4C"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solution architecture is designed with the ‘to be’ vision in mind and is built in a modular fashion.  Functionality for key business areas is developed and maintained within separate modules so changes to one area do not impact other areas.  Shared services within the application and interfaces to / from other solutions using exposed APIs are also modularized to avoid replication and simplify and speed development and maintenance.  Where appropriate, the configuration of business rules is decoupled from the functional code to provide flexibility and simplicity of understanding and ease of use by business and solution administrators.</w:t>
      </w:r>
    </w:p>
    <w:p w14:paraId="75EE1FA4" w14:textId="77777777" w:rsidR="001F2A75" w:rsidRDefault="001F2A75">
      <w:pPr>
        <w:spacing w:line="264" w:lineRule="auto"/>
        <w:jc w:val="both"/>
        <w:rPr>
          <w:rFonts w:ascii="Arial" w:eastAsia="Arial" w:hAnsi="Arial" w:cs="Arial"/>
          <w:sz w:val="20"/>
          <w:szCs w:val="20"/>
        </w:rPr>
      </w:pPr>
    </w:p>
    <w:p w14:paraId="4B40D2F5" w14:textId="77777777" w:rsidR="001F2A75" w:rsidRDefault="00FC73FB">
      <w:pPr>
        <w:rPr>
          <w:rFonts w:ascii="Arial" w:eastAsia="Arial" w:hAnsi="Arial" w:cs="Arial"/>
          <w:b/>
          <w:color w:val="E28B8E"/>
          <w:sz w:val="20"/>
          <w:szCs w:val="20"/>
        </w:rPr>
      </w:pPr>
      <w:r>
        <w:br w:type="page"/>
      </w:r>
    </w:p>
    <w:p w14:paraId="10E9EEED" w14:textId="77777777" w:rsidR="001F2A75" w:rsidRDefault="001F2A75">
      <w:pPr>
        <w:spacing w:line="264" w:lineRule="auto"/>
        <w:jc w:val="both"/>
        <w:rPr>
          <w:rFonts w:ascii="Arial" w:eastAsia="Arial" w:hAnsi="Arial" w:cs="Arial"/>
          <w:b/>
          <w:color w:val="E28B8E"/>
          <w:sz w:val="20"/>
          <w:szCs w:val="20"/>
        </w:rPr>
      </w:pPr>
    </w:p>
    <w:p w14:paraId="797FBF7A" w14:textId="77777777" w:rsidR="001F2A75" w:rsidRPr="00657918" w:rsidRDefault="00FC73FB">
      <w:pPr>
        <w:spacing w:line="264" w:lineRule="auto"/>
        <w:jc w:val="both"/>
        <w:rPr>
          <w:rFonts w:ascii="Arial" w:eastAsia="Arial" w:hAnsi="Arial" w:cs="Arial"/>
          <w:b/>
          <w:color w:val="C81521"/>
          <w:sz w:val="20"/>
          <w:szCs w:val="20"/>
        </w:rPr>
      </w:pPr>
      <w:r w:rsidRPr="00657918">
        <w:rPr>
          <w:rFonts w:ascii="Arial" w:eastAsia="Arial" w:hAnsi="Arial" w:cs="Arial"/>
          <w:b/>
          <w:color w:val="C81521"/>
          <w:sz w:val="20"/>
          <w:szCs w:val="20"/>
        </w:rPr>
        <w:t>Exhibit 1 – MITA ARMS PRO Workflow</w:t>
      </w:r>
    </w:p>
    <w:p w14:paraId="34E1B32B" w14:textId="77777777" w:rsidR="001F2A75" w:rsidRDefault="00FC73FB">
      <w:pPr>
        <w:spacing w:line="264" w:lineRule="auto"/>
        <w:jc w:val="both"/>
        <w:rPr>
          <w:rFonts w:ascii="Arial" w:eastAsia="Arial" w:hAnsi="Arial" w:cs="Arial"/>
          <w:b/>
          <w:sz w:val="20"/>
          <w:szCs w:val="20"/>
        </w:rPr>
      </w:pPr>
      <w:r>
        <w:rPr>
          <w:rFonts w:ascii="Arial" w:eastAsia="Arial" w:hAnsi="Arial" w:cs="Arial"/>
          <w:b/>
          <w:noProof/>
          <w:sz w:val="20"/>
          <w:szCs w:val="20"/>
        </w:rPr>
        <w:drawing>
          <wp:inline distT="0" distB="0" distL="0" distR="0" wp14:anchorId="1B9E8991" wp14:editId="2C103AB9">
            <wp:extent cx="5943600" cy="3226435"/>
            <wp:effectExtent l="0" t="0" r="0" b="0"/>
            <wp:docPr id="14" name="image1.jpg" descr="Diagram, timeli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Diagram, timeline&#10;&#10;Description automatically generated"/>
                    <pic:cNvPicPr preferRelativeResize="0"/>
                  </pic:nvPicPr>
                  <pic:blipFill>
                    <a:blip r:embed="rId8"/>
                    <a:srcRect/>
                    <a:stretch>
                      <a:fillRect/>
                    </a:stretch>
                  </pic:blipFill>
                  <pic:spPr>
                    <a:xfrm>
                      <a:off x="0" y="0"/>
                      <a:ext cx="5943600" cy="3226435"/>
                    </a:xfrm>
                    <a:prstGeom prst="rect">
                      <a:avLst/>
                    </a:prstGeom>
                    <a:ln/>
                  </pic:spPr>
                </pic:pic>
              </a:graphicData>
            </a:graphic>
          </wp:inline>
        </w:drawing>
      </w:r>
    </w:p>
    <w:p w14:paraId="51A3383C" w14:textId="77777777" w:rsidR="001F2A75" w:rsidRDefault="001F2A75">
      <w:pPr>
        <w:spacing w:line="264" w:lineRule="auto"/>
        <w:jc w:val="both"/>
        <w:rPr>
          <w:rFonts w:ascii="Arial" w:eastAsia="Arial" w:hAnsi="Arial" w:cs="Arial"/>
          <w:b/>
          <w:sz w:val="18"/>
          <w:szCs w:val="18"/>
        </w:rPr>
      </w:pPr>
    </w:p>
    <w:p w14:paraId="7DB137CD"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CMP13</w:t>
      </w:r>
    </w:p>
    <w:p w14:paraId="12B6A3CB"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be knowledgeable of and support the agency to maintain compliance with the "to be" vision of MITA 3.0 Standards and Conditions -Business Results Condition or the latest MITA version that requires states to align to and advance in MITA maturity for business, architecture and data in support of the business.</w:t>
      </w:r>
    </w:p>
    <w:p w14:paraId="03B66104" w14:textId="77777777" w:rsidR="001F2A75" w:rsidRDefault="001F2A75">
      <w:pPr>
        <w:spacing w:line="264" w:lineRule="auto"/>
        <w:jc w:val="both"/>
        <w:rPr>
          <w:rFonts w:ascii="Arial" w:eastAsia="Arial" w:hAnsi="Arial" w:cs="Arial"/>
          <w:sz w:val="18"/>
          <w:szCs w:val="18"/>
        </w:rPr>
      </w:pPr>
    </w:p>
    <w:p w14:paraId="06B487C3"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 xml:space="preserve">ANSWER: </w:t>
      </w:r>
      <w:r>
        <w:rPr>
          <w:rFonts w:ascii="Arial" w:eastAsia="Arial" w:hAnsi="Arial" w:cs="Arial"/>
          <w:sz w:val="20"/>
          <w:szCs w:val="20"/>
        </w:rPr>
        <w:t>Benefit Recovery has successfully implemented solutions for another state that have completed MECT Requirements and the programs have been awarded full financial participation by CMS. A core consideration in doing so was the business and systems architecture of the solution, ARMS PRO, to be used by or on behalf of the state.</w:t>
      </w:r>
    </w:p>
    <w:p w14:paraId="56C8E4E2" w14:textId="77777777" w:rsidR="001F2A75" w:rsidRDefault="001F2A75">
      <w:pPr>
        <w:spacing w:line="264" w:lineRule="auto"/>
        <w:jc w:val="both"/>
        <w:rPr>
          <w:rFonts w:ascii="Arial" w:eastAsia="Arial" w:hAnsi="Arial" w:cs="Arial"/>
          <w:b/>
          <w:sz w:val="18"/>
          <w:szCs w:val="18"/>
        </w:rPr>
      </w:pPr>
    </w:p>
    <w:p w14:paraId="74018FE9"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CMP14</w:t>
      </w:r>
    </w:p>
    <w:p w14:paraId="7AFAC75D"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must provide the agency with compliance assurances for the Supplier scope of work.</w:t>
      </w:r>
    </w:p>
    <w:p w14:paraId="01BF4661" w14:textId="77777777" w:rsidR="001F2A75" w:rsidRDefault="001F2A75">
      <w:pPr>
        <w:spacing w:line="264" w:lineRule="auto"/>
        <w:jc w:val="both"/>
        <w:rPr>
          <w:rFonts w:ascii="Arial" w:eastAsia="Arial" w:hAnsi="Arial" w:cs="Arial"/>
          <w:b/>
          <w:sz w:val="20"/>
          <w:szCs w:val="20"/>
        </w:rPr>
      </w:pPr>
    </w:p>
    <w:p w14:paraId="21FBBA00"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Early in the contracting process, the Benefit Recovery Compliance staff analyze the RFP and contracting documents to identify:</w:t>
      </w:r>
    </w:p>
    <w:p w14:paraId="511B65C5" w14:textId="77777777" w:rsidR="001F2A75" w:rsidRDefault="00FC73FB">
      <w:pPr>
        <w:numPr>
          <w:ilvl w:val="0"/>
          <w:numId w:val="5"/>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Each deliverable</w:t>
      </w:r>
    </w:p>
    <w:p w14:paraId="231C2A42" w14:textId="77777777" w:rsidR="001F2A75" w:rsidRDefault="00FC73FB">
      <w:pPr>
        <w:numPr>
          <w:ilvl w:val="0"/>
          <w:numId w:val="5"/>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Due date(s)</w:t>
      </w:r>
    </w:p>
    <w:p w14:paraId="0A8DEAD7" w14:textId="77777777" w:rsidR="001F2A75" w:rsidRDefault="00FC73FB">
      <w:pPr>
        <w:numPr>
          <w:ilvl w:val="0"/>
          <w:numId w:val="5"/>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Responsible party</w:t>
      </w:r>
    </w:p>
    <w:p w14:paraId="0176EAD0" w14:textId="77777777" w:rsidR="001F2A75" w:rsidRDefault="00FC73FB">
      <w:pPr>
        <w:numPr>
          <w:ilvl w:val="0"/>
          <w:numId w:val="5"/>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Contract references. </w:t>
      </w:r>
    </w:p>
    <w:p w14:paraId="4A1AE396" w14:textId="77777777" w:rsidR="001F2A75" w:rsidRDefault="001F2A75">
      <w:pPr>
        <w:spacing w:line="264" w:lineRule="auto"/>
        <w:jc w:val="both"/>
        <w:rPr>
          <w:rFonts w:ascii="Arial" w:eastAsia="Arial" w:hAnsi="Arial" w:cs="Arial"/>
          <w:sz w:val="20"/>
          <w:szCs w:val="20"/>
        </w:rPr>
      </w:pPr>
    </w:p>
    <w:p w14:paraId="0499C9EA"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This document becomes the Contract Compliance plan for the project. The data collected is utilized to create an automated advance notification process for the Benefit Recovery staff responsible for each deliverable to minimize any instance where a deliverable is missed or delayed. This practice assists staff in meeting deliverable expectations.</w:t>
      </w:r>
    </w:p>
    <w:p w14:paraId="1AE3BB79" w14:textId="77777777" w:rsidR="001F2A75" w:rsidRDefault="00FC73FB">
      <w:pPr>
        <w:rPr>
          <w:rFonts w:ascii="Arial" w:eastAsia="Arial" w:hAnsi="Arial" w:cs="Arial"/>
          <w:sz w:val="20"/>
          <w:szCs w:val="20"/>
        </w:rPr>
      </w:pPr>
      <w:r>
        <w:br w:type="page"/>
      </w:r>
    </w:p>
    <w:p w14:paraId="2D9BE3E7" w14:textId="77777777" w:rsidR="001F2A75" w:rsidRDefault="001F2A75">
      <w:pPr>
        <w:spacing w:line="264" w:lineRule="auto"/>
        <w:jc w:val="both"/>
        <w:rPr>
          <w:rFonts w:ascii="Arial" w:eastAsia="Arial" w:hAnsi="Arial" w:cs="Arial"/>
          <w:sz w:val="20"/>
          <w:szCs w:val="20"/>
        </w:rPr>
      </w:pPr>
    </w:p>
    <w:p w14:paraId="5082F1AE"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CMP15</w:t>
      </w:r>
    </w:p>
    <w:p w14:paraId="4A7E751B"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be fully compliant with the Health Insurance Portability and Accountability Act of 1996 (HIPAA, Public Law 104-1919) and Administrative Simplification (Subset of Title II) requirements in effect as of the date of release for the RFP and with any changes that subsequently occur, unless otherwise noted</w:t>
      </w:r>
    </w:p>
    <w:p w14:paraId="705F5EED" w14:textId="77777777" w:rsidR="001F2A75" w:rsidRDefault="001F2A75">
      <w:pPr>
        <w:spacing w:line="264" w:lineRule="auto"/>
        <w:jc w:val="both"/>
        <w:rPr>
          <w:rFonts w:ascii="Arial" w:eastAsia="Arial" w:hAnsi="Arial" w:cs="Arial"/>
          <w:b/>
          <w:sz w:val="20"/>
          <w:szCs w:val="20"/>
        </w:rPr>
      </w:pPr>
    </w:p>
    <w:p w14:paraId="15C9AD4D"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sz w:val="20"/>
          <w:szCs w:val="20"/>
        </w:rPr>
        <w:t xml:space="preserve"> At a minimum, all Benefit Recovery employees and subcontractors abide by all the terms set forth in the Health Insurance Portability and Accountability Act and Administrative Simplification requirements as of the date of release of the RFP. Updates to these provisions are incorporated into existing processes and employees are trained on the provisions. </w:t>
      </w:r>
    </w:p>
    <w:p w14:paraId="750A188B" w14:textId="77777777" w:rsidR="001F2A75" w:rsidRDefault="001F2A75">
      <w:pPr>
        <w:spacing w:line="264" w:lineRule="auto"/>
        <w:jc w:val="both"/>
        <w:rPr>
          <w:rFonts w:ascii="Arial" w:eastAsia="Arial" w:hAnsi="Arial" w:cs="Arial"/>
          <w:sz w:val="20"/>
          <w:szCs w:val="20"/>
        </w:rPr>
      </w:pPr>
    </w:p>
    <w:p w14:paraId="1F5C87D5"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 xml:space="preserve">Before being allowed to work on any contract, staff are required to sign a confidentiality statement that outlines their responsibilities to protect HIPAA defined data and transactions and commit to only use this data in the minimal manner necessary to perform their work functions.  </w:t>
      </w:r>
    </w:p>
    <w:p w14:paraId="3BD3A941" w14:textId="77777777" w:rsidR="001F2A75" w:rsidRDefault="001F2A75">
      <w:pPr>
        <w:spacing w:line="264" w:lineRule="auto"/>
        <w:jc w:val="both"/>
        <w:rPr>
          <w:rFonts w:ascii="Arial" w:eastAsia="Arial" w:hAnsi="Arial" w:cs="Arial"/>
          <w:sz w:val="20"/>
          <w:szCs w:val="20"/>
        </w:rPr>
      </w:pPr>
    </w:p>
    <w:p w14:paraId="42110944"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To ensure Benefit Recovery employees adhere to all HIPAA requirements and guidelines, HIPAA and Information Assurance training are required annually, with certificates provided at the completion of each course. This effort ensures Benefit Recovery’s full compliance with all HIPAA regulations, requirements, and policies. Our Privacy Officer performs semi-annual formal HIPAA Compliance Audits to ensure all Benefit Recovery new and current employees are in compliance with HIPAA Policies stated in the corporate Employee Handbook.</w:t>
      </w:r>
    </w:p>
    <w:p w14:paraId="229D49B3" w14:textId="77777777" w:rsidR="001F2A75" w:rsidRDefault="001F2A75">
      <w:pPr>
        <w:spacing w:line="264" w:lineRule="auto"/>
        <w:jc w:val="both"/>
        <w:rPr>
          <w:rFonts w:ascii="Arial" w:eastAsia="Arial" w:hAnsi="Arial" w:cs="Arial"/>
          <w:sz w:val="20"/>
          <w:szCs w:val="20"/>
        </w:rPr>
      </w:pPr>
    </w:p>
    <w:p w14:paraId="07212342"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 xml:space="preserve">All claims generated by ARMS PRO and transmitted to insurance companies are in accordance with the Health Information Portability and Accountability Act (HIPAA) and the National Uniform Billing Committee forms and Centers for Medicare and Medicaid Services (CMS) using UB 04/CMS 1500 billing forms or 837/NCPDP electronic claim transmission formats. This includes pharmacy, APV, laboratory, radiology, and clinic visits as well as inpatient episodes of care and emergency departments.  </w:t>
      </w:r>
    </w:p>
    <w:p w14:paraId="1D525C8B" w14:textId="77777777" w:rsidR="001F2A75" w:rsidRDefault="001F2A75">
      <w:pPr>
        <w:spacing w:line="264" w:lineRule="auto"/>
        <w:jc w:val="both"/>
        <w:rPr>
          <w:rFonts w:ascii="Arial" w:eastAsia="Arial" w:hAnsi="Arial" w:cs="Arial"/>
          <w:sz w:val="20"/>
          <w:szCs w:val="20"/>
        </w:rPr>
      </w:pPr>
    </w:p>
    <w:p w14:paraId="7BB4F17F"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Benefit Recovery’s Health Information Administrator stays abreast of changes in the legislative and HIPAA regulations and standards that affect the patient protected information and accounts receivable and denial management activities.</w:t>
      </w:r>
    </w:p>
    <w:p w14:paraId="67A18D65" w14:textId="77777777" w:rsidR="001F2A75" w:rsidRDefault="001F2A75">
      <w:pPr>
        <w:spacing w:line="264" w:lineRule="auto"/>
        <w:jc w:val="both"/>
        <w:rPr>
          <w:rFonts w:ascii="Arial" w:eastAsia="Arial" w:hAnsi="Arial" w:cs="Arial"/>
          <w:sz w:val="20"/>
          <w:szCs w:val="20"/>
        </w:rPr>
      </w:pPr>
    </w:p>
    <w:p w14:paraId="3BBA4A10"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CMP16</w:t>
      </w:r>
    </w:p>
    <w:p w14:paraId="74B810A4"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ensure all information not specifically identified as Protected Health Information (PHI) or Personally Identifiable Information (PII) as defined under HIPAA and/or HITECH is treated as privileged communications, held confidential, and must meet the terms and conditions specified in the RFP, BAA and Contract.</w:t>
      </w:r>
    </w:p>
    <w:p w14:paraId="546352B2" w14:textId="77777777" w:rsidR="001F2A75" w:rsidRDefault="001F2A75">
      <w:pPr>
        <w:spacing w:line="264" w:lineRule="auto"/>
        <w:jc w:val="both"/>
        <w:rPr>
          <w:rFonts w:ascii="Arial" w:eastAsia="Arial" w:hAnsi="Arial" w:cs="Arial"/>
          <w:sz w:val="20"/>
          <w:szCs w:val="20"/>
        </w:rPr>
      </w:pPr>
    </w:p>
    <w:p w14:paraId="01685EE5"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Benefit Recovery understands the responsibilities regarding creating and maintaining records required in the RFP. We agree all records, files, documents, and working papers provided by the State remain State property. We will not use any data acquired during performance of this contract for any other purpose and will not share the data with other entities. </w:t>
      </w:r>
    </w:p>
    <w:p w14:paraId="1C0D1DB5" w14:textId="77777777" w:rsidR="001F2A75" w:rsidRDefault="001F2A75">
      <w:pPr>
        <w:spacing w:line="264" w:lineRule="auto"/>
        <w:jc w:val="both"/>
        <w:rPr>
          <w:rFonts w:ascii="Arial" w:eastAsia="Arial" w:hAnsi="Arial" w:cs="Arial"/>
          <w:sz w:val="20"/>
          <w:szCs w:val="20"/>
        </w:rPr>
      </w:pPr>
    </w:p>
    <w:p w14:paraId="3E396A2B"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Before starting work, all staff are required to sign a confidentiality statement that outlines responsibilities to protect all HIPAA defined data and transactions and commit to only use data in the minimal manner necessary to perform their work. Staff also receive regular communications regarding access to information and security precautions and receive mandatory annual privacy and HIPAA training.</w:t>
      </w:r>
    </w:p>
    <w:p w14:paraId="3BAAC88E" w14:textId="77777777" w:rsidR="001F2A75" w:rsidRDefault="001F2A75">
      <w:pPr>
        <w:spacing w:line="264" w:lineRule="auto"/>
        <w:jc w:val="both"/>
        <w:rPr>
          <w:rFonts w:ascii="Arial" w:eastAsia="Arial" w:hAnsi="Arial" w:cs="Arial"/>
          <w:sz w:val="20"/>
          <w:szCs w:val="20"/>
        </w:rPr>
      </w:pPr>
    </w:p>
    <w:p w14:paraId="21DCB1F9" w14:textId="77777777" w:rsidR="001F2A75" w:rsidRDefault="001F2A75">
      <w:pPr>
        <w:spacing w:line="264" w:lineRule="auto"/>
        <w:jc w:val="both"/>
        <w:rPr>
          <w:rFonts w:ascii="Arial" w:eastAsia="Arial" w:hAnsi="Arial" w:cs="Arial"/>
          <w:sz w:val="20"/>
          <w:szCs w:val="20"/>
        </w:rPr>
      </w:pPr>
    </w:p>
    <w:p w14:paraId="2AA474C0" w14:textId="77777777" w:rsidR="001F2A75" w:rsidRDefault="001F2A75">
      <w:pPr>
        <w:spacing w:line="264" w:lineRule="auto"/>
        <w:jc w:val="both"/>
        <w:rPr>
          <w:rFonts w:ascii="Arial" w:eastAsia="Arial" w:hAnsi="Arial" w:cs="Arial"/>
          <w:sz w:val="20"/>
          <w:szCs w:val="20"/>
        </w:rPr>
      </w:pPr>
    </w:p>
    <w:p w14:paraId="021FB4AF"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Benefit Recovery recognizes personnel receive and have access to patient sensitive information. Through corporate policies, procedures, and training programs, there is an established environment of workplace and system security audits that ensures the safety of the State’s sensitive and confidential information. Our detailed policies and procedures are the necessary steps utilized to prevent disclosure or use of the data for anything other than this contract. Benefit Recovery agrees to use the information exclusively for the performance of this contract.</w:t>
      </w:r>
    </w:p>
    <w:p w14:paraId="15634344" w14:textId="77777777" w:rsidR="001F2A75" w:rsidRDefault="001F2A75">
      <w:pPr>
        <w:spacing w:line="264" w:lineRule="auto"/>
        <w:jc w:val="both"/>
        <w:rPr>
          <w:rFonts w:ascii="Arial" w:eastAsia="Arial" w:hAnsi="Arial" w:cs="Arial"/>
          <w:b/>
          <w:color w:val="E28B8E"/>
          <w:sz w:val="22"/>
          <w:szCs w:val="22"/>
        </w:rPr>
      </w:pPr>
    </w:p>
    <w:p w14:paraId="1C184932"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CMP17</w:t>
      </w:r>
    </w:p>
    <w:p w14:paraId="6ABCC433"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ensure that except as provided by law, no information in the possession of the Supplier about any individual shall be disclosed without prior written consent.</w:t>
      </w:r>
    </w:p>
    <w:p w14:paraId="66BFCBD7" w14:textId="77777777" w:rsidR="001F2A75" w:rsidRDefault="001F2A75">
      <w:pPr>
        <w:spacing w:line="264" w:lineRule="auto"/>
        <w:jc w:val="both"/>
        <w:rPr>
          <w:rFonts w:ascii="Arial" w:eastAsia="Arial" w:hAnsi="Arial" w:cs="Arial"/>
          <w:sz w:val="20"/>
          <w:szCs w:val="20"/>
        </w:rPr>
      </w:pPr>
    </w:p>
    <w:p w14:paraId="66FBE5D9"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 xml:space="preserve">ANSWER: </w:t>
      </w:r>
      <w:r>
        <w:rPr>
          <w:rFonts w:ascii="Arial" w:eastAsia="Arial" w:hAnsi="Arial" w:cs="Arial"/>
          <w:sz w:val="20"/>
          <w:szCs w:val="20"/>
        </w:rPr>
        <w:t>As outlined in CMP15 and CMP16 above, release of information is only made to those that are authorized and then only to the minimum extent as required to complete the required tasks. Any release of information to parties outside of purposes indicated in the State contract is only with express written authorization that includes a precise description of the information that is to be released, the format the information to be released in, and the specific entity to which the information is to be released.</w:t>
      </w:r>
    </w:p>
    <w:p w14:paraId="68ADA180" w14:textId="77777777" w:rsidR="001F2A75" w:rsidRDefault="001F2A75">
      <w:pPr>
        <w:spacing w:line="264" w:lineRule="auto"/>
        <w:jc w:val="both"/>
        <w:rPr>
          <w:rFonts w:ascii="Arial" w:eastAsia="Arial" w:hAnsi="Arial" w:cs="Arial"/>
          <w:sz w:val="20"/>
          <w:szCs w:val="20"/>
        </w:rPr>
      </w:pPr>
    </w:p>
    <w:p w14:paraId="6819AC60"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CMP18</w:t>
      </w:r>
    </w:p>
    <w:p w14:paraId="3BF6C8E6"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The Supplier shall follow all applicable technical standards for site and system security policies and procedures to protect the agency’s healthcare data and information systems.</w:t>
      </w:r>
    </w:p>
    <w:p w14:paraId="0585FA39" w14:textId="5C2C7EF5" w:rsidR="001F2A75" w:rsidRDefault="00657918">
      <w:pPr>
        <w:spacing w:line="264" w:lineRule="auto"/>
        <w:jc w:val="both"/>
        <w:rPr>
          <w:rFonts w:ascii="Arial" w:eastAsia="Arial" w:hAnsi="Arial" w:cs="Arial"/>
          <w:sz w:val="20"/>
          <w:szCs w:val="20"/>
        </w:rPr>
      </w:pPr>
      <w:r>
        <w:rPr>
          <w:noProof/>
        </w:rPr>
        <mc:AlternateContent>
          <mc:Choice Requires="wps">
            <w:drawing>
              <wp:anchor distT="0" distB="0" distL="114300" distR="114300" simplePos="0" relativeHeight="251657215" behindDoc="0" locked="0" layoutInCell="1" allowOverlap="1" wp14:anchorId="7392C924" wp14:editId="5A9EED7B">
                <wp:simplePos x="0" y="0"/>
                <wp:positionH relativeFrom="column">
                  <wp:posOffset>3489649</wp:posOffset>
                </wp:positionH>
                <wp:positionV relativeFrom="paragraph">
                  <wp:posOffset>104283</wp:posOffset>
                </wp:positionV>
                <wp:extent cx="2291715" cy="1066800"/>
                <wp:effectExtent l="0" t="0" r="0" b="0"/>
                <wp:wrapSquare wrapText="bothSides"/>
                <wp:docPr id="3" name="Rounded Rectangle 3"/>
                <wp:cNvGraphicFramePr/>
                <a:graphic xmlns:a="http://schemas.openxmlformats.org/drawingml/2006/main">
                  <a:graphicData uri="http://schemas.microsoft.com/office/word/2010/wordprocessingShape">
                    <wps:wsp>
                      <wps:cNvSpPr/>
                      <wps:spPr>
                        <a:xfrm>
                          <a:off x="0" y="0"/>
                          <a:ext cx="2291715" cy="1066800"/>
                        </a:xfrm>
                        <a:prstGeom prst="roundRect">
                          <a:avLst/>
                        </a:prstGeom>
                        <a:solidFill>
                          <a:srgbClr val="C8152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B957B0" id="Rounded Rectangle 3" o:spid="_x0000_s1026" style="position:absolute;margin-left:274.8pt;margin-top:8.2pt;width:180.45pt;height:84pt;z-index:251657215;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" fillcolor="#c81521" stroked="f" strokeweight="1pt">
                <v:stroke joinstyle="miter"/>
                <w10:wrap type="square"/>
              </v:roundrect>
            </w:pict>
          </mc:Fallback>
        </mc:AlternateContent>
      </w:r>
    </w:p>
    <w:p w14:paraId="7FDD07F0" w14:textId="75CEF78A" w:rsidR="001F2A75" w:rsidRDefault="00657918">
      <w:pPr>
        <w:spacing w:line="264" w:lineRule="auto"/>
        <w:rPr>
          <w:rFonts w:ascii="Arial" w:eastAsia="Arial" w:hAnsi="Arial" w:cs="Arial"/>
          <w:sz w:val="20"/>
          <w:szCs w:val="20"/>
        </w:rPr>
      </w:pPr>
      <w:r>
        <w:rPr>
          <w:noProof/>
        </w:rPr>
        <mc:AlternateContent>
          <mc:Choice Requires="wps">
            <w:drawing>
              <wp:anchor distT="0" distB="0" distL="114300" distR="114300" simplePos="0" relativeHeight="251659264" behindDoc="0" locked="0" layoutInCell="1" hidden="0" allowOverlap="1" wp14:anchorId="24B557D8" wp14:editId="2EA802AB">
                <wp:simplePos x="0" y="0"/>
                <wp:positionH relativeFrom="column">
                  <wp:posOffset>3464560</wp:posOffset>
                </wp:positionH>
                <wp:positionV relativeFrom="paragraph">
                  <wp:posOffset>99695</wp:posOffset>
                </wp:positionV>
                <wp:extent cx="2314575" cy="828675"/>
                <wp:effectExtent l="0" t="0" r="0" b="0"/>
                <wp:wrapNone/>
                <wp:docPr id="11" name="Rectangle 11"/>
                <wp:cNvGraphicFramePr/>
                <a:graphic xmlns:a="http://schemas.openxmlformats.org/drawingml/2006/main">
                  <a:graphicData uri="http://schemas.microsoft.com/office/word/2010/wordprocessingShape">
                    <wps:wsp>
                      <wps:cNvSpPr/>
                      <wps:spPr>
                        <a:xfrm>
                          <a:off x="0" y="0"/>
                          <a:ext cx="2314575" cy="828675"/>
                        </a:xfrm>
                        <a:prstGeom prst="rect">
                          <a:avLst/>
                        </a:prstGeom>
                        <a:noFill/>
                        <a:ln>
                          <a:noFill/>
                        </a:ln>
                      </wps:spPr>
                      <wps:txbx>
                        <w:txbxContent>
                          <w:p w14:paraId="5C615EFC" w14:textId="7D992056" w:rsidR="001F2A75" w:rsidRDefault="00FC73FB">
                            <w:pPr>
                              <w:jc w:val="center"/>
                              <w:textDirection w:val="btLr"/>
                            </w:pPr>
                            <w:r>
                              <w:rPr>
                                <w:rFonts w:ascii="Arial" w:eastAsia="Arial" w:hAnsi="Arial" w:cs="Arial"/>
                                <w:color w:val="FFFFFF"/>
                              </w:rPr>
                              <w:t>Benefit Recovery maintains all protected data on separate servers specifically for the use of the State’s dat</w:t>
                            </w:r>
                            <w:r w:rsidR="00657918">
                              <w:rPr>
                                <w:rFonts w:ascii="Arial" w:eastAsia="Arial" w:hAnsi="Arial" w:cs="Arial"/>
                                <w:color w:val="FFFFFF"/>
                              </w:rPr>
                              <w:t>a.</w:t>
                            </w:r>
                            <w:r>
                              <w:rPr>
                                <w:b/>
                                <w:i/>
                                <w:color w:val="2F5496"/>
                              </w:rPr>
                              <w:t xml:space="preserve"> </w:t>
                            </w:r>
                          </w:p>
                          <w:p w14:paraId="1E85D765" w14:textId="77777777" w:rsidR="001F2A75" w:rsidRDefault="001F2A75">
                            <w:pPr>
                              <w:spacing w:line="264" w:lineRule="auto"/>
                              <w:textDirection w:val="btLr"/>
                            </w:pPr>
                          </w:p>
                        </w:txbxContent>
                      </wps:txbx>
                      <wps:bodyPr spcFirstLastPara="1" wrap="square" lIns="91425" tIns="45700" rIns="91425" bIns="45700" anchor="t" anchorCtr="0">
                        <a:noAutofit/>
                      </wps:bodyPr>
                    </wps:wsp>
                  </a:graphicData>
                </a:graphic>
              </wp:anchor>
            </w:drawing>
          </mc:Choice>
          <mc:Fallback>
            <w:pict>
              <v:rect w14:anchorId="24B557D8" id="Rectangle 11" o:spid="_x0000_s1026" style="position:absolute;margin-left:272.8pt;margin-top:7.85pt;width:182.25pt;height:65.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" filled="f" stroked="f">
                <v:textbox inset="2.53958mm,1.2694mm,2.53958mm,1.2694mm">
                  <w:txbxContent>
                    <w:p w14:paraId="5C615EFC" w14:textId="7D992056" w:rsidR="001F2A75" w:rsidRDefault="00FC73FB">
                      <w:pPr>
                        <w:jc w:val="center"/>
                        <w:textDirection w:val="btLr"/>
                      </w:pPr>
                      <w:r>
                        <w:rPr>
                          <w:rFonts w:ascii="Arial" w:eastAsia="Arial" w:hAnsi="Arial" w:cs="Arial"/>
                          <w:color w:val="FFFFFF"/>
                        </w:rPr>
                        <w:t>Benefit Recovery maintains all protected data on separate server</w:t>
                      </w:r>
                      <w:r>
                        <w:rPr>
                          <w:rFonts w:ascii="Arial" w:eastAsia="Arial" w:hAnsi="Arial" w:cs="Arial"/>
                          <w:color w:val="FFFFFF"/>
                        </w:rPr>
                        <w:t>s specifically for the use of the State’s dat</w:t>
                      </w:r>
                      <w:r w:rsidR="00657918">
                        <w:rPr>
                          <w:rFonts w:ascii="Arial" w:eastAsia="Arial" w:hAnsi="Arial" w:cs="Arial"/>
                          <w:color w:val="FFFFFF"/>
                        </w:rPr>
                        <w:t>a.</w:t>
                      </w:r>
                      <w:r>
                        <w:rPr>
                          <w:b/>
                          <w:i/>
                          <w:color w:val="2F5496"/>
                        </w:rPr>
                        <w:t xml:space="preserve"> </w:t>
                      </w:r>
                    </w:p>
                    <w:p w14:paraId="1E85D765" w14:textId="77777777" w:rsidR="001F2A75" w:rsidRDefault="001F2A75">
                      <w:pPr>
                        <w:spacing w:line="264" w:lineRule="auto"/>
                        <w:textDirection w:val="btLr"/>
                      </w:pPr>
                    </w:p>
                  </w:txbxContent>
                </v:textbox>
              </v:rect>
            </w:pict>
          </mc:Fallback>
        </mc:AlternateContent>
      </w:r>
      <w:r w:rsidR="00FC73FB">
        <w:rPr>
          <w:rFonts w:ascii="Arial" w:eastAsia="Arial" w:hAnsi="Arial" w:cs="Arial"/>
          <w:b/>
          <w:sz w:val="20"/>
          <w:szCs w:val="20"/>
        </w:rPr>
        <w:t>ANSWER:</w:t>
      </w:r>
      <w:r w:rsidR="00FC73FB">
        <w:rPr>
          <w:rFonts w:ascii="Arial" w:eastAsia="Arial" w:hAnsi="Arial" w:cs="Arial"/>
          <w:sz w:val="20"/>
          <w:szCs w:val="20"/>
        </w:rPr>
        <w:t xml:space="preserve"> In Benefit Recovery’s data center, all servers, and communications to and from these servers are managed in conjunction with Government IA standards. Benefit Recovery utilizes two off-site backup storage servers as part of our Disaster Recovery Plan. Backups are performed by Benefit Recovery  at a minimum each night.   </w:t>
      </w:r>
    </w:p>
    <w:p w14:paraId="5D867AF8" w14:textId="77777777" w:rsidR="001F2A75" w:rsidRDefault="001F2A75">
      <w:pPr>
        <w:spacing w:line="264" w:lineRule="auto"/>
        <w:jc w:val="both"/>
        <w:rPr>
          <w:rFonts w:ascii="Arial" w:eastAsia="Arial" w:hAnsi="Arial" w:cs="Arial"/>
          <w:sz w:val="20"/>
          <w:szCs w:val="20"/>
        </w:rPr>
      </w:pPr>
    </w:p>
    <w:p w14:paraId="0B2874CF"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Benefit Recovery maintains a SFTP System within Benefit Recovery’s San Antonio Data Center which allows secure file transfer through our firewall. Our SFTP System is an encrypted file transfer server that meets all applicable Government Information Security guidelines such as:</w:t>
      </w:r>
    </w:p>
    <w:p w14:paraId="2A15CE37" w14:textId="77777777" w:rsidR="001F2A75" w:rsidRDefault="00FC73FB">
      <w:pPr>
        <w:numPr>
          <w:ilvl w:val="0"/>
          <w:numId w:val="4"/>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FIPS 140-2</w:t>
      </w:r>
    </w:p>
    <w:p w14:paraId="2194E37B" w14:textId="77777777" w:rsidR="001F2A75" w:rsidRDefault="00FC73FB">
      <w:pPr>
        <w:numPr>
          <w:ilvl w:val="0"/>
          <w:numId w:val="4"/>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HIPAA</w:t>
      </w:r>
    </w:p>
    <w:p w14:paraId="67E7B4CE" w14:textId="77777777" w:rsidR="001F2A75" w:rsidRDefault="00FC73FB">
      <w:pPr>
        <w:numPr>
          <w:ilvl w:val="0"/>
          <w:numId w:val="4"/>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FISMA</w:t>
      </w:r>
    </w:p>
    <w:p w14:paraId="3F103BD8" w14:textId="77777777" w:rsidR="001F2A75" w:rsidRDefault="00FC73FB">
      <w:pPr>
        <w:numPr>
          <w:ilvl w:val="0"/>
          <w:numId w:val="4"/>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GLBA</w:t>
      </w:r>
    </w:p>
    <w:p w14:paraId="6CD4B4B8" w14:textId="77777777" w:rsidR="001F2A75" w:rsidRDefault="00FC73FB">
      <w:pPr>
        <w:numPr>
          <w:ilvl w:val="0"/>
          <w:numId w:val="4"/>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PCI DSS</w:t>
      </w:r>
    </w:p>
    <w:p w14:paraId="3725DC39" w14:textId="77777777" w:rsidR="001F2A75" w:rsidRDefault="00FC73FB">
      <w:pPr>
        <w:numPr>
          <w:ilvl w:val="0"/>
          <w:numId w:val="4"/>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Basel II</w:t>
      </w:r>
    </w:p>
    <w:p w14:paraId="427E4768" w14:textId="77777777" w:rsidR="001F2A75" w:rsidRDefault="00FC73FB">
      <w:pPr>
        <w:numPr>
          <w:ilvl w:val="0"/>
          <w:numId w:val="4"/>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Sarbanes-Oxley</w:t>
      </w:r>
    </w:p>
    <w:p w14:paraId="01862C50" w14:textId="77777777" w:rsidR="001F2A75" w:rsidRDefault="001F2A75">
      <w:pPr>
        <w:spacing w:line="264" w:lineRule="auto"/>
        <w:jc w:val="both"/>
        <w:rPr>
          <w:rFonts w:ascii="Arial" w:eastAsia="Arial" w:hAnsi="Arial" w:cs="Arial"/>
          <w:sz w:val="20"/>
          <w:szCs w:val="20"/>
        </w:rPr>
      </w:pPr>
    </w:p>
    <w:p w14:paraId="135EB023"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 xml:space="preserve">On a weekly or other agreed upon basis, the State IT Specialist will receive a secure data file from their server.  Next steps include: </w:t>
      </w:r>
    </w:p>
    <w:p w14:paraId="3297F599" w14:textId="77777777" w:rsidR="001F2A75" w:rsidRDefault="00FC73FB">
      <w:pPr>
        <w:numPr>
          <w:ilvl w:val="0"/>
          <w:numId w:val="6"/>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This secure file will be transmitted to Benefit Recovery using SFTP server. </w:t>
      </w:r>
    </w:p>
    <w:p w14:paraId="0AB5CD7B" w14:textId="77777777" w:rsidR="001F2A75" w:rsidRDefault="00FC73FB">
      <w:pPr>
        <w:numPr>
          <w:ilvl w:val="0"/>
          <w:numId w:val="6"/>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Benefit Recovery’s IT Manager will retrieve the secure encrypted data file and download it to ARMS PRO. </w:t>
      </w:r>
    </w:p>
    <w:p w14:paraId="7B98B02C" w14:textId="77777777" w:rsidR="001F2A75" w:rsidRDefault="00FC73FB">
      <w:pPr>
        <w:numPr>
          <w:ilvl w:val="0"/>
          <w:numId w:val="6"/>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Data will be reviewed, scrubbed for duplicates, and bad data are identified</w:t>
      </w:r>
    </w:p>
    <w:p w14:paraId="2BAB914B" w14:textId="77777777" w:rsidR="001F2A75" w:rsidRDefault="00FC73FB">
      <w:pPr>
        <w:numPr>
          <w:ilvl w:val="0"/>
          <w:numId w:val="6"/>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Data will be run through Benefit Recovery’s direct Payers and exclusive real time OHI repository. </w:t>
      </w:r>
    </w:p>
    <w:p w14:paraId="6FF1AB82" w14:textId="77777777" w:rsidR="001F2A75" w:rsidRDefault="001F2A75">
      <w:pPr>
        <w:spacing w:line="264" w:lineRule="auto"/>
        <w:jc w:val="both"/>
        <w:rPr>
          <w:rFonts w:ascii="Arial" w:eastAsia="Arial" w:hAnsi="Arial" w:cs="Arial"/>
          <w:sz w:val="20"/>
          <w:szCs w:val="20"/>
        </w:rPr>
      </w:pPr>
    </w:p>
    <w:p w14:paraId="254D7C16" w14:textId="77777777" w:rsidR="001F2A75" w:rsidRDefault="001F2A75">
      <w:pPr>
        <w:spacing w:line="264" w:lineRule="auto"/>
        <w:jc w:val="both"/>
        <w:rPr>
          <w:rFonts w:ascii="Arial" w:eastAsia="Arial" w:hAnsi="Arial" w:cs="Arial"/>
          <w:sz w:val="20"/>
          <w:szCs w:val="20"/>
        </w:rPr>
      </w:pPr>
    </w:p>
    <w:p w14:paraId="6986BC8C" w14:textId="77777777" w:rsidR="000D11D1" w:rsidRDefault="000D11D1">
      <w:pPr>
        <w:spacing w:line="264" w:lineRule="auto"/>
        <w:jc w:val="both"/>
        <w:rPr>
          <w:rFonts w:ascii="Arial" w:eastAsia="Arial" w:hAnsi="Arial" w:cs="Arial"/>
          <w:sz w:val="20"/>
          <w:szCs w:val="20"/>
        </w:rPr>
      </w:pPr>
    </w:p>
    <w:p w14:paraId="19418659" w14:textId="77777777" w:rsidR="000D11D1" w:rsidRDefault="000D11D1">
      <w:pPr>
        <w:spacing w:line="264" w:lineRule="auto"/>
        <w:jc w:val="both"/>
        <w:rPr>
          <w:rFonts w:ascii="Arial" w:eastAsia="Arial" w:hAnsi="Arial" w:cs="Arial"/>
          <w:sz w:val="20"/>
          <w:szCs w:val="20"/>
        </w:rPr>
      </w:pPr>
    </w:p>
    <w:p w14:paraId="289E1429" w14:textId="70FC4720" w:rsidR="001F2A75" w:rsidRDefault="00FC73FB">
      <w:pPr>
        <w:spacing w:line="264" w:lineRule="auto"/>
        <w:jc w:val="both"/>
        <w:rPr>
          <w:rFonts w:ascii="Arial" w:eastAsia="Arial" w:hAnsi="Arial" w:cs="Arial"/>
          <w:sz w:val="20"/>
          <w:szCs w:val="20"/>
        </w:rPr>
      </w:pPr>
      <w:r>
        <w:rPr>
          <w:rFonts w:ascii="Arial" w:eastAsia="Arial" w:hAnsi="Arial" w:cs="Arial"/>
          <w:sz w:val="20"/>
          <w:szCs w:val="20"/>
        </w:rPr>
        <w:t>While in our systems, the data is only accessible by authorized personnel who have undergone our HIPAA training program. Our systems and procedures meet relevant Department of Defense, State and Government Agencies Information Security and HIPAA guidelines. Benefit Recovery ensures the security of all data once it leaves the State’s systems. The data is securely encrypted at all times while in our possession, during transmission and while at rest.</w:t>
      </w:r>
    </w:p>
    <w:p w14:paraId="53783D43" w14:textId="77777777" w:rsidR="001F2A75" w:rsidRDefault="001F2A75">
      <w:pPr>
        <w:spacing w:line="264" w:lineRule="auto"/>
        <w:jc w:val="both"/>
        <w:rPr>
          <w:rFonts w:ascii="Arial" w:eastAsia="Arial" w:hAnsi="Arial" w:cs="Arial"/>
          <w:sz w:val="20"/>
          <w:szCs w:val="20"/>
        </w:rPr>
      </w:pPr>
    </w:p>
    <w:p w14:paraId="46D32169"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The SFTP server and procedures listed above allows States to securely transmit the Personally Identifiable Information (PII) and Personal Health Information (PHI) to Benefit Recovery as well as securely receive the newly identified patient OHI coverage from Benefit Recovery. All HIPAA and State Information Security Guidelines will be adhered to.</w:t>
      </w:r>
    </w:p>
    <w:p w14:paraId="2CB58C77" w14:textId="77777777" w:rsidR="001F2A75" w:rsidRDefault="001F2A75">
      <w:pPr>
        <w:spacing w:line="264" w:lineRule="auto"/>
        <w:jc w:val="both"/>
        <w:rPr>
          <w:rFonts w:ascii="Arial" w:eastAsia="Arial" w:hAnsi="Arial" w:cs="Arial"/>
          <w:sz w:val="20"/>
          <w:szCs w:val="20"/>
        </w:rPr>
      </w:pPr>
    </w:p>
    <w:p w14:paraId="4BDA8A78" w14:textId="77777777" w:rsidR="001F2A75" w:rsidRDefault="00FC73FB">
      <w:pPr>
        <w:pBdr>
          <w:top w:val="nil"/>
          <w:left w:val="nil"/>
          <w:bottom w:val="nil"/>
          <w:right w:val="nil"/>
          <w:between w:val="nil"/>
        </w:pBdr>
        <w:spacing w:line="264" w:lineRule="auto"/>
        <w:jc w:val="both"/>
        <w:rPr>
          <w:rFonts w:ascii="Arial" w:eastAsia="Arial" w:hAnsi="Arial" w:cs="Arial"/>
          <w:sz w:val="20"/>
          <w:szCs w:val="20"/>
        </w:rPr>
      </w:pPr>
      <w:r>
        <w:rPr>
          <w:rFonts w:ascii="Arial" w:eastAsia="Arial" w:hAnsi="Arial" w:cs="Arial"/>
          <w:sz w:val="20"/>
          <w:szCs w:val="20"/>
        </w:rPr>
        <w:t xml:space="preserve">The interface between ARMS PRO and the State TPL system is used to send and receive Sensitive but Unclassified (SBU) information, such as: </w:t>
      </w:r>
    </w:p>
    <w:p w14:paraId="19FF0440" w14:textId="77777777" w:rsidR="001F2A75" w:rsidRDefault="00FC73FB">
      <w:pPr>
        <w:numPr>
          <w:ilvl w:val="0"/>
          <w:numId w:val="1"/>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Patient demographics</w:t>
      </w:r>
    </w:p>
    <w:p w14:paraId="6752B8E1" w14:textId="77777777" w:rsidR="001F2A75" w:rsidRDefault="00FC73FB">
      <w:pPr>
        <w:numPr>
          <w:ilvl w:val="0"/>
          <w:numId w:val="1"/>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Appointment data</w:t>
      </w:r>
    </w:p>
    <w:p w14:paraId="6B8B8154" w14:textId="77777777" w:rsidR="001F2A75" w:rsidRDefault="00FC73FB">
      <w:pPr>
        <w:numPr>
          <w:ilvl w:val="0"/>
          <w:numId w:val="1"/>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Diagnosis/procedures. </w:t>
      </w:r>
    </w:p>
    <w:p w14:paraId="61ED5B70" w14:textId="77777777" w:rsidR="001F2A75" w:rsidRDefault="001F2A75">
      <w:pPr>
        <w:pBdr>
          <w:top w:val="nil"/>
          <w:left w:val="nil"/>
          <w:bottom w:val="nil"/>
          <w:right w:val="nil"/>
          <w:between w:val="nil"/>
        </w:pBdr>
        <w:spacing w:line="264" w:lineRule="auto"/>
        <w:jc w:val="both"/>
        <w:rPr>
          <w:rFonts w:ascii="Arial" w:eastAsia="Arial" w:hAnsi="Arial" w:cs="Arial"/>
          <w:sz w:val="20"/>
          <w:szCs w:val="20"/>
        </w:rPr>
      </w:pPr>
    </w:p>
    <w:p w14:paraId="69D9D57D" w14:textId="77777777" w:rsidR="001F2A75" w:rsidRDefault="00FC73FB">
      <w:pPr>
        <w:pBdr>
          <w:top w:val="nil"/>
          <w:left w:val="nil"/>
          <w:bottom w:val="nil"/>
          <w:right w:val="nil"/>
          <w:between w:val="nil"/>
        </w:pBdr>
        <w:spacing w:line="264" w:lineRule="auto"/>
        <w:jc w:val="both"/>
        <w:rPr>
          <w:rFonts w:ascii="Arial" w:eastAsia="Arial" w:hAnsi="Arial" w:cs="Arial"/>
          <w:sz w:val="20"/>
          <w:szCs w:val="20"/>
        </w:rPr>
      </w:pPr>
      <w:r>
        <w:rPr>
          <w:rFonts w:ascii="Arial" w:eastAsia="Arial" w:hAnsi="Arial" w:cs="Arial"/>
          <w:sz w:val="20"/>
          <w:szCs w:val="20"/>
        </w:rPr>
        <w:t>The data from the interface is subject to the provisions of the Privacy Act of 1974 and follows all HIPAA standards for PII, as well. Additionally, our system of record data falls within the content of Exemption Number 6 of the Freedom of Information Act (FOIA) Program. These programs mandate adequate data protection.</w:t>
      </w:r>
    </w:p>
    <w:p w14:paraId="64E01BA3" w14:textId="77777777" w:rsidR="001F2A75" w:rsidRDefault="001F2A75">
      <w:pPr>
        <w:pBdr>
          <w:top w:val="nil"/>
          <w:left w:val="nil"/>
          <w:bottom w:val="nil"/>
          <w:right w:val="nil"/>
          <w:between w:val="nil"/>
        </w:pBdr>
        <w:spacing w:line="264" w:lineRule="auto"/>
        <w:jc w:val="both"/>
        <w:rPr>
          <w:rFonts w:ascii="Arial" w:eastAsia="Arial" w:hAnsi="Arial" w:cs="Arial"/>
          <w:sz w:val="20"/>
          <w:szCs w:val="20"/>
        </w:rPr>
      </w:pPr>
    </w:p>
    <w:p w14:paraId="04912664" w14:textId="77777777" w:rsidR="001F2A75" w:rsidRDefault="00FC73FB">
      <w:pPr>
        <w:pBdr>
          <w:top w:val="nil"/>
          <w:left w:val="nil"/>
          <w:bottom w:val="nil"/>
          <w:right w:val="nil"/>
          <w:between w:val="nil"/>
        </w:pBdr>
        <w:spacing w:line="264" w:lineRule="auto"/>
        <w:jc w:val="both"/>
        <w:rPr>
          <w:rFonts w:ascii="Arial" w:eastAsia="Arial" w:hAnsi="Arial" w:cs="Arial"/>
          <w:sz w:val="20"/>
          <w:szCs w:val="20"/>
        </w:rPr>
      </w:pPr>
      <w:r>
        <w:rPr>
          <w:rFonts w:ascii="Arial" w:eastAsia="Arial" w:hAnsi="Arial" w:cs="Arial"/>
          <w:sz w:val="20"/>
          <w:szCs w:val="20"/>
        </w:rPr>
        <w:t>Unauthorized creation, disclosure, modification, or destruction of this data could cause potential harm to patient health and privacy. The ARMS PRO / State TPL interface will include safeguards that ensure its data is accurate, complete, and available when needed. Privacy Act and other sensitive information sent across the interface will also be protected against unauthorized disclosure to protect the privacy of the individuals on whom the information is maintained. The minimum-security class determined by both State TPL and ARMS PRO is C2, Controlled Access protection. The C2 level of protection also satisfies industry requirements for protecting HIPAA/PII sensitive systems.</w:t>
      </w:r>
    </w:p>
    <w:p w14:paraId="4F7A8C90" w14:textId="77777777" w:rsidR="001F2A75" w:rsidRDefault="001F2A75">
      <w:pPr>
        <w:pBdr>
          <w:top w:val="nil"/>
          <w:left w:val="nil"/>
          <w:bottom w:val="nil"/>
          <w:right w:val="nil"/>
          <w:between w:val="nil"/>
        </w:pBdr>
        <w:spacing w:line="264" w:lineRule="auto"/>
        <w:jc w:val="both"/>
        <w:rPr>
          <w:rFonts w:ascii="Arial" w:eastAsia="Arial" w:hAnsi="Arial" w:cs="Arial"/>
          <w:sz w:val="20"/>
          <w:szCs w:val="20"/>
        </w:rPr>
      </w:pPr>
    </w:p>
    <w:p w14:paraId="2B6F6008"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CMP19</w:t>
      </w:r>
    </w:p>
    <w:p w14:paraId="6AC3E613"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Supplier’s data management approach and operational policies shall meet HIPAA, HITECH, ARRA and other federal and State privacy and security requirements.</w:t>
      </w:r>
    </w:p>
    <w:p w14:paraId="785E5891" w14:textId="77777777" w:rsidR="001F2A75" w:rsidRDefault="001F2A75">
      <w:pPr>
        <w:spacing w:line="264" w:lineRule="auto"/>
        <w:jc w:val="both"/>
        <w:rPr>
          <w:rFonts w:ascii="Arial" w:eastAsia="Arial" w:hAnsi="Arial" w:cs="Arial"/>
          <w:b/>
          <w:sz w:val="20"/>
          <w:szCs w:val="20"/>
        </w:rPr>
      </w:pPr>
    </w:p>
    <w:p w14:paraId="5678A192"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follows an established Data Management Plan to ensure standards like HIPAA, HITECH, ARRA, or other required federal or State security requirements are met.</w:t>
      </w:r>
      <w:r>
        <w:rPr>
          <w:rFonts w:ascii="Arial" w:eastAsia="Arial" w:hAnsi="Arial" w:cs="Arial"/>
          <w:b/>
          <w:sz w:val="20"/>
          <w:szCs w:val="20"/>
        </w:rPr>
        <w:t xml:space="preserve"> </w:t>
      </w:r>
      <w:r>
        <w:rPr>
          <w:rFonts w:ascii="Arial" w:eastAsia="Arial" w:hAnsi="Arial" w:cs="Arial"/>
          <w:sz w:val="20"/>
          <w:szCs w:val="20"/>
        </w:rPr>
        <w:t>ARMS PRO</w:t>
      </w:r>
      <w:r>
        <w:rPr>
          <w:rFonts w:ascii="Arial" w:eastAsia="Arial" w:hAnsi="Arial" w:cs="Arial"/>
          <w:b/>
          <w:sz w:val="20"/>
          <w:szCs w:val="20"/>
        </w:rPr>
        <w:t xml:space="preserve"> </w:t>
      </w:r>
      <w:r>
        <w:rPr>
          <w:rFonts w:ascii="Arial" w:eastAsia="Arial" w:hAnsi="Arial" w:cs="Arial"/>
          <w:sz w:val="20"/>
          <w:szCs w:val="20"/>
        </w:rPr>
        <w:t xml:space="preserve">information, including all user edits and modifications, are maintained in ARMS PRO for seven years, with the three most current years active at all times, and older closed claims available as required through archive. Data older than seven years is packaged according to government requirements. ARMS PRO provides a searchable and retrievable repository of all documentation. </w:t>
      </w:r>
    </w:p>
    <w:p w14:paraId="6CDB3148" w14:textId="77777777" w:rsidR="001F2A75" w:rsidRDefault="001F2A75">
      <w:pPr>
        <w:spacing w:line="264" w:lineRule="auto"/>
        <w:jc w:val="both"/>
        <w:rPr>
          <w:rFonts w:ascii="Arial" w:eastAsia="Arial" w:hAnsi="Arial" w:cs="Arial"/>
          <w:sz w:val="20"/>
          <w:szCs w:val="20"/>
        </w:rPr>
      </w:pPr>
    </w:p>
    <w:p w14:paraId="2FFE8FCB"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The documentation is maintained according to applicable government and industry standards, such as HIPAA and FISMA, and meets the GAAP for financial systems. ARMS PRO contains both ICD-9-CM and ICD-10-CM code sets and has automated routines to identify which of the code sets should be used based on date of service. ARMS PRO code sets are maintained to ensure compliance with all published and pending standards.</w:t>
      </w:r>
    </w:p>
    <w:p w14:paraId="53DF234E" w14:textId="77777777" w:rsidR="001F2A75" w:rsidRDefault="00FC73FB">
      <w:pPr>
        <w:rPr>
          <w:rFonts w:ascii="Arial" w:eastAsia="Arial" w:hAnsi="Arial" w:cs="Arial"/>
          <w:b/>
          <w:sz w:val="20"/>
          <w:szCs w:val="20"/>
        </w:rPr>
      </w:pPr>
      <w:r>
        <w:br w:type="page"/>
      </w:r>
    </w:p>
    <w:p w14:paraId="325A48E5" w14:textId="77777777" w:rsidR="001F2A75" w:rsidRDefault="001F2A75">
      <w:pPr>
        <w:spacing w:line="264" w:lineRule="auto"/>
        <w:jc w:val="both"/>
        <w:rPr>
          <w:rFonts w:ascii="Arial" w:eastAsia="Arial" w:hAnsi="Arial" w:cs="Arial"/>
          <w:b/>
          <w:sz w:val="20"/>
          <w:szCs w:val="20"/>
        </w:rPr>
      </w:pPr>
    </w:p>
    <w:p w14:paraId="4CAB3FB3"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CMP20</w:t>
      </w:r>
    </w:p>
    <w:p w14:paraId="60B78CF1"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retain, all original paper documents for a timeframe as specified by the Agency from the date the documents are received and have been scanned, indexed, stored, and meet verification process standards. Original documents may be destroyed once indexed and stored and the retention period is met in accordance with State and Federal guidelines.</w:t>
      </w:r>
    </w:p>
    <w:p w14:paraId="7CA6EE5C" w14:textId="77777777" w:rsidR="001F2A75" w:rsidRDefault="001F2A75">
      <w:pPr>
        <w:spacing w:line="264" w:lineRule="auto"/>
        <w:jc w:val="both"/>
        <w:rPr>
          <w:rFonts w:ascii="Arial" w:eastAsia="Arial" w:hAnsi="Arial" w:cs="Arial"/>
          <w:sz w:val="20"/>
          <w:szCs w:val="20"/>
        </w:rPr>
      </w:pPr>
    </w:p>
    <w:p w14:paraId="2B134672" w14:textId="77777777" w:rsidR="001F2A75" w:rsidRDefault="00FC73FB">
      <w:pPr>
        <w:pBdr>
          <w:top w:val="nil"/>
          <w:left w:val="nil"/>
          <w:bottom w:val="nil"/>
          <w:right w:val="nil"/>
          <w:between w:val="nil"/>
        </w:pBd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The Benefit Recovery Mailroom staff receive all documentation via mail or electronically. The documentation or files are uploaded to the ARMS PRO Mailroom program as a digital copy of the document. All the original paper documentation is filed away in accordance with standards and timeframes specified by the State. Upon completion of the timeframe specified all documents shall be destroyed and certificates of destruction are retained. Electronic versions of the documents are maintained as part of the ARMS PRO database in accordance with established retention policies.</w:t>
      </w:r>
    </w:p>
    <w:p w14:paraId="1D82432E" w14:textId="77777777" w:rsidR="001F2A75" w:rsidRDefault="001F2A75">
      <w:pPr>
        <w:spacing w:line="264" w:lineRule="auto"/>
        <w:jc w:val="both"/>
        <w:rPr>
          <w:rFonts w:ascii="Arial" w:eastAsia="Arial" w:hAnsi="Arial" w:cs="Arial"/>
          <w:b/>
          <w:sz w:val="20"/>
          <w:szCs w:val="20"/>
        </w:rPr>
      </w:pPr>
    </w:p>
    <w:p w14:paraId="2958054B"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CMP21</w:t>
      </w:r>
    </w:p>
    <w:p w14:paraId="30CFCFF6"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maintain an auditing system and employ accounting/auditing procedures and practices that conform to GAAP and GAAS. All charges applicable to the contract shall be readily ascertainable from such records</w:t>
      </w:r>
      <w:r>
        <w:rPr>
          <w:rFonts w:ascii="Arial" w:eastAsia="Arial" w:hAnsi="Arial" w:cs="Arial"/>
          <w:sz w:val="20"/>
          <w:szCs w:val="20"/>
        </w:rPr>
        <w:t>.</w:t>
      </w:r>
    </w:p>
    <w:p w14:paraId="2F69CF4F" w14:textId="77777777" w:rsidR="001F2A75" w:rsidRDefault="001F2A75">
      <w:pPr>
        <w:pBdr>
          <w:top w:val="nil"/>
          <w:left w:val="nil"/>
          <w:bottom w:val="nil"/>
          <w:right w:val="nil"/>
          <w:between w:val="nil"/>
        </w:pBdr>
        <w:spacing w:line="264" w:lineRule="auto"/>
        <w:jc w:val="both"/>
        <w:rPr>
          <w:rFonts w:ascii="Arial" w:eastAsia="Arial" w:hAnsi="Arial" w:cs="Arial"/>
          <w:b/>
          <w:sz w:val="20"/>
          <w:szCs w:val="20"/>
        </w:rPr>
      </w:pPr>
    </w:p>
    <w:p w14:paraId="0942D35B" w14:textId="77777777" w:rsidR="001F2A75" w:rsidRDefault="00FC73FB">
      <w:pPr>
        <w:pBdr>
          <w:top w:val="nil"/>
          <w:left w:val="nil"/>
          <w:bottom w:val="nil"/>
          <w:right w:val="nil"/>
          <w:between w:val="nil"/>
        </w:pBd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employs a transactions-based system (ARMS PRO) that is easily audited and ties directly into our invoicing program. This system is currently used in the Department of Defense Military Treatment Facilities and feeds the government accounting system. The invoice amount can be traced back to the individual transactions and the supporting source documents (i.e.: Explanation of Benefits) in a few keystrokes. Benefit Recovery routinely uses auditing procedures to ensure our system and procedures comply with GAAP and GAAS.</w:t>
      </w:r>
    </w:p>
    <w:p w14:paraId="63B312BD" w14:textId="77777777" w:rsidR="001F2A75" w:rsidRDefault="001F2A75">
      <w:pPr>
        <w:spacing w:line="264" w:lineRule="auto"/>
        <w:jc w:val="both"/>
        <w:rPr>
          <w:rFonts w:ascii="Arial" w:eastAsia="Arial" w:hAnsi="Arial" w:cs="Arial"/>
          <w:b/>
          <w:sz w:val="20"/>
          <w:szCs w:val="20"/>
        </w:rPr>
      </w:pPr>
    </w:p>
    <w:p w14:paraId="67E2BDD7"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CMP22</w:t>
      </w:r>
    </w:p>
    <w:p w14:paraId="0099D181"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will ensure that all technologies implemented are in compliance with any End User Licensing Agreements or other licensing arrangements.</w:t>
      </w:r>
    </w:p>
    <w:p w14:paraId="2806E0A9" w14:textId="77777777" w:rsidR="001F2A75" w:rsidRDefault="001F2A75">
      <w:pPr>
        <w:spacing w:line="264" w:lineRule="auto"/>
        <w:jc w:val="both"/>
        <w:rPr>
          <w:rFonts w:ascii="Arial" w:eastAsia="Arial" w:hAnsi="Arial" w:cs="Arial"/>
          <w:b/>
          <w:sz w:val="20"/>
          <w:szCs w:val="20"/>
        </w:rPr>
      </w:pPr>
    </w:p>
    <w:p w14:paraId="2AE57FF9"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uses owned and fully licensed technologies and ensures that we remain compliant with any and all End User Licensing Agreements and arrangements.</w:t>
      </w:r>
    </w:p>
    <w:p w14:paraId="416B4ADC" w14:textId="77777777" w:rsidR="001F2A75" w:rsidRDefault="001F2A75">
      <w:pPr>
        <w:spacing w:line="264" w:lineRule="auto"/>
        <w:jc w:val="both"/>
        <w:rPr>
          <w:rFonts w:ascii="Arial" w:eastAsia="Arial" w:hAnsi="Arial" w:cs="Arial"/>
          <w:sz w:val="20"/>
          <w:szCs w:val="20"/>
        </w:rPr>
      </w:pPr>
    </w:p>
    <w:p w14:paraId="4C23C27C"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CMP23</w:t>
      </w:r>
    </w:p>
    <w:p w14:paraId="12E8E811"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Supplier’s solution shall ensure that all data necessary for legal requirements is retained</w:t>
      </w:r>
      <w:r>
        <w:rPr>
          <w:rFonts w:ascii="Arial" w:eastAsia="Arial" w:hAnsi="Arial" w:cs="Arial"/>
          <w:sz w:val="20"/>
          <w:szCs w:val="20"/>
        </w:rPr>
        <w:t>.</w:t>
      </w:r>
    </w:p>
    <w:p w14:paraId="0C1B7F90" w14:textId="77777777" w:rsidR="001F2A75" w:rsidRDefault="001F2A75">
      <w:pPr>
        <w:spacing w:line="264" w:lineRule="auto"/>
        <w:jc w:val="both"/>
        <w:rPr>
          <w:rFonts w:ascii="Arial" w:eastAsia="Arial" w:hAnsi="Arial" w:cs="Arial"/>
          <w:sz w:val="20"/>
          <w:szCs w:val="20"/>
        </w:rPr>
      </w:pPr>
    </w:p>
    <w:p w14:paraId="15F9714F"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ARMS PRO shall maintain all generated documents, upload documents, notes, and data in the database that would meet any legal requirements as requested by the Agency. The ARMS PRO system is a fully transparent and auditable solution where every action taken even down to the individual keystroke level is fully retrievable for any operational or legal purpose at any time.</w:t>
      </w:r>
    </w:p>
    <w:p w14:paraId="1D7CADCE" w14:textId="77777777" w:rsidR="001F2A75" w:rsidRDefault="001F2A75">
      <w:pPr>
        <w:spacing w:line="264" w:lineRule="auto"/>
        <w:jc w:val="both"/>
        <w:rPr>
          <w:rFonts w:ascii="Arial" w:eastAsia="Arial" w:hAnsi="Arial" w:cs="Arial"/>
          <w:sz w:val="20"/>
          <w:szCs w:val="20"/>
        </w:rPr>
      </w:pPr>
    </w:p>
    <w:p w14:paraId="532483F6"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CMP24</w:t>
      </w:r>
    </w:p>
    <w:p w14:paraId="3AE76330"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provide a mechanism to purge source documents in accordance with HIPAA security provisions and State requirements.</w:t>
      </w:r>
    </w:p>
    <w:p w14:paraId="59D4F4B7" w14:textId="77777777" w:rsidR="001F2A75" w:rsidRDefault="001F2A75">
      <w:pPr>
        <w:spacing w:line="264" w:lineRule="auto"/>
        <w:jc w:val="both"/>
        <w:rPr>
          <w:rFonts w:ascii="Arial" w:eastAsia="Arial" w:hAnsi="Arial" w:cs="Arial"/>
          <w:b/>
          <w:sz w:val="20"/>
          <w:szCs w:val="20"/>
        </w:rPr>
      </w:pPr>
    </w:p>
    <w:p w14:paraId="59BCE6DF"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All documents and data, electronic and hard copy, are inventoried and segregated in the Benefit Recovery environment for both compliance and security purposes. Upon request or at contract end, Benefit Recovery transfers (in a format agreed upon with the State) or destroys all records not specifically requested to be maintained for a specified retention period. Hard copy documents are destroyed internally or by certified document destruction entities and certificates of destruction are provided. The same </w:t>
      </w:r>
    </w:p>
    <w:p w14:paraId="3EF1E369" w14:textId="77777777" w:rsidR="001F2A75" w:rsidRDefault="001F2A75">
      <w:pPr>
        <w:spacing w:line="264" w:lineRule="auto"/>
        <w:jc w:val="both"/>
        <w:rPr>
          <w:rFonts w:ascii="Arial" w:eastAsia="Arial" w:hAnsi="Arial" w:cs="Arial"/>
          <w:sz w:val="20"/>
          <w:szCs w:val="20"/>
        </w:rPr>
      </w:pPr>
    </w:p>
    <w:p w14:paraId="60AE0A49"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processes are used for any information that the State has requested be retained for a certain period and a retention schedule is maintained for and approved by each customer. Even as material hits its approved destruction date, we verify with the State that it is appropriate to destroy rather than return the information.</w:t>
      </w:r>
    </w:p>
    <w:p w14:paraId="0FCD75E1" w14:textId="77777777" w:rsidR="001F2A75" w:rsidRDefault="001F2A75">
      <w:pPr>
        <w:spacing w:line="264" w:lineRule="auto"/>
        <w:jc w:val="both"/>
        <w:rPr>
          <w:rFonts w:ascii="Arial" w:eastAsia="Arial" w:hAnsi="Arial" w:cs="Arial"/>
          <w:sz w:val="20"/>
          <w:szCs w:val="20"/>
        </w:rPr>
      </w:pPr>
    </w:p>
    <w:p w14:paraId="582FE6AB"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CMP25</w:t>
      </w:r>
    </w:p>
    <w:p w14:paraId="40B11539"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Supplier’s Information Technology Equipment and Software purchased and licensed with monies under this Contract for use by agency, employees, program participants, or members of the public must provide, as required by state code, blind or visually impaired persons with access, including interactive use of the equipment and services, that is equivalent to that provided to persons who are not blind or visually impaired.</w:t>
      </w:r>
    </w:p>
    <w:p w14:paraId="64880325" w14:textId="77777777" w:rsidR="001F2A75" w:rsidRDefault="001F2A75">
      <w:pPr>
        <w:spacing w:line="264" w:lineRule="auto"/>
        <w:jc w:val="both"/>
        <w:rPr>
          <w:rFonts w:ascii="Arial" w:eastAsia="Arial" w:hAnsi="Arial" w:cs="Arial"/>
          <w:sz w:val="20"/>
          <w:szCs w:val="20"/>
        </w:rPr>
      </w:pPr>
    </w:p>
    <w:p w14:paraId="50EDA1AB"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Individuals that are blind or visually impaired shall have the same access to ARMS PRO as persons that are not blind or visually impaired in accordance with state code. The ARMS PRO software is </w:t>
      </w:r>
    </w:p>
    <w:p w14:paraId="4760074B" w14:textId="77777777" w:rsidR="001F2A75" w:rsidRDefault="001F2A75">
      <w:pPr>
        <w:spacing w:line="264" w:lineRule="auto"/>
        <w:jc w:val="both"/>
        <w:rPr>
          <w:rFonts w:ascii="Arial" w:eastAsia="Arial" w:hAnsi="Arial" w:cs="Arial"/>
          <w:sz w:val="20"/>
          <w:szCs w:val="20"/>
        </w:rPr>
      </w:pPr>
    </w:p>
    <w:p w14:paraId="4A04B0D8"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Section 508 compliant and continuously regression tested as enhancements and new versions of ARMS PRO are built.</w:t>
      </w:r>
    </w:p>
    <w:p w14:paraId="31013E30" w14:textId="77777777" w:rsidR="001F2A75" w:rsidRDefault="001F2A75">
      <w:pPr>
        <w:spacing w:line="264" w:lineRule="auto"/>
        <w:jc w:val="both"/>
        <w:rPr>
          <w:rFonts w:ascii="Arial" w:eastAsia="Arial" w:hAnsi="Arial" w:cs="Arial"/>
          <w:sz w:val="20"/>
          <w:szCs w:val="20"/>
        </w:rPr>
      </w:pPr>
    </w:p>
    <w:p w14:paraId="17BB8A9C"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CMP26</w:t>
      </w:r>
    </w:p>
    <w:p w14:paraId="10C14DFA"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Supplier's solution shall be compatible with multiple standard browsers in accordance to the State's IT Standards. The solution shall be compatible with standard browsers (as determined by the Agency) without requiring specialized or proprietary plug-ins.</w:t>
      </w:r>
    </w:p>
    <w:p w14:paraId="62D93859" w14:textId="77777777" w:rsidR="001F2A75" w:rsidRDefault="001F2A75">
      <w:pPr>
        <w:spacing w:line="264" w:lineRule="auto"/>
        <w:jc w:val="both"/>
        <w:rPr>
          <w:rFonts w:ascii="Arial" w:eastAsia="Arial" w:hAnsi="Arial" w:cs="Arial"/>
          <w:sz w:val="20"/>
          <w:szCs w:val="20"/>
        </w:rPr>
      </w:pPr>
    </w:p>
    <w:p w14:paraId="4253A7F1"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ARMS PRO is compatible with multiple standard browsers and hosted utilizing Citrix. All ARMS PRO users must have a Citrix Receiver installation on their computer or utilize a Citrix Workspace. The Benefit Recovery Citrix environments require two-factor authentication service through Duo Security to access the Citrix User Desktop to be able to launch ARMS PRO .Consequently users have to complete security paperwork to receive a RSA token from Duo or use the Duo application on their phone which must be registered with the Benefit Recovery Duo product.</w:t>
      </w:r>
    </w:p>
    <w:p w14:paraId="1E5E9AD3" w14:textId="77777777" w:rsidR="001F2A75" w:rsidRDefault="001F2A75">
      <w:pPr>
        <w:spacing w:line="264" w:lineRule="auto"/>
        <w:jc w:val="both"/>
        <w:rPr>
          <w:rFonts w:ascii="Arial" w:eastAsia="Arial" w:hAnsi="Arial" w:cs="Arial"/>
          <w:b/>
          <w:color w:val="E28B8E"/>
          <w:sz w:val="22"/>
          <w:szCs w:val="22"/>
        </w:rPr>
      </w:pPr>
    </w:p>
    <w:p w14:paraId="2E665510"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CMP27</w:t>
      </w:r>
    </w:p>
    <w:p w14:paraId="26DA1A6F"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shall provide licenses as required by the Agency to allow users access to perform all necessary business functions. </w:t>
      </w:r>
    </w:p>
    <w:p w14:paraId="1834E314" w14:textId="77777777" w:rsidR="001F2A75" w:rsidRDefault="001F2A75">
      <w:pPr>
        <w:spacing w:line="264" w:lineRule="auto"/>
        <w:jc w:val="both"/>
        <w:rPr>
          <w:rFonts w:ascii="Arial" w:eastAsia="Arial" w:hAnsi="Arial" w:cs="Arial"/>
          <w:sz w:val="20"/>
          <w:szCs w:val="20"/>
        </w:rPr>
      </w:pPr>
    </w:p>
    <w:p w14:paraId="3FF82612"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 xml:space="preserve">ANSWER: </w:t>
      </w:r>
      <w:r>
        <w:rPr>
          <w:rFonts w:ascii="Arial" w:eastAsia="Arial" w:hAnsi="Arial" w:cs="Arial"/>
          <w:sz w:val="20"/>
          <w:szCs w:val="20"/>
        </w:rPr>
        <w:t>Benefit Recovery provides licenses and appropriate security credentials required by the State Agency to perform functions related to the Benefit Recovery solution.</w:t>
      </w:r>
    </w:p>
    <w:p w14:paraId="2DD95609" w14:textId="77777777" w:rsidR="001F2A75" w:rsidRDefault="001F2A75">
      <w:pPr>
        <w:spacing w:line="264" w:lineRule="auto"/>
        <w:jc w:val="both"/>
        <w:rPr>
          <w:rFonts w:ascii="Arial" w:eastAsia="Arial" w:hAnsi="Arial" w:cs="Arial"/>
          <w:b/>
          <w:color w:val="E28B8E"/>
          <w:sz w:val="22"/>
          <w:szCs w:val="22"/>
        </w:rPr>
      </w:pPr>
    </w:p>
    <w:p w14:paraId="05C6546A"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CMP28</w:t>
      </w:r>
    </w:p>
    <w:p w14:paraId="24A12261"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 must refer any possible provider or member fraud, waste and abuse matters and supporting documentation from any source to the state agency’s program integrity unit.</w:t>
      </w:r>
    </w:p>
    <w:p w14:paraId="54B09BBC" w14:textId="77777777" w:rsidR="001F2A75" w:rsidRDefault="001F2A75">
      <w:pPr>
        <w:spacing w:line="264" w:lineRule="auto"/>
        <w:jc w:val="both"/>
        <w:rPr>
          <w:rFonts w:ascii="Arial" w:eastAsia="Arial" w:hAnsi="Arial" w:cs="Arial"/>
          <w:sz w:val="20"/>
          <w:szCs w:val="20"/>
        </w:rPr>
      </w:pPr>
    </w:p>
    <w:p w14:paraId="1653537E"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Benefit Recovery incorporates review algorithms into its data processing routines and manual recovery efforts to identify cases of potential fraud, waste, and abuse. Once a potential instance is identified, all appropriate documentation is gathered and a summary description of the activity that appears to be fraud, waste or abuse is documented and provided to the State’s program integrity unit. These cases can </w:t>
      </w:r>
    </w:p>
    <w:p w14:paraId="15B6B43C" w14:textId="77777777" w:rsidR="001F2A75" w:rsidRDefault="001F2A75">
      <w:pPr>
        <w:spacing w:line="264" w:lineRule="auto"/>
        <w:jc w:val="both"/>
        <w:rPr>
          <w:rFonts w:ascii="Arial" w:eastAsia="Arial" w:hAnsi="Arial" w:cs="Arial"/>
          <w:sz w:val="20"/>
          <w:szCs w:val="20"/>
        </w:rPr>
      </w:pPr>
    </w:p>
    <w:p w14:paraId="1D2D22C3" w14:textId="77777777" w:rsidR="001F2A75" w:rsidRDefault="00FC73FB">
      <w:pPr>
        <w:spacing w:line="264" w:lineRule="auto"/>
        <w:jc w:val="both"/>
        <w:rPr>
          <w:rFonts w:ascii="Arial" w:eastAsia="Arial" w:hAnsi="Arial" w:cs="Arial"/>
          <w:sz w:val="20"/>
          <w:szCs w:val="20"/>
        </w:rPr>
      </w:pPr>
      <w:r>
        <w:rPr>
          <w:rFonts w:ascii="Arial" w:eastAsia="Arial" w:hAnsi="Arial" w:cs="Arial"/>
          <w:sz w:val="20"/>
          <w:szCs w:val="20"/>
        </w:rPr>
        <w:t>include instances of Medicaid policies / procedures requiring strengthening, provider fraud or abuse and recipient eligibility or service abuse. Any further analytical or other assistance that the State requires to follow up on the referral is also provided.</w:t>
      </w:r>
    </w:p>
    <w:p w14:paraId="679B58D2" w14:textId="77777777" w:rsidR="001F2A75" w:rsidRDefault="001F2A75">
      <w:pPr>
        <w:spacing w:line="264" w:lineRule="auto"/>
        <w:jc w:val="both"/>
        <w:rPr>
          <w:rFonts w:ascii="Arial" w:eastAsia="Arial" w:hAnsi="Arial" w:cs="Arial"/>
          <w:sz w:val="20"/>
          <w:szCs w:val="20"/>
        </w:rPr>
      </w:pPr>
    </w:p>
    <w:p w14:paraId="4DAB6327" w14:textId="77777777" w:rsidR="001F2A75" w:rsidRDefault="001F2A75">
      <w:pPr>
        <w:spacing w:line="264" w:lineRule="auto"/>
        <w:jc w:val="both"/>
        <w:rPr>
          <w:rFonts w:ascii="Arial" w:eastAsia="Arial" w:hAnsi="Arial" w:cs="Arial"/>
          <w:b/>
          <w:color w:val="E28B8E"/>
          <w:sz w:val="22"/>
          <w:szCs w:val="22"/>
        </w:rPr>
      </w:pPr>
    </w:p>
    <w:p w14:paraId="4307BA77" w14:textId="77777777" w:rsidR="001F2A75" w:rsidRPr="00657918" w:rsidRDefault="00FC73FB">
      <w:pPr>
        <w:spacing w:line="264" w:lineRule="auto"/>
        <w:jc w:val="both"/>
        <w:rPr>
          <w:rFonts w:ascii="Arial" w:eastAsia="Arial" w:hAnsi="Arial" w:cs="Arial"/>
          <w:b/>
          <w:color w:val="C81521"/>
          <w:sz w:val="22"/>
          <w:szCs w:val="22"/>
        </w:rPr>
      </w:pPr>
      <w:r w:rsidRPr="00657918">
        <w:rPr>
          <w:rFonts w:ascii="Arial" w:eastAsia="Arial" w:hAnsi="Arial" w:cs="Arial"/>
          <w:b/>
          <w:color w:val="C81521"/>
          <w:sz w:val="22"/>
          <w:szCs w:val="22"/>
        </w:rPr>
        <w:t>CMP29</w:t>
      </w:r>
    </w:p>
    <w:p w14:paraId="1A894545" w14:textId="77777777" w:rsidR="001F2A75" w:rsidRDefault="00FC73FB">
      <w:pPr>
        <w:spacing w:line="264" w:lineRule="auto"/>
        <w:rPr>
          <w:rFonts w:ascii="Arial" w:eastAsia="Arial" w:hAnsi="Arial" w:cs="Arial"/>
          <w:b/>
          <w:sz w:val="20"/>
          <w:szCs w:val="20"/>
        </w:rPr>
      </w:pPr>
      <w:r>
        <w:rPr>
          <w:rFonts w:ascii="Arial" w:eastAsia="Arial" w:hAnsi="Arial" w:cs="Arial"/>
          <w:b/>
          <w:sz w:val="20"/>
          <w:szCs w:val="20"/>
        </w:rPr>
        <w:t xml:space="preserve">The Supplier must support the agency’s benefit recovery functions by billing health carriers as defined in the Deficit Reduction Act of 2005 (DRA) via electronic, paper, or other means necessary in order to recoup monies. </w:t>
      </w:r>
    </w:p>
    <w:p w14:paraId="1F3319F9" w14:textId="77777777" w:rsidR="001F2A75" w:rsidRDefault="00FC73FB">
      <w:pPr>
        <w:spacing w:line="264" w:lineRule="auto"/>
        <w:rPr>
          <w:rFonts w:ascii="Arial" w:eastAsia="Arial" w:hAnsi="Arial" w:cs="Arial"/>
          <w:b/>
          <w:sz w:val="20"/>
          <w:szCs w:val="20"/>
        </w:rPr>
      </w:pPr>
      <w:r>
        <w:rPr>
          <w:rFonts w:ascii="Arial" w:eastAsia="Arial" w:hAnsi="Arial" w:cs="Arial"/>
          <w:b/>
          <w:sz w:val="20"/>
          <w:szCs w:val="20"/>
        </w:rPr>
        <w:t>https://www.cms.gov/Regulations-and-Guidance/Legislation/DeficitReductionAct/index.html</w:t>
      </w:r>
    </w:p>
    <w:p w14:paraId="067817E3" w14:textId="77777777" w:rsidR="001F2A75" w:rsidRDefault="001F2A75">
      <w:pPr>
        <w:spacing w:line="264" w:lineRule="auto"/>
        <w:jc w:val="both"/>
        <w:rPr>
          <w:rFonts w:ascii="Arial" w:eastAsia="Arial" w:hAnsi="Arial" w:cs="Arial"/>
          <w:sz w:val="20"/>
          <w:szCs w:val="20"/>
        </w:rPr>
      </w:pPr>
    </w:p>
    <w:p w14:paraId="48391C4E"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As required by the Deficit Recovery Act,</w:t>
      </w:r>
      <w:r>
        <w:rPr>
          <w:rFonts w:ascii="Arial" w:eastAsia="Arial" w:hAnsi="Arial" w:cs="Arial"/>
          <w:b/>
          <w:sz w:val="20"/>
          <w:szCs w:val="20"/>
        </w:rPr>
        <w:t xml:space="preserve"> </w:t>
      </w:r>
      <w:r>
        <w:rPr>
          <w:rFonts w:ascii="Arial" w:eastAsia="Arial" w:hAnsi="Arial" w:cs="Arial"/>
          <w:sz w:val="20"/>
          <w:szCs w:val="20"/>
        </w:rPr>
        <w:t>Benefit Recovery’s ARMS PRO system automatically pulls claims covered by identified primary payers for the period of coverage of the insurance policy within 60 days of discovery of the other policy. Additionally, for cases that are exempt from State cost avoidance requirements (</w:t>
      </w:r>
      <w:proofErr w:type="spellStart"/>
      <w:r>
        <w:rPr>
          <w:rFonts w:ascii="Arial" w:eastAsia="Arial" w:hAnsi="Arial" w:cs="Arial"/>
          <w:sz w:val="20"/>
          <w:szCs w:val="20"/>
        </w:rPr>
        <w:t>i.e.,prenatal</w:t>
      </w:r>
      <w:proofErr w:type="spellEnd"/>
      <w:r>
        <w:rPr>
          <w:rFonts w:ascii="Arial" w:eastAsia="Arial" w:hAnsi="Arial" w:cs="Arial"/>
          <w:sz w:val="20"/>
          <w:szCs w:val="20"/>
        </w:rPr>
        <w:t>, services covered by a policy provided as a result of a support order) are accumulated on a regular basis as the claims data is shared by the State for ongoing billing to the primary payer. Carriers that are able to accept electronic claims are sent electronic records and electronic EOBs are returned. For Carriers unable to accept electronic claims from Medicaid, paper claims are provided. Medicare and duplicate payment recoveries (carrier paid the provider) are recovered from the  provider and facilitated through a provider web application that also provides a mechanism to contest a proposed recovery.</w:t>
      </w:r>
    </w:p>
    <w:p w14:paraId="51FFC90E" w14:textId="77777777" w:rsidR="001F2A75" w:rsidRDefault="001F2A75">
      <w:pPr>
        <w:spacing w:line="264" w:lineRule="auto"/>
        <w:jc w:val="both"/>
        <w:rPr>
          <w:rFonts w:ascii="Arial" w:eastAsia="Arial" w:hAnsi="Arial" w:cs="Arial"/>
          <w:sz w:val="20"/>
          <w:szCs w:val="20"/>
        </w:rPr>
      </w:pPr>
    </w:p>
    <w:p w14:paraId="5CD10D6E" w14:textId="77777777" w:rsidR="001F2A75" w:rsidRPr="00657918" w:rsidRDefault="00FC73FB">
      <w:pPr>
        <w:spacing w:line="264" w:lineRule="auto"/>
        <w:jc w:val="both"/>
        <w:rPr>
          <w:rFonts w:ascii="Arial" w:eastAsia="Arial" w:hAnsi="Arial" w:cs="Arial"/>
          <w:b/>
          <w:color w:val="C81521"/>
          <w:sz w:val="20"/>
          <w:szCs w:val="20"/>
        </w:rPr>
      </w:pPr>
      <w:r w:rsidRPr="00657918">
        <w:rPr>
          <w:rFonts w:ascii="Arial" w:eastAsia="Arial" w:hAnsi="Arial" w:cs="Arial"/>
          <w:b/>
          <w:color w:val="C81521"/>
          <w:sz w:val="22"/>
          <w:szCs w:val="22"/>
        </w:rPr>
        <w:t>CMP30</w:t>
      </w:r>
    </w:p>
    <w:p w14:paraId="5AFD0BA7" w14:textId="77777777" w:rsidR="001F2A75" w:rsidRDefault="00FC73FB">
      <w:pPr>
        <w:spacing w:line="264" w:lineRule="auto"/>
        <w:jc w:val="both"/>
        <w:rPr>
          <w:rFonts w:ascii="Arial" w:eastAsia="Arial" w:hAnsi="Arial" w:cs="Arial"/>
          <w:b/>
          <w:sz w:val="20"/>
          <w:szCs w:val="20"/>
        </w:rPr>
      </w:pPr>
      <w:r>
        <w:rPr>
          <w:rFonts w:ascii="Arial" w:eastAsia="Arial" w:hAnsi="Arial" w:cs="Arial"/>
          <w:b/>
          <w:sz w:val="20"/>
          <w:szCs w:val="20"/>
        </w:rPr>
        <w:t>The Supplier's solution shall maintain Offshore Data Use policies as defined by the agency.  The Supplier shall ensure that agency data is not used, maintained, transmitted, stored, or processed in geographic or virtual areas which are not subject to U.S. Law.</w:t>
      </w:r>
    </w:p>
    <w:p w14:paraId="38B4E594" w14:textId="77777777" w:rsidR="001F2A75" w:rsidRDefault="001F2A75">
      <w:pPr>
        <w:spacing w:line="264" w:lineRule="auto"/>
        <w:jc w:val="both"/>
        <w:rPr>
          <w:rFonts w:ascii="Arial" w:eastAsia="Arial" w:hAnsi="Arial" w:cs="Arial"/>
          <w:sz w:val="20"/>
          <w:szCs w:val="20"/>
        </w:rPr>
      </w:pPr>
    </w:p>
    <w:p w14:paraId="0ED8256D" w14:textId="77777777" w:rsidR="001F2A75" w:rsidRDefault="00FC73FB">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All activities conducted under contract with Benefit Recovery are performed in the continental United States.</w:t>
      </w:r>
    </w:p>
    <w:p w14:paraId="15208517" w14:textId="77777777" w:rsidR="001F2A75" w:rsidRDefault="001F2A75">
      <w:pPr>
        <w:spacing w:line="264" w:lineRule="auto"/>
        <w:jc w:val="both"/>
        <w:rPr>
          <w:rFonts w:ascii="Arial" w:eastAsia="Arial" w:hAnsi="Arial" w:cs="Arial"/>
          <w:sz w:val="20"/>
          <w:szCs w:val="20"/>
        </w:rPr>
      </w:pPr>
    </w:p>
    <w:sectPr w:rsidR="001F2A75">
      <w:headerReference w:type="default" r:id="rId9"/>
      <w:footerReference w:type="even" r:id="rId10"/>
      <w:footerReference w:type="default" r:id="rId11"/>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A02F3" w14:textId="77777777" w:rsidR="00217AEF" w:rsidRDefault="00217AEF">
      <w:r>
        <w:separator/>
      </w:r>
    </w:p>
  </w:endnote>
  <w:endnote w:type="continuationSeparator" w:id="0">
    <w:p w14:paraId="55ACE550" w14:textId="77777777" w:rsidR="00217AEF" w:rsidRDefault="0021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5EEEE" w14:textId="77777777" w:rsidR="001F2A75" w:rsidRDefault="00FC73FB">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end"/>
    </w:r>
  </w:p>
  <w:p w14:paraId="5E7BECF6" w14:textId="77777777" w:rsidR="001F2A75" w:rsidRDefault="001F2A75">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44BCC" w14:textId="77777777" w:rsidR="001F2A75" w:rsidRDefault="00FC73FB">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657918">
      <w:rPr>
        <w:noProof/>
        <w:color w:val="000000"/>
      </w:rPr>
      <w:t>1</w:t>
    </w:r>
    <w:r>
      <w:rPr>
        <w:color w:val="000000"/>
      </w:rPr>
      <w:fldChar w:fldCharType="end"/>
    </w:r>
  </w:p>
  <w:p w14:paraId="288C8303" w14:textId="77777777" w:rsidR="001F2A75" w:rsidRDefault="001F2A75">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3B602" w14:textId="77777777" w:rsidR="00217AEF" w:rsidRDefault="00217AEF">
      <w:r>
        <w:separator/>
      </w:r>
    </w:p>
  </w:footnote>
  <w:footnote w:type="continuationSeparator" w:id="0">
    <w:p w14:paraId="638DFAEA" w14:textId="77777777" w:rsidR="00217AEF" w:rsidRDefault="00217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68AFF" w14:textId="57A0B514" w:rsidR="001F2A75" w:rsidRDefault="00657918">
    <w:pPr>
      <w:pBdr>
        <w:top w:val="nil"/>
        <w:left w:val="nil"/>
        <w:bottom w:val="nil"/>
        <w:right w:val="nil"/>
        <w:between w:val="nil"/>
      </w:pBdr>
      <w:tabs>
        <w:tab w:val="center" w:pos="4680"/>
        <w:tab w:val="right" w:pos="9360"/>
        <w:tab w:val="left" w:pos="9300"/>
      </w:tabs>
      <w:rPr>
        <w:color w:val="000000"/>
      </w:rPr>
    </w:pPr>
    <w:r>
      <w:rPr>
        <w:noProof/>
      </w:rPr>
      <mc:AlternateContent>
        <mc:Choice Requires="wpg">
          <w:drawing>
            <wp:anchor distT="0" distB="0" distL="114300" distR="114300" simplePos="0" relativeHeight="251659264" behindDoc="0" locked="0" layoutInCell="1" allowOverlap="1" wp14:anchorId="4B4FB36E" wp14:editId="6A8F819D">
              <wp:simplePos x="0" y="0"/>
              <wp:positionH relativeFrom="column">
                <wp:posOffset>-942392</wp:posOffset>
              </wp:positionH>
              <wp:positionV relativeFrom="paragraph">
                <wp:posOffset>-867747</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0950F3F6" id="Group 5" o:spid="_x0000_s1026" style="position:absolute;margin-left:-74.2pt;margin-top:-68.3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E640C8"/>
    <w:multiLevelType w:val="multilevel"/>
    <w:tmpl w:val="F4DA02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75D751A"/>
    <w:multiLevelType w:val="multilevel"/>
    <w:tmpl w:val="64488C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A42177C"/>
    <w:multiLevelType w:val="multilevel"/>
    <w:tmpl w:val="3EEEB1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1A500A8"/>
    <w:multiLevelType w:val="multilevel"/>
    <w:tmpl w:val="AFDC32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ED96923"/>
    <w:multiLevelType w:val="multilevel"/>
    <w:tmpl w:val="6A4097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BC10144"/>
    <w:multiLevelType w:val="multilevel"/>
    <w:tmpl w:val="96D01E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A75"/>
    <w:rsid w:val="000D11D1"/>
    <w:rsid w:val="001F2A75"/>
    <w:rsid w:val="00217AEF"/>
    <w:rsid w:val="00657918"/>
    <w:rsid w:val="00FC7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6470C"/>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425"/>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1A1D49"/>
    <w:pPr>
      <w:tabs>
        <w:tab w:val="center" w:pos="4680"/>
        <w:tab w:val="right" w:pos="9360"/>
      </w:tabs>
    </w:pPr>
  </w:style>
  <w:style w:type="character" w:customStyle="1" w:styleId="FooterChar">
    <w:name w:val="Footer Char"/>
    <w:basedOn w:val="DefaultParagraphFont"/>
    <w:link w:val="Footer"/>
    <w:uiPriority w:val="99"/>
    <w:rsid w:val="001A1D49"/>
    <w:rPr>
      <w:sz w:val="24"/>
      <w:szCs w:val="24"/>
    </w:rPr>
  </w:style>
  <w:style w:type="character" w:styleId="PageNumber">
    <w:name w:val="page number"/>
    <w:basedOn w:val="DefaultParagraphFont"/>
    <w:uiPriority w:val="99"/>
    <w:semiHidden/>
    <w:unhideWhenUsed/>
    <w:rsid w:val="001A1D4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F0E9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F0E99"/>
    <w:rPr>
      <w:rFonts w:ascii="Times New Roman" w:hAnsi="Times New Roman" w:cs="Times New Roman"/>
      <w:sz w:val="18"/>
      <w:szCs w:val="18"/>
    </w:rPr>
  </w:style>
  <w:style w:type="paragraph" w:styleId="Header">
    <w:name w:val="header"/>
    <w:basedOn w:val="Normal"/>
    <w:link w:val="HeaderChar"/>
    <w:uiPriority w:val="99"/>
    <w:unhideWhenUsed/>
    <w:rsid w:val="00233E2D"/>
    <w:pPr>
      <w:tabs>
        <w:tab w:val="center" w:pos="4680"/>
        <w:tab w:val="right" w:pos="9360"/>
      </w:tabs>
    </w:pPr>
  </w:style>
  <w:style w:type="character" w:customStyle="1" w:styleId="HeaderChar">
    <w:name w:val="Header Char"/>
    <w:basedOn w:val="DefaultParagraphFont"/>
    <w:link w:val="Header"/>
    <w:uiPriority w:val="99"/>
    <w:rsid w:val="00233E2D"/>
  </w:style>
  <w:style w:type="paragraph" w:styleId="ListParagraph">
    <w:name w:val="List Paragraph"/>
    <w:basedOn w:val="Normal"/>
    <w:uiPriority w:val="34"/>
    <w:qFormat/>
    <w:rsid w:val="00C015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nBrLsLcoc9+ZBnMHsyCo+lS54w==">AMUW2mVXBMPVyoHfV4tuVqKFlfZiAFs/zN3If7YiJCJPko89BE94NdtYjFU9+zFFF8wd44lJlB7jo28rMNMvPMFty6iJLRVqjSXlPLdVqqIICpBqVEur3Lk=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4668</Words>
  <Characters>26608</Characters>
  <Application>Microsoft Office Word</Application>
  <DocSecurity>0</DocSecurity>
  <Lines>221</Lines>
  <Paragraphs>62</Paragraphs>
  <ScaleCrop>false</ScaleCrop>
  <Company/>
  <LinksUpToDate>false</LinksUpToDate>
  <CharactersWithSpaces>31214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3</cp:revision>
  <dcterms:created xsi:type="dcterms:W3CDTF">2020-11-18T04:22:00Z</dcterms:created>
  <dcterms:modified xsi:type="dcterms:W3CDTF">2020-12-19T18:00:00Z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0x010100BB013C122A9E044D8140C0EA806B1CBD</vt:lpwstr>
  </property>
</Properties>
</file>