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649A" w14:textId="5A8483E6" w:rsidR="009C17A4" w:rsidRDefault="00000000" w:rsidP="00544E0E">
      <w:pPr>
        <w:pStyle w:val="Title"/>
      </w:pPr>
      <w:r>
        <w:t>Anti-Collusion Policy Checklist for Municipal Procurement</w:t>
      </w:r>
    </w:p>
    <w:p w14:paraId="61453A71" w14:textId="77777777" w:rsidR="009C17A4" w:rsidRDefault="00000000">
      <w:pPr>
        <w:pStyle w:val="Heading1"/>
      </w:pPr>
      <w:r>
        <w:t>I. Procurement Planning</w:t>
      </w:r>
    </w:p>
    <w:p w14:paraId="37DFDA5E" w14:textId="77777777" w:rsidR="009C17A4" w:rsidRDefault="00000000">
      <w:pPr>
        <w:pStyle w:val="ListBullet"/>
      </w:pPr>
      <w:r>
        <w:t>☐ Conduct market research to understand typical pricing and competitive landscape.</w:t>
      </w:r>
    </w:p>
    <w:p w14:paraId="21C90F68" w14:textId="77777777" w:rsidR="009C17A4" w:rsidRDefault="00000000">
      <w:pPr>
        <w:pStyle w:val="ListBullet"/>
      </w:pPr>
      <w:r>
        <w:t>☐ Ensure specifications are clear, neutral, and do not favor specific vendors.</w:t>
      </w:r>
    </w:p>
    <w:p w14:paraId="3960D8A8" w14:textId="77777777" w:rsidR="009C17A4" w:rsidRDefault="00000000">
      <w:pPr>
        <w:pStyle w:val="ListBullet"/>
      </w:pPr>
      <w:r>
        <w:t>☐ Use standardized bid templates and document formats to ensure uniformity.</w:t>
      </w:r>
    </w:p>
    <w:p w14:paraId="536470A2" w14:textId="77777777" w:rsidR="009C17A4" w:rsidRDefault="00000000">
      <w:pPr>
        <w:pStyle w:val="Heading1"/>
      </w:pPr>
      <w:r>
        <w:t>II. Bid Solicitation and Advertising</w:t>
      </w:r>
    </w:p>
    <w:p w14:paraId="4F41DB41" w14:textId="77777777" w:rsidR="009C17A4" w:rsidRDefault="00000000">
      <w:pPr>
        <w:pStyle w:val="ListBullet"/>
      </w:pPr>
      <w:r>
        <w:t>☐ Publicly advertise all solicitations through multiple channels (e.g., city website, trade publications).</w:t>
      </w:r>
    </w:p>
    <w:p w14:paraId="2C8535BD" w14:textId="77777777" w:rsidR="009C17A4" w:rsidRDefault="00000000">
      <w:pPr>
        <w:pStyle w:val="ListBullet"/>
      </w:pPr>
      <w:r>
        <w:t>☐ Provide equal access to solicitation documents to all interested parties.</w:t>
      </w:r>
    </w:p>
    <w:p w14:paraId="0D6B676F" w14:textId="77777777" w:rsidR="009C17A4" w:rsidRDefault="00000000">
      <w:pPr>
        <w:pStyle w:val="ListBullet"/>
      </w:pPr>
      <w:r>
        <w:t>☐ Establish and publish a clear bid calendar to minimize manipulation through timing.</w:t>
      </w:r>
    </w:p>
    <w:p w14:paraId="6C6BC3A5" w14:textId="77777777" w:rsidR="009C17A4" w:rsidRDefault="00000000">
      <w:pPr>
        <w:pStyle w:val="Heading1"/>
      </w:pPr>
      <w:r>
        <w:t>III. Bid Submission Requirements</w:t>
      </w:r>
    </w:p>
    <w:p w14:paraId="7D3D853A" w14:textId="77777777" w:rsidR="009C17A4" w:rsidRDefault="00000000">
      <w:pPr>
        <w:pStyle w:val="ListBullet"/>
      </w:pPr>
      <w:r>
        <w:t>☐ Require anti-collusion affidavits with every bid or proposal.</w:t>
      </w:r>
    </w:p>
    <w:p w14:paraId="3C2CFEAD" w14:textId="77777777" w:rsidR="009C17A4" w:rsidRDefault="00000000">
      <w:pPr>
        <w:pStyle w:val="ListBullet"/>
      </w:pPr>
      <w:r>
        <w:t>☐ Require disclosure of: All subcontractors, Any relationships with other bidders, Shared ownership or common officers.</w:t>
      </w:r>
    </w:p>
    <w:p w14:paraId="25330F63" w14:textId="77777777" w:rsidR="009C17A4" w:rsidRDefault="00000000">
      <w:pPr>
        <w:pStyle w:val="ListBullet"/>
      </w:pPr>
      <w:r>
        <w:t>☐ Mandate sealed or electronic submissions with system-based time-stamping.</w:t>
      </w:r>
    </w:p>
    <w:p w14:paraId="32E208F4" w14:textId="77777777" w:rsidR="009C17A4" w:rsidRDefault="00000000">
      <w:pPr>
        <w:pStyle w:val="ListBullet"/>
      </w:pPr>
      <w:r>
        <w:t>☐ Prohibit contact between vendors and city personnel (outside of authorized procurement officials) during active procurements.</w:t>
      </w:r>
    </w:p>
    <w:p w14:paraId="247E5721" w14:textId="77777777" w:rsidR="009C17A4" w:rsidRDefault="00000000">
      <w:pPr>
        <w:pStyle w:val="Heading1"/>
      </w:pPr>
      <w:r>
        <w:t>IV. Bid Evaluation Procedures</w:t>
      </w:r>
    </w:p>
    <w:p w14:paraId="1DE14257" w14:textId="77777777" w:rsidR="009C17A4" w:rsidRDefault="00000000">
      <w:pPr>
        <w:pStyle w:val="ListBullet"/>
      </w:pPr>
      <w:r>
        <w:t>☐ Ensure segregation of duties between staff drafting the solicitation, receiving bids, and evaluating them.</w:t>
      </w:r>
    </w:p>
    <w:p w14:paraId="65BAC3AB" w14:textId="77777777" w:rsidR="009C17A4" w:rsidRDefault="00000000">
      <w:pPr>
        <w:pStyle w:val="ListBullet"/>
      </w:pPr>
      <w:r>
        <w:t>☐ Blind the identity of vendors during the technical scoring process, when feasible.</w:t>
      </w:r>
    </w:p>
    <w:p w14:paraId="48F15C93" w14:textId="77777777" w:rsidR="009C17A4" w:rsidRDefault="00000000">
      <w:pPr>
        <w:pStyle w:val="ListBullet"/>
      </w:pPr>
      <w:r>
        <w:t>☐ Maintain written scoring justifications and evaluator notes for transparency.</w:t>
      </w:r>
    </w:p>
    <w:p w14:paraId="6E794AFE" w14:textId="77777777" w:rsidR="009C17A4" w:rsidRDefault="00000000">
      <w:pPr>
        <w:pStyle w:val="Heading1"/>
      </w:pPr>
      <w:r>
        <w:t>V. Red Flag Monitoring and Data Analysis</w:t>
      </w:r>
    </w:p>
    <w:p w14:paraId="3E3ED913" w14:textId="77777777" w:rsidR="009C17A4" w:rsidRDefault="00000000">
      <w:pPr>
        <w:pStyle w:val="ListBullet"/>
      </w:pPr>
      <w:r>
        <w:t>☐ Regularly analyze bid patterns over time to detect price-fixing, bid rotation, and market allocation.</w:t>
      </w:r>
    </w:p>
    <w:p w14:paraId="0C1A8FD6" w14:textId="77777777" w:rsidR="009C17A4" w:rsidRDefault="00000000">
      <w:pPr>
        <w:pStyle w:val="ListBullet"/>
      </w:pPr>
      <w:r>
        <w:t>☐ Document and investigate similarities in bids, identical pricing or rounding patterns, and unusually few bidders or last-minute withdrawals.</w:t>
      </w:r>
    </w:p>
    <w:p w14:paraId="720CC7BA" w14:textId="77777777" w:rsidR="009C17A4" w:rsidRDefault="00000000">
      <w:pPr>
        <w:pStyle w:val="Heading1"/>
      </w:pPr>
      <w:r>
        <w:lastRenderedPageBreak/>
        <w:t>VI. Vendor and Employee Training</w:t>
      </w:r>
    </w:p>
    <w:p w14:paraId="6F57133E" w14:textId="77777777" w:rsidR="009C17A4" w:rsidRDefault="00000000">
      <w:pPr>
        <w:pStyle w:val="ListBullet"/>
      </w:pPr>
      <w:r>
        <w:t>☐ Require annual training for procurement staff on collusion detection, antitrust law, and ethical bidding procedures.</w:t>
      </w:r>
    </w:p>
    <w:p w14:paraId="7A8A2848" w14:textId="77777777" w:rsidR="009C17A4" w:rsidRDefault="00000000">
      <w:pPr>
        <w:pStyle w:val="ListBullet"/>
      </w:pPr>
      <w:r>
        <w:t>☐ Offer (or require) training for vendors on fair competition and procurement rules.</w:t>
      </w:r>
    </w:p>
    <w:p w14:paraId="21384E9D" w14:textId="77777777" w:rsidR="009C17A4" w:rsidRDefault="00000000">
      <w:pPr>
        <w:pStyle w:val="Heading1"/>
      </w:pPr>
      <w:r>
        <w:t>VII. Post-Award and Contract Management</w:t>
      </w:r>
    </w:p>
    <w:p w14:paraId="082CABA3" w14:textId="77777777" w:rsidR="009C17A4" w:rsidRDefault="00000000">
      <w:pPr>
        <w:pStyle w:val="ListBullet"/>
      </w:pPr>
      <w:r>
        <w:t>☐ Conduct debriefs with unsuccessful vendors to identify concerns or irregularities.</w:t>
      </w:r>
    </w:p>
    <w:p w14:paraId="34C15472" w14:textId="77777777" w:rsidR="009C17A4" w:rsidRDefault="00000000">
      <w:pPr>
        <w:pStyle w:val="ListBullet"/>
      </w:pPr>
      <w:r>
        <w:t>☐ Monitor contract execution for signs of pass-through pricing or subcontractor collusion.</w:t>
      </w:r>
    </w:p>
    <w:p w14:paraId="77D17725" w14:textId="77777777" w:rsidR="009C17A4" w:rsidRDefault="00000000">
      <w:pPr>
        <w:pStyle w:val="ListBullet"/>
      </w:pPr>
      <w:r>
        <w:t>☐ Periodically audit high-value contracts for irregularities in invoicing or performance.</w:t>
      </w:r>
    </w:p>
    <w:p w14:paraId="39D4CF90" w14:textId="77777777" w:rsidR="009C17A4" w:rsidRDefault="00000000">
      <w:pPr>
        <w:pStyle w:val="Heading1"/>
      </w:pPr>
      <w:r>
        <w:t>VIII. Whistleblower and Enforcement Provisions</w:t>
      </w:r>
    </w:p>
    <w:p w14:paraId="342B8A39" w14:textId="77777777" w:rsidR="009C17A4" w:rsidRDefault="00000000">
      <w:pPr>
        <w:pStyle w:val="ListBullet"/>
      </w:pPr>
      <w:r>
        <w:t>☐ Establish and publicize a confidential method for reporting suspected collusion.</w:t>
      </w:r>
    </w:p>
    <w:p w14:paraId="05628E6B" w14:textId="77777777" w:rsidR="009C17A4" w:rsidRDefault="00000000">
      <w:pPr>
        <w:pStyle w:val="ListBullet"/>
      </w:pPr>
      <w:r>
        <w:t>☐ Refer credible allegations to legal counsel, internal audit, or law enforcement.</w:t>
      </w:r>
    </w:p>
    <w:p w14:paraId="30FE4CF4" w14:textId="77777777" w:rsidR="009C17A4" w:rsidRDefault="00000000">
      <w:pPr>
        <w:pStyle w:val="ListBullet"/>
      </w:pPr>
      <w:r>
        <w:t>☐ Include contract language allowing for disqualification of vendors, termination for cause, or recovery of costs due to collusion.</w:t>
      </w:r>
    </w:p>
    <w:p w14:paraId="26DAFB51" w14:textId="77777777" w:rsidR="009C17A4" w:rsidRDefault="00000000">
      <w:pPr>
        <w:pStyle w:val="Heading1"/>
      </w:pPr>
      <w:r>
        <w:t>IX. Recordkeeping</w:t>
      </w:r>
    </w:p>
    <w:p w14:paraId="39E821A0" w14:textId="77777777" w:rsidR="009C17A4" w:rsidRDefault="00000000">
      <w:pPr>
        <w:pStyle w:val="ListBullet"/>
      </w:pPr>
      <w:r>
        <w:t>☐ Maintain all procurement records, including bids, correspondence, scoring, and contracts, for at least the minimum statutory period.</w:t>
      </w:r>
    </w:p>
    <w:p w14:paraId="195ED0BE" w14:textId="77777777" w:rsidR="009C17A4" w:rsidRDefault="00000000">
      <w:pPr>
        <w:pStyle w:val="ListBullet"/>
      </w:pPr>
      <w:r>
        <w:t>☐ Document all red flag investigations and their outcomes.</w:t>
      </w:r>
    </w:p>
    <w:sectPr w:rsidR="009C17A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8348664">
    <w:abstractNumId w:val="8"/>
  </w:num>
  <w:num w:numId="2" w16cid:durableId="8488">
    <w:abstractNumId w:val="6"/>
  </w:num>
  <w:num w:numId="3" w16cid:durableId="63261623">
    <w:abstractNumId w:val="5"/>
  </w:num>
  <w:num w:numId="4" w16cid:durableId="1259019867">
    <w:abstractNumId w:val="4"/>
  </w:num>
  <w:num w:numId="5" w16cid:durableId="384187112">
    <w:abstractNumId w:val="7"/>
  </w:num>
  <w:num w:numId="6" w16cid:durableId="777068095">
    <w:abstractNumId w:val="3"/>
  </w:num>
  <w:num w:numId="7" w16cid:durableId="1981613632">
    <w:abstractNumId w:val="2"/>
  </w:num>
  <w:num w:numId="8" w16cid:durableId="1660428192">
    <w:abstractNumId w:val="1"/>
  </w:num>
  <w:num w:numId="9" w16cid:durableId="105311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44E0E"/>
    <w:rsid w:val="009C17A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F857D1"/>
  <w14:defaultImageDpi w14:val="300"/>
  <w15:docId w15:val="{C03332FF-3304-2545-AF89-7F2969F1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FD25274FF614D9AD9948BF9826FA1" ma:contentTypeVersion="15" ma:contentTypeDescription="Create a new document." ma:contentTypeScope="" ma:versionID="b2c0c92de2d7228006e156efc0bf0ea5">
  <xsd:schema xmlns:xsd="http://www.w3.org/2001/XMLSchema" xmlns:xs="http://www.w3.org/2001/XMLSchema" xmlns:p="http://schemas.microsoft.com/office/2006/metadata/properties" xmlns:ns2="1f4d603b-32dc-4406-aba7-e43eb4ea65e5" xmlns:ns3="903539dd-7d01-4150-b240-197668adad20" targetNamespace="http://schemas.microsoft.com/office/2006/metadata/properties" ma:root="true" ma:fieldsID="d46bbf63f4f1f6f8f5ab93608c9447a4" ns2:_="" ns3:_="">
    <xsd:import namespace="1f4d603b-32dc-4406-aba7-e43eb4ea65e5"/>
    <xsd:import namespace="903539dd-7d01-4150-b240-197668ada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d603b-32dc-4406-aba7-e43eb4ea6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719f068-bd4e-4b75-a932-eb5e6debf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539dd-7d01-4150-b240-197668ada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ff6efac-f8e7-4152-b933-e8d8036ce6b7}" ma:internalName="TaxCatchAll" ma:showField="CatchAllData" ma:web="903539dd-7d01-4150-b240-197668ada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4d603b-32dc-4406-aba7-e43eb4ea65e5">
      <Terms xmlns="http://schemas.microsoft.com/office/infopath/2007/PartnerControls"/>
    </lcf76f155ced4ddcb4097134ff3c332f>
    <TaxCatchAll xmlns="903539dd-7d01-4150-b240-197668adad20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354A01-7461-4377-8E4E-53D51827E175}"/>
</file>

<file path=customXml/itemProps3.xml><?xml version="1.0" encoding="utf-8"?>
<ds:datastoreItem xmlns:ds="http://schemas.openxmlformats.org/officeDocument/2006/customXml" ds:itemID="{667A7083-645D-4550-8347-A25631860AEC}"/>
</file>

<file path=customXml/itemProps4.xml><?xml version="1.0" encoding="utf-8"?>
<ds:datastoreItem xmlns:ds="http://schemas.openxmlformats.org/officeDocument/2006/customXml" ds:itemID="{C0C12E75-B989-46F2-B812-F6F7810DDF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Kirk Buffington</cp:lastModifiedBy>
  <cp:revision>2</cp:revision>
  <dcterms:created xsi:type="dcterms:W3CDTF">2025-11-04T17:09:00Z</dcterms:created>
  <dcterms:modified xsi:type="dcterms:W3CDTF">2025-11-04T17:09:00Z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0x0101006CCFD25274FF614D9AD9948BF9826FA1</vt:lpwstr>
  </property>
</Properties>
</file>