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A04F" w14:textId="77777777" w:rsidR="00F60120" w:rsidRPr="00F60120" w:rsidRDefault="00F60120" w:rsidP="00F60120">
      <w:pPr>
        <w:pStyle w:val="Heading1"/>
        <w:spacing w:before="240" w:after="240"/>
        <w:jc w:val="center"/>
        <w:rPr>
          <w:rFonts w:ascii="Arial Black" w:hAnsi="Arial Black"/>
          <w:b w:val="0"/>
          <w:bCs w:val="0"/>
          <w:color w:val="auto"/>
          <w:sz w:val="32"/>
          <w:szCs w:val="32"/>
        </w:rPr>
      </w:pPr>
      <w:bookmarkStart w:id="0" w:name="_Toc155648441"/>
      <w:r w:rsidRPr="00F60120">
        <w:rPr>
          <w:rFonts w:ascii="Arial Black" w:hAnsi="Arial Black"/>
          <w:b w:val="0"/>
          <w:bCs w:val="0"/>
          <w:i/>
          <w:iCs/>
          <w:color w:val="auto"/>
          <w:sz w:val="32"/>
          <w:szCs w:val="32"/>
        </w:rPr>
        <w:t xml:space="preserve">Tinker v. Des Moines Independent </w:t>
      </w:r>
      <w:r w:rsidRPr="00F60120">
        <w:rPr>
          <w:rFonts w:ascii="Arial Black" w:hAnsi="Arial Black"/>
          <w:b w:val="0"/>
          <w:bCs w:val="0"/>
          <w:i/>
          <w:iCs/>
          <w:color w:val="auto"/>
          <w:sz w:val="32"/>
          <w:szCs w:val="32"/>
        </w:rPr>
        <w:br/>
        <w:t>Community School District</w:t>
      </w:r>
      <w:r w:rsidRPr="00F60120">
        <w:rPr>
          <w:rFonts w:ascii="Arial Black" w:hAnsi="Arial Black"/>
          <w:b w:val="0"/>
          <w:bCs w:val="0"/>
          <w:color w:val="auto"/>
          <w:sz w:val="32"/>
          <w:szCs w:val="32"/>
        </w:rPr>
        <w:t xml:space="preserve"> (1969)</w:t>
      </w:r>
      <w:bookmarkEnd w:id="0"/>
    </w:p>
    <w:p w14:paraId="618BDD59" w14:textId="77777777" w:rsidR="00F60120" w:rsidRPr="00ED7038" w:rsidRDefault="00F60120" w:rsidP="00F60120">
      <w:pPr>
        <w:pStyle w:val="Argueddecideddatessl"/>
        <w:spacing w:after="120"/>
      </w:pPr>
      <w:r>
        <w:t>Argued</w:t>
      </w:r>
      <w:r w:rsidRPr="00ED7038">
        <w:t xml:space="preserve">: </w:t>
      </w:r>
      <w:r w:rsidRPr="000C27F2">
        <w:rPr>
          <w:b w:val="0"/>
          <w:bCs/>
        </w:rPr>
        <w:t>November 12, 1968</w:t>
      </w:r>
    </w:p>
    <w:p w14:paraId="4DB799D7" w14:textId="77777777" w:rsidR="00F60120" w:rsidRPr="00ED7038" w:rsidRDefault="00F60120" w:rsidP="00F60120">
      <w:pPr>
        <w:pStyle w:val="Argueddecideddatessl"/>
        <w:spacing w:after="120"/>
      </w:pPr>
      <w:r>
        <w:t>Decided</w:t>
      </w:r>
      <w:r w:rsidRPr="00ED7038">
        <w:t xml:space="preserve">: </w:t>
      </w:r>
      <w:r w:rsidRPr="000C27F2">
        <w:rPr>
          <w:b w:val="0"/>
          <w:bCs/>
        </w:rPr>
        <w:t>February 24, 1969</w:t>
      </w:r>
    </w:p>
    <w:p w14:paraId="06B91384" w14:textId="77777777" w:rsidR="00BF1951" w:rsidRPr="00C85822" w:rsidRDefault="00BF1951" w:rsidP="00C85822">
      <w:pPr>
        <w:pStyle w:val="Subhead2sl"/>
        <w:spacing w:line="276" w:lineRule="auto"/>
        <w:rPr>
          <w:rFonts w:ascii="Arial Black" w:hAnsi="Arial Black" w:cs="Calibri"/>
          <w:b w:val="0"/>
          <w:bCs/>
          <w:i w:val="0"/>
          <w:iCs/>
          <w:sz w:val="28"/>
          <w:szCs w:val="28"/>
        </w:rPr>
      </w:pPr>
      <w:r w:rsidRPr="00C85822">
        <w:rPr>
          <w:rFonts w:ascii="Arial Black" w:hAnsi="Arial Black" w:cs="Calibri"/>
          <w:b w:val="0"/>
          <w:bCs/>
          <w:i w:val="0"/>
          <w:iCs/>
          <w:sz w:val="28"/>
          <w:szCs w:val="28"/>
        </w:rPr>
        <w:t>Background and Facts</w:t>
      </w:r>
    </w:p>
    <w:p w14:paraId="052E5D43" w14:textId="77777777" w:rsidR="00BF1951" w:rsidRPr="00C85822" w:rsidRDefault="00BF1951" w:rsidP="00C85822">
      <w:pPr>
        <w:pStyle w:val="Basiccopysl"/>
        <w:rPr>
          <w:rFonts w:ascii="Calibri" w:hAnsi="Calibri" w:cs="Calibri"/>
          <w:sz w:val="22"/>
          <w:szCs w:val="22"/>
        </w:rPr>
      </w:pPr>
      <w:r w:rsidRPr="00C85822">
        <w:rPr>
          <w:rFonts w:ascii="Calibri" w:hAnsi="Calibri" w:cs="Calibri"/>
          <w:sz w:val="22"/>
          <w:szCs w:val="22"/>
        </w:rPr>
        <w:t xml:space="preserve">In 1966, in Des Moines, Iowa, five students ages 13–16 decided to show that they disagreed with the </w:t>
      </w:r>
      <w:r w:rsidRPr="00C85822">
        <w:rPr>
          <w:rFonts w:ascii="Calibri" w:hAnsi="Calibri" w:cs="Calibri"/>
          <w:b/>
          <w:bCs/>
          <w:sz w:val="22"/>
          <w:szCs w:val="22"/>
          <w:u w:val="single"/>
        </w:rPr>
        <w:t>Vietnam War</w:t>
      </w:r>
      <w:r w:rsidRPr="00C85822">
        <w:rPr>
          <w:rFonts w:ascii="Calibri" w:hAnsi="Calibri" w:cs="Calibri"/>
          <w:sz w:val="22"/>
          <w:szCs w:val="22"/>
        </w:rPr>
        <w:t xml:space="preserve">. The students planned to wear black armbands to school for two weeks. The school district found out about the students’ plan. Before the students wore the armbands, the school district announced that any student who wore a black armband would be suspended from school after the student’s parents were called. </w:t>
      </w:r>
    </w:p>
    <w:p w14:paraId="5EBC908E" w14:textId="77777777" w:rsidR="00BF1951" w:rsidRPr="00C85822" w:rsidRDefault="00BF1951" w:rsidP="00C85822">
      <w:pPr>
        <w:pStyle w:val="Basiccopysl"/>
        <w:rPr>
          <w:rFonts w:ascii="Calibri" w:hAnsi="Calibri" w:cs="Calibri"/>
          <w:sz w:val="22"/>
          <w:szCs w:val="22"/>
        </w:rPr>
      </w:pPr>
      <w:r w:rsidRPr="00C85822">
        <w:rPr>
          <w:rFonts w:ascii="Calibri" w:hAnsi="Calibri" w:cs="Calibri"/>
          <w:sz w:val="22"/>
          <w:szCs w:val="22"/>
        </w:rPr>
        <w:t xml:space="preserve">Mary Beth Tinker, an eighth grader, and John Tinker and Christopher Eckardt, both high school students, wore black armbands to school. All three teens were sent home for breaking the rule and told not to return until they agreed not to wear the armbands. Their parents </w:t>
      </w:r>
      <w:r w:rsidRPr="00C85822">
        <w:rPr>
          <w:rFonts w:ascii="Calibri" w:hAnsi="Calibri" w:cs="Calibri"/>
          <w:b/>
          <w:bCs/>
          <w:sz w:val="22"/>
          <w:szCs w:val="22"/>
          <w:u w:val="single"/>
        </w:rPr>
        <w:t>sued</w:t>
      </w:r>
      <w:r w:rsidRPr="00C85822">
        <w:rPr>
          <w:rFonts w:ascii="Calibri" w:hAnsi="Calibri" w:cs="Calibri"/>
          <w:sz w:val="22"/>
          <w:szCs w:val="22"/>
        </w:rPr>
        <w:t xml:space="preserve"> the school district for violating the students’ First Amendment right to free speech. The federal District Court dismissed the case and ruled that the school district’s actions were reasonable to uphold school discipline. The U.S. Court of Appeals for the Eighth Circuit also found for the school. The Tinkers asked the U.S. Supreme Court to review that decision, and the Court agreed to hear the case.</w:t>
      </w:r>
    </w:p>
    <w:p w14:paraId="030280CA" w14:textId="77777777" w:rsidR="00BF1951" w:rsidRPr="00C85822" w:rsidRDefault="00BF1951" w:rsidP="00C85822">
      <w:pPr>
        <w:pStyle w:val="Subhead2sl"/>
        <w:spacing w:line="276" w:lineRule="auto"/>
        <w:rPr>
          <w:rFonts w:ascii="Arial Black" w:hAnsi="Arial Black" w:cs="Calibri"/>
          <w:b w:val="0"/>
          <w:bCs/>
          <w:i w:val="0"/>
          <w:iCs/>
          <w:sz w:val="28"/>
          <w:szCs w:val="28"/>
        </w:rPr>
      </w:pPr>
      <w:r w:rsidRPr="00C85822">
        <w:rPr>
          <w:rFonts w:ascii="Arial Black" w:hAnsi="Arial Black" w:cs="Calibri"/>
          <w:b w:val="0"/>
          <w:bCs/>
          <w:i w:val="0"/>
          <w:iCs/>
          <w:sz w:val="28"/>
          <w:szCs w:val="28"/>
        </w:rPr>
        <w:t>Constitutional Question</w:t>
      </w:r>
    </w:p>
    <w:p w14:paraId="121379C3" w14:textId="77777777" w:rsidR="00BF1951" w:rsidRPr="00C85822" w:rsidRDefault="00BF1951" w:rsidP="00C85822">
      <w:pPr>
        <w:pStyle w:val="Basiccopysl"/>
        <w:rPr>
          <w:rFonts w:ascii="Calibri" w:hAnsi="Calibri" w:cs="Calibri"/>
          <w:sz w:val="22"/>
          <w:szCs w:val="22"/>
        </w:rPr>
      </w:pPr>
      <w:r w:rsidRPr="00C85822">
        <w:rPr>
          <w:rFonts w:ascii="Calibri" w:hAnsi="Calibri" w:cs="Calibri"/>
          <w:sz w:val="22"/>
          <w:szCs w:val="22"/>
        </w:rPr>
        <w:t xml:space="preserve">Does a rule prohibiting the wearing of armbands in a public school as a form of </w:t>
      </w:r>
      <w:r w:rsidRPr="00C85822">
        <w:rPr>
          <w:rFonts w:ascii="Calibri" w:hAnsi="Calibri" w:cs="Calibri"/>
          <w:b/>
          <w:bCs/>
          <w:sz w:val="22"/>
          <w:szCs w:val="22"/>
          <w:u w:val="single"/>
        </w:rPr>
        <w:t>symbolic speech</w:t>
      </w:r>
      <w:r w:rsidRPr="00C85822">
        <w:rPr>
          <w:rFonts w:ascii="Calibri" w:hAnsi="Calibri" w:cs="Calibri"/>
          <w:sz w:val="22"/>
          <w:szCs w:val="22"/>
        </w:rPr>
        <w:t xml:space="preserve"> violate the students’ First Amendment freedom of speech protections?</w:t>
      </w:r>
    </w:p>
    <w:p w14:paraId="1032E00C" w14:textId="77777777" w:rsidR="00BF1951" w:rsidRPr="00C85822" w:rsidRDefault="00BF1951" w:rsidP="00C85822">
      <w:pPr>
        <w:pStyle w:val="Subhead2sl"/>
        <w:spacing w:line="276" w:lineRule="auto"/>
        <w:rPr>
          <w:rFonts w:ascii="Arial Black" w:hAnsi="Arial Black" w:cs="Calibri"/>
          <w:b w:val="0"/>
          <w:bCs/>
          <w:i w:val="0"/>
          <w:iCs/>
          <w:sz w:val="28"/>
          <w:szCs w:val="28"/>
        </w:rPr>
      </w:pPr>
      <w:r w:rsidRPr="00C85822">
        <w:rPr>
          <w:rFonts w:ascii="Arial Black" w:hAnsi="Arial Black" w:cs="Calibri"/>
          <w:b w:val="0"/>
          <w:bCs/>
          <w:i w:val="0"/>
          <w:iCs/>
          <w:sz w:val="28"/>
          <w:szCs w:val="28"/>
        </w:rPr>
        <w:t>Arguments for Tinker (petitioner)</w:t>
      </w:r>
    </w:p>
    <w:p w14:paraId="0AC9EB4D"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highlight w:val="white"/>
        </w:rPr>
        <w:t xml:space="preserve">Students, whether in or out of school, are “persons” under the Constitution. They possess </w:t>
      </w:r>
      <w:r w:rsidRPr="00C85822">
        <w:rPr>
          <w:rFonts w:ascii="Calibri" w:hAnsi="Calibri" w:cs="Calibri"/>
          <w:b/>
          <w:bCs/>
          <w:sz w:val="22"/>
          <w:szCs w:val="22"/>
        </w:rPr>
        <w:t>essential rights</w:t>
      </w:r>
      <w:r w:rsidRPr="00C85822">
        <w:rPr>
          <w:rFonts w:ascii="Calibri" w:hAnsi="Calibri" w:cs="Calibri"/>
          <w:sz w:val="22"/>
          <w:szCs w:val="22"/>
        </w:rPr>
        <w:t xml:space="preserve"> </w:t>
      </w:r>
      <w:r w:rsidRPr="00C85822">
        <w:rPr>
          <w:rFonts w:ascii="Calibri" w:hAnsi="Calibri" w:cs="Calibri"/>
          <w:sz w:val="22"/>
          <w:szCs w:val="22"/>
          <w:highlight w:val="white"/>
        </w:rPr>
        <w:t xml:space="preserve">that the government must respect. </w:t>
      </w:r>
      <w:r w:rsidRPr="00C85822">
        <w:rPr>
          <w:rFonts w:ascii="Calibri" w:hAnsi="Calibri" w:cs="Calibri"/>
          <w:sz w:val="22"/>
          <w:szCs w:val="22"/>
        </w:rPr>
        <w:t xml:space="preserve">This includes First Amendment freedom of speech protections. </w:t>
      </w:r>
    </w:p>
    <w:p w14:paraId="7F54B2A0"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 xml:space="preserve">The </w:t>
      </w:r>
      <w:r w:rsidRPr="00C85822">
        <w:rPr>
          <w:rFonts w:ascii="Calibri" w:hAnsi="Calibri" w:cs="Calibri"/>
          <w:b/>
          <w:bCs/>
          <w:sz w:val="22"/>
          <w:szCs w:val="22"/>
        </w:rPr>
        <w:t>14</w:t>
      </w:r>
      <w:r w:rsidRPr="00C85822">
        <w:rPr>
          <w:rFonts w:ascii="Calibri" w:hAnsi="Calibri" w:cs="Calibri"/>
          <w:b/>
          <w:bCs/>
          <w:sz w:val="22"/>
          <w:szCs w:val="22"/>
          <w:vertAlign w:val="superscript"/>
        </w:rPr>
        <w:t>th</w:t>
      </w:r>
      <w:r w:rsidRPr="00C85822">
        <w:rPr>
          <w:rFonts w:ascii="Calibri" w:hAnsi="Calibri" w:cs="Calibri"/>
          <w:b/>
          <w:bCs/>
          <w:sz w:val="22"/>
          <w:szCs w:val="22"/>
        </w:rPr>
        <w:t xml:space="preserve"> Amendment</w:t>
      </w:r>
      <w:r w:rsidRPr="00C85822">
        <w:rPr>
          <w:rFonts w:ascii="Calibri" w:hAnsi="Calibri" w:cs="Calibri"/>
          <w:sz w:val="22"/>
          <w:szCs w:val="22"/>
        </w:rPr>
        <w:t xml:space="preserve"> protects people from state and local governments (including schools) violating their First Amendment right to free speech. </w:t>
      </w:r>
    </w:p>
    <w:p w14:paraId="6F55932B"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Wearing the armbands was a form of speech. Even though the students did not use words, their actions (wearing the armbands) expressed their opinions about the war.</w:t>
      </w:r>
      <w:r w:rsidRPr="00C85822">
        <w:rPr>
          <w:rFonts w:ascii="Calibri" w:hAnsi="Calibri" w:cs="Calibri"/>
          <w:sz w:val="22"/>
          <w:szCs w:val="22"/>
          <w:highlight w:val="white"/>
        </w:rPr>
        <w:t xml:space="preserve"> </w:t>
      </w:r>
    </w:p>
    <w:p w14:paraId="40FBB9F4"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 xml:space="preserve">The students’ speech was not disruptive and did not violate any other student’s rights. The school district gave no evidence that the armbands were a distraction or disrupted the learning </w:t>
      </w:r>
      <w:r w:rsidRPr="00C85822">
        <w:rPr>
          <w:rFonts w:ascii="Calibri" w:hAnsi="Calibri" w:cs="Calibri"/>
          <w:sz w:val="22"/>
          <w:szCs w:val="22"/>
        </w:rPr>
        <w:lastRenderedPageBreak/>
        <w:t>process. Just because the schools were afraid that there might be a disruption is not enough to</w:t>
      </w:r>
      <w:r w:rsidRPr="00C85822">
        <w:rPr>
          <w:rFonts w:ascii="Calibri" w:hAnsi="Calibri" w:cs="Calibri"/>
          <w:b/>
          <w:bCs/>
          <w:sz w:val="22"/>
          <w:szCs w:val="22"/>
        </w:rPr>
        <w:t xml:space="preserve"> </w:t>
      </w:r>
      <w:r w:rsidRPr="00C85822">
        <w:rPr>
          <w:rFonts w:ascii="Calibri" w:hAnsi="Calibri" w:cs="Calibri"/>
          <w:b/>
          <w:bCs/>
          <w:sz w:val="22"/>
          <w:szCs w:val="22"/>
          <w:u w:val="single"/>
        </w:rPr>
        <w:t>infringe</w:t>
      </w:r>
      <w:r w:rsidRPr="00C85822">
        <w:rPr>
          <w:rFonts w:ascii="Calibri" w:hAnsi="Calibri" w:cs="Calibri"/>
          <w:sz w:val="22"/>
          <w:szCs w:val="22"/>
        </w:rPr>
        <w:t xml:space="preserve"> students’ speech. </w:t>
      </w:r>
    </w:p>
    <w:p w14:paraId="14199DAF"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 xml:space="preserve">Schools are meant to act as a place for the discussion of different ideas. Allowing students to express their opinions is a key part of the educational process. </w:t>
      </w:r>
    </w:p>
    <w:p w14:paraId="35C30676" w14:textId="77777777" w:rsidR="00BF1951" w:rsidRPr="00C85822" w:rsidRDefault="00BF1951" w:rsidP="00C85822">
      <w:pPr>
        <w:pStyle w:val="Subhead2sl"/>
        <w:spacing w:line="276" w:lineRule="auto"/>
        <w:rPr>
          <w:rFonts w:ascii="Arial Black" w:hAnsi="Arial Black" w:cs="Calibri"/>
          <w:b w:val="0"/>
          <w:bCs/>
          <w:i w:val="0"/>
          <w:iCs/>
          <w:sz w:val="28"/>
          <w:szCs w:val="28"/>
        </w:rPr>
      </w:pPr>
      <w:r w:rsidRPr="00C85822">
        <w:rPr>
          <w:rFonts w:ascii="Arial Black" w:hAnsi="Arial Black" w:cs="Calibri"/>
          <w:b w:val="0"/>
          <w:bCs/>
          <w:i w:val="0"/>
          <w:iCs/>
          <w:sz w:val="28"/>
          <w:szCs w:val="28"/>
        </w:rPr>
        <w:t>Arguments for Des Moines Independent Community School District (respondent)</w:t>
      </w:r>
    </w:p>
    <w:p w14:paraId="15DBA613"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Free speech rights do not apply to all speech. The First Amendment does not say that anyone may say anything, at any place, at any time. Schools are not an appropriate setting for protest.</w:t>
      </w:r>
    </w:p>
    <w:p w14:paraId="267EEC23"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The purpose of a school is to teach certain subjects. The school district had a reasonable interest in making sure that learning is the focus of classrooms, so it acted appropriately when it banned the armbands.</w:t>
      </w:r>
    </w:p>
    <w:p w14:paraId="6E35CE42"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The Vietnam War is a controversial issue. Wearing the armbands could be an explosive situation that disrupts learning. It is the school district’s duty to prevent disruptions to learning.</w:t>
      </w:r>
    </w:p>
    <w:p w14:paraId="2136A820"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Sharing controversial opinions in class or in school areas such as the hallways and lunchrooms, may lead to bullying or violence towards the protesting students. By banning the armbands, the school district hoped to prevent this behavior and protect the safety of all students.</w:t>
      </w:r>
    </w:p>
    <w:p w14:paraId="48DC87B3" w14:textId="77777777" w:rsidR="00BF1951" w:rsidRPr="00C85822" w:rsidRDefault="00BF1951" w:rsidP="00C85822">
      <w:pPr>
        <w:pStyle w:val="Bulletsl"/>
        <w:numPr>
          <w:ilvl w:val="0"/>
          <w:numId w:val="9"/>
        </w:numPr>
        <w:spacing w:line="276" w:lineRule="auto"/>
        <w:rPr>
          <w:rFonts w:ascii="Calibri" w:hAnsi="Calibri" w:cs="Calibri"/>
          <w:sz w:val="22"/>
          <w:szCs w:val="22"/>
        </w:rPr>
      </w:pPr>
      <w:r w:rsidRPr="00C85822">
        <w:rPr>
          <w:rFonts w:ascii="Calibri" w:hAnsi="Calibri" w:cs="Calibri"/>
          <w:sz w:val="22"/>
          <w:szCs w:val="22"/>
        </w:rPr>
        <w:t xml:space="preserve">The school district did not ban all types of speech, just </w:t>
      </w:r>
      <w:proofErr w:type="gramStart"/>
      <w:r w:rsidRPr="00C85822">
        <w:rPr>
          <w:rFonts w:ascii="Calibri" w:hAnsi="Calibri" w:cs="Calibri"/>
          <w:sz w:val="22"/>
          <w:szCs w:val="22"/>
        </w:rPr>
        <w:t>the armbands</w:t>
      </w:r>
      <w:proofErr w:type="gramEnd"/>
      <w:r w:rsidRPr="00C85822">
        <w:rPr>
          <w:rFonts w:ascii="Calibri" w:hAnsi="Calibri" w:cs="Calibri"/>
          <w:sz w:val="22"/>
          <w:szCs w:val="22"/>
        </w:rPr>
        <w:t xml:space="preserve">. They were banned because of their controversial nature and potential for major disruption. Students could still share opinions in other ways. For example, they could wear political messages such as “Vote for Candidate X” buttons. </w:t>
      </w:r>
    </w:p>
    <w:p w14:paraId="4F4EC115" w14:textId="77777777" w:rsidR="00BF1951" w:rsidRPr="00C85822" w:rsidRDefault="00BF1951" w:rsidP="00C85822">
      <w:pPr>
        <w:pStyle w:val="Subhead2sl"/>
        <w:spacing w:line="276" w:lineRule="auto"/>
        <w:rPr>
          <w:rFonts w:ascii="Arial Black" w:hAnsi="Arial Black" w:cs="Calibri"/>
          <w:b w:val="0"/>
          <w:bCs/>
          <w:i w:val="0"/>
          <w:iCs/>
          <w:sz w:val="28"/>
          <w:szCs w:val="28"/>
        </w:rPr>
      </w:pPr>
      <w:r w:rsidRPr="00C85822">
        <w:rPr>
          <w:rFonts w:ascii="Arial Black" w:hAnsi="Arial Black" w:cs="Calibri"/>
          <w:b w:val="0"/>
          <w:bCs/>
          <w:i w:val="0"/>
          <w:iCs/>
          <w:sz w:val="28"/>
          <w:szCs w:val="28"/>
        </w:rPr>
        <w:t xml:space="preserve">Decision </w:t>
      </w:r>
    </w:p>
    <w:p w14:paraId="1B52216A" w14:textId="77777777" w:rsidR="00BF1951" w:rsidRPr="00C85822" w:rsidRDefault="00BF1951" w:rsidP="00C85822">
      <w:pPr>
        <w:pStyle w:val="Basiccopysl"/>
        <w:rPr>
          <w:rFonts w:ascii="Calibri" w:hAnsi="Calibri" w:cs="Calibri"/>
          <w:sz w:val="22"/>
          <w:szCs w:val="22"/>
        </w:rPr>
      </w:pPr>
      <w:r w:rsidRPr="00C85822">
        <w:rPr>
          <w:rFonts w:ascii="Calibri" w:hAnsi="Calibri" w:cs="Calibri"/>
          <w:sz w:val="22"/>
          <w:szCs w:val="22"/>
        </w:rPr>
        <w:t>The Supreme Court ruled in favor of the students, 7–2. The justices said that students have their constitutional right to freedom of speech while in public schools. They said that wearing the armbands was a form of speech, because they expressed the students’ views about the war. The Court said, “</w:t>
      </w:r>
      <w:r w:rsidRPr="00C85822">
        <w:rPr>
          <w:rFonts w:ascii="Calibri" w:hAnsi="Calibri" w:cs="Calibri"/>
          <w:sz w:val="22"/>
          <w:szCs w:val="22"/>
          <w:highlight w:val="white"/>
        </w:rPr>
        <w:t xml:space="preserve">First Amendment rights, applied </w:t>
      </w:r>
      <w:proofErr w:type="gramStart"/>
      <w:r w:rsidRPr="00C85822">
        <w:rPr>
          <w:rFonts w:ascii="Calibri" w:hAnsi="Calibri" w:cs="Calibri"/>
          <w:sz w:val="22"/>
          <w:szCs w:val="22"/>
          <w:highlight w:val="white"/>
        </w:rPr>
        <w:t>in light of</w:t>
      </w:r>
      <w:proofErr w:type="gramEnd"/>
      <w:r w:rsidRPr="00C85822">
        <w:rPr>
          <w:rFonts w:ascii="Calibri" w:hAnsi="Calibri" w:cs="Calibri"/>
          <w:sz w:val="22"/>
          <w:szCs w:val="22"/>
          <w:highlight w:val="white"/>
        </w:rPr>
        <w:t xml:space="preserve"> the special characteristics of the school environment, are available to teachers and students. It can hardly be argued that either students or teachers shed their constitutional rights to freedom of speech or expression at the schoolhouse gate </w:t>
      </w:r>
      <w:r w:rsidRPr="00C85822">
        <w:rPr>
          <w:rFonts w:ascii="Calibri" w:hAnsi="Calibri" w:cs="Calibri"/>
          <w:sz w:val="22"/>
          <w:szCs w:val="22"/>
          <w:highlight w:val="white"/>
        </w:rPr>
        <w:br/>
      </w:r>
      <w:proofErr w:type="gramStart"/>
      <w:r w:rsidRPr="00C85822">
        <w:rPr>
          <w:rFonts w:ascii="Calibri" w:hAnsi="Calibri" w:cs="Calibri"/>
          <w:sz w:val="22"/>
          <w:szCs w:val="22"/>
          <w:highlight w:val="white"/>
        </w:rPr>
        <w:t>. . . .</w:t>
      </w:r>
      <w:proofErr w:type="gramEnd"/>
      <w:r w:rsidRPr="00C85822">
        <w:rPr>
          <w:rFonts w:ascii="Calibri" w:hAnsi="Calibri" w:cs="Calibri"/>
          <w:sz w:val="22"/>
          <w:szCs w:val="22"/>
          <w:highlight w:val="white"/>
        </w:rPr>
        <w:t xml:space="preserve"> ” </w:t>
      </w:r>
    </w:p>
    <w:p w14:paraId="38D8B0BB" w14:textId="77777777" w:rsidR="00BF1951" w:rsidRPr="00C85822" w:rsidRDefault="00BF1951" w:rsidP="00C85822">
      <w:pPr>
        <w:pStyle w:val="Basiccopysl"/>
        <w:rPr>
          <w:rFonts w:ascii="Calibri" w:hAnsi="Calibri" w:cs="Calibri"/>
          <w:sz w:val="22"/>
          <w:szCs w:val="22"/>
        </w:rPr>
      </w:pPr>
      <w:r w:rsidRPr="00C85822">
        <w:rPr>
          <w:rFonts w:ascii="Calibri" w:hAnsi="Calibri" w:cs="Calibri"/>
          <w:sz w:val="22"/>
          <w:szCs w:val="22"/>
        </w:rPr>
        <w:t xml:space="preserve">The Supreme Court emphasized that this does not mean that schools can never limit students’ speech. If schools can reasonably predict that the speech would cause a </w:t>
      </w:r>
      <w:r w:rsidRPr="00C85822">
        <w:rPr>
          <w:rFonts w:ascii="Calibri" w:hAnsi="Calibri" w:cs="Calibri"/>
          <w:b/>
          <w:bCs/>
          <w:sz w:val="22"/>
          <w:szCs w:val="22"/>
          <w:u w:val="single"/>
        </w:rPr>
        <w:t>substantial</w:t>
      </w:r>
      <w:r w:rsidRPr="00C85822">
        <w:rPr>
          <w:rFonts w:ascii="Calibri" w:hAnsi="Calibri" w:cs="Calibri"/>
          <w:sz w:val="22"/>
          <w:szCs w:val="22"/>
        </w:rPr>
        <w:t xml:space="preserve"> disruption to the discipline and educational function of the school, then schools may limit the speech. This has become known as the “</w:t>
      </w:r>
      <w:r w:rsidRPr="00C85822">
        <w:rPr>
          <w:rFonts w:ascii="Calibri" w:hAnsi="Calibri" w:cs="Calibri"/>
          <w:b/>
          <w:bCs/>
          <w:sz w:val="22"/>
          <w:szCs w:val="22"/>
          <w:u w:val="single"/>
        </w:rPr>
        <w:t>Tinker test</w:t>
      </w:r>
      <w:r w:rsidRPr="00C85822">
        <w:rPr>
          <w:rFonts w:ascii="Calibri" w:hAnsi="Calibri" w:cs="Calibri"/>
          <w:sz w:val="22"/>
          <w:szCs w:val="22"/>
        </w:rPr>
        <w:t xml:space="preserve">.” In this case, though, there was no evidence that the armbands would disrupt the learning process or the rights of other students. </w:t>
      </w:r>
    </w:p>
    <w:p w14:paraId="6C00CBE0" w14:textId="77777777" w:rsidR="00BF1951" w:rsidRPr="00C85822" w:rsidRDefault="00BF1951" w:rsidP="00C85822">
      <w:pPr>
        <w:pStyle w:val="Basiccopysl"/>
        <w:rPr>
          <w:rFonts w:ascii="Calibri" w:hAnsi="Calibri" w:cs="Calibri"/>
          <w:sz w:val="22"/>
          <w:szCs w:val="22"/>
        </w:rPr>
      </w:pPr>
    </w:p>
    <w:p w14:paraId="759A3753" w14:textId="77777777" w:rsidR="00BF1951" w:rsidRPr="00C85822" w:rsidRDefault="00BF1951" w:rsidP="00C85822">
      <w:pPr>
        <w:pStyle w:val="Subhead2sl"/>
        <w:spacing w:line="276" w:lineRule="auto"/>
        <w:rPr>
          <w:rFonts w:ascii="Arial Black" w:hAnsi="Arial Black" w:cs="Calibri"/>
          <w:b w:val="0"/>
          <w:bCs/>
          <w:i w:val="0"/>
          <w:iCs/>
          <w:sz w:val="28"/>
          <w:szCs w:val="28"/>
        </w:rPr>
      </w:pPr>
      <w:r w:rsidRPr="00C85822">
        <w:rPr>
          <w:rFonts w:ascii="Arial Black" w:hAnsi="Arial Black" w:cs="Calibri"/>
          <w:b w:val="0"/>
          <w:bCs/>
          <w:i w:val="0"/>
          <w:iCs/>
          <w:sz w:val="28"/>
          <w:szCs w:val="28"/>
        </w:rPr>
        <w:lastRenderedPageBreak/>
        <w:t>Impact of the Case</w:t>
      </w:r>
    </w:p>
    <w:p w14:paraId="38495B2C" w14:textId="77777777" w:rsidR="00BF1951" w:rsidRPr="00C85822" w:rsidRDefault="00BF1951" w:rsidP="00C85822">
      <w:pPr>
        <w:pStyle w:val="Basiccopysl"/>
        <w:rPr>
          <w:rFonts w:ascii="Calibri" w:hAnsi="Calibri" w:cs="Calibri"/>
          <w:sz w:val="22"/>
          <w:szCs w:val="22"/>
        </w:rPr>
      </w:pPr>
      <w:r w:rsidRPr="00C85822">
        <w:rPr>
          <w:rFonts w:ascii="Calibri" w:hAnsi="Calibri" w:cs="Calibri"/>
          <w:i/>
          <w:iCs/>
          <w:sz w:val="22"/>
          <w:szCs w:val="22"/>
        </w:rPr>
        <w:t xml:space="preserve">Tinker v. Des Moines </w:t>
      </w:r>
      <w:r w:rsidRPr="00C85822">
        <w:rPr>
          <w:rFonts w:ascii="Calibri" w:hAnsi="Calibri" w:cs="Calibri"/>
          <w:sz w:val="22"/>
          <w:szCs w:val="22"/>
        </w:rPr>
        <w:t>is still an important decision about free speech rights in schools. Recently, the Tinker test has been used in cases that decided students could wear cancer awareness bracelets and that schools could prohibit students from displaying the Confederate flag.</w:t>
      </w:r>
    </w:p>
    <w:p w14:paraId="713B6FBD" w14:textId="77777777" w:rsidR="00BF1951" w:rsidRPr="00C85822" w:rsidRDefault="00BF1951" w:rsidP="00C85822">
      <w:pPr>
        <w:pStyle w:val="Subhead2sl"/>
        <w:spacing w:line="276" w:lineRule="auto"/>
        <w:rPr>
          <w:rFonts w:ascii="Arial Black" w:hAnsi="Arial Black" w:cs="Calibri"/>
          <w:b w:val="0"/>
          <w:bCs/>
          <w:i w:val="0"/>
          <w:iCs/>
          <w:sz w:val="28"/>
          <w:szCs w:val="28"/>
        </w:rPr>
      </w:pPr>
      <w:r w:rsidRPr="00C85822">
        <w:rPr>
          <w:rFonts w:ascii="Arial Black" w:hAnsi="Arial Black" w:cs="Calibri"/>
          <w:b w:val="0"/>
          <w:bCs/>
          <w:i w:val="0"/>
          <w:iCs/>
          <w:sz w:val="28"/>
          <w:szCs w:val="28"/>
        </w:rPr>
        <w:t>Glossary</w:t>
      </w:r>
    </w:p>
    <w:p w14:paraId="103A8DD0" w14:textId="77777777" w:rsidR="00BF1951" w:rsidRPr="00C85822" w:rsidRDefault="00BF1951" w:rsidP="00C85822">
      <w:pPr>
        <w:pStyle w:val="Bulletsl"/>
        <w:numPr>
          <w:ilvl w:val="0"/>
          <w:numId w:val="9"/>
        </w:numPr>
        <w:spacing w:line="276" w:lineRule="auto"/>
        <w:rPr>
          <w:rStyle w:val="Glossarytermsl"/>
          <w:rFonts w:ascii="Calibri" w:hAnsi="Calibri" w:cs="Calibri"/>
          <w:sz w:val="22"/>
          <w:szCs w:val="22"/>
        </w:rPr>
      </w:pPr>
      <w:r w:rsidRPr="00C85822">
        <w:rPr>
          <w:rStyle w:val="Glossarytermsl"/>
          <w:rFonts w:ascii="Calibri" w:hAnsi="Calibri" w:cs="Calibri"/>
          <w:sz w:val="22"/>
          <w:szCs w:val="22"/>
        </w:rPr>
        <w:t>Infringe:</w:t>
      </w:r>
      <w:r w:rsidRPr="00C85822">
        <w:rPr>
          <w:rStyle w:val="Glossarytermsl"/>
          <w:rFonts w:ascii="Calibri" w:hAnsi="Calibri" w:cs="Calibri"/>
          <w:b w:val="0"/>
          <w:sz w:val="22"/>
          <w:szCs w:val="22"/>
          <w:u w:val="none"/>
        </w:rPr>
        <w:t xml:space="preserve"> intruding on the rights of another.</w:t>
      </w:r>
    </w:p>
    <w:p w14:paraId="315F2A9F" w14:textId="77777777" w:rsidR="00BF1951" w:rsidRPr="00C85822" w:rsidRDefault="00BF1951" w:rsidP="00C85822">
      <w:pPr>
        <w:pStyle w:val="Bulletsl"/>
        <w:numPr>
          <w:ilvl w:val="0"/>
          <w:numId w:val="9"/>
        </w:numPr>
        <w:spacing w:line="276" w:lineRule="auto"/>
        <w:rPr>
          <w:rStyle w:val="Glossarytermsl"/>
          <w:rFonts w:ascii="Calibri" w:hAnsi="Calibri" w:cs="Calibri"/>
          <w:b w:val="0"/>
          <w:bCs/>
          <w:sz w:val="22"/>
          <w:szCs w:val="22"/>
        </w:rPr>
      </w:pPr>
      <w:r w:rsidRPr="00C85822">
        <w:rPr>
          <w:rFonts w:ascii="Calibri" w:hAnsi="Calibri" w:cs="Calibri"/>
          <w:b/>
          <w:sz w:val="22"/>
          <w:szCs w:val="22"/>
          <w:u w:val="single"/>
        </w:rPr>
        <w:t>Substantial</w:t>
      </w:r>
      <w:r w:rsidRPr="00C85822">
        <w:rPr>
          <w:rFonts w:ascii="Calibri" w:hAnsi="Calibri" w:cs="Calibri"/>
          <w:b/>
          <w:bCs/>
          <w:sz w:val="22"/>
          <w:szCs w:val="22"/>
          <w:u w:val="single"/>
        </w:rPr>
        <w:t>:</w:t>
      </w:r>
      <w:r w:rsidRPr="00C85822">
        <w:rPr>
          <w:rFonts w:ascii="Calibri" w:hAnsi="Calibri" w:cs="Calibri"/>
          <w:sz w:val="22"/>
          <w:szCs w:val="22"/>
        </w:rPr>
        <w:t xml:space="preserve"> major, serious, or considerable.</w:t>
      </w:r>
    </w:p>
    <w:p w14:paraId="2AF2E93C" w14:textId="77777777" w:rsidR="00BF1951" w:rsidRPr="00C85822" w:rsidRDefault="00BF1951" w:rsidP="00C85822">
      <w:pPr>
        <w:pStyle w:val="Bulletsl"/>
        <w:numPr>
          <w:ilvl w:val="0"/>
          <w:numId w:val="9"/>
        </w:numPr>
        <w:spacing w:line="276" w:lineRule="auto"/>
        <w:rPr>
          <w:rStyle w:val="Glossarytermsl"/>
          <w:rFonts w:ascii="Calibri" w:hAnsi="Calibri" w:cs="Calibri"/>
          <w:bCs/>
          <w:sz w:val="22"/>
          <w:szCs w:val="22"/>
        </w:rPr>
      </w:pPr>
      <w:r w:rsidRPr="00C85822">
        <w:rPr>
          <w:rStyle w:val="Glossarytermsl"/>
          <w:rFonts w:ascii="Calibri" w:hAnsi="Calibri" w:cs="Calibri"/>
          <w:bCs/>
          <w:sz w:val="22"/>
          <w:szCs w:val="22"/>
        </w:rPr>
        <w:t>Sued</w:t>
      </w:r>
      <w:r w:rsidRPr="00C85822">
        <w:rPr>
          <w:rStyle w:val="Glossarytermsl"/>
          <w:rFonts w:ascii="Calibri" w:hAnsi="Calibri" w:cs="Calibri"/>
          <w:sz w:val="22"/>
          <w:szCs w:val="22"/>
        </w:rPr>
        <w:t>:</w:t>
      </w:r>
      <w:r w:rsidRPr="00C85822">
        <w:rPr>
          <w:rStyle w:val="Glossarytermsl"/>
          <w:rFonts w:ascii="Calibri" w:hAnsi="Calibri" w:cs="Calibri"/>
          <w:bCs/>
          <w:sz w:val="22"/>
          <w:szCs w:val="22"/>
        </w:rPr>
        <w:t xml:space="preserve"> </w:t>
      </w:r>
      <w:r w:rsidRPr="00C85822">
        <w:rPr>
          <w:rFonts w:ascii="Calibri" w:hAnsi="Calibri" w:cs="Calibri"/>
          <w:sz w:val="22"/>
          <w:szCs w:val="22"/>
        </w:rPr>
        <w:t>used the legal process to force a person, company, organization, or government to give you something or do something.</w:t>
      </w:r>
    </w:p>
    <w:p w14:paraId="43EA639C" w14:textId="77777777" w:rsidR="00BF1951" w:rsidRPr="00C85822" w:rsidRDefault="00BF1951" w:rsidP="00C85822">
      <w:pPr>
        <w:pStyle w:val="Bulletsl"/>
        <w:numPr>
          <w:ilvl w:val="0"/>
          <w:numId w:val="9"/>
        </w:numPr>
        <w:spacing w:line="276" w:lineRule="auto"/>
        <w:rPr>
          <w:rStyle w:val="Glossarytermsl"/>
          <w:rFonts w:ascii="Calibri" w:hAnsi="Calibri" w:cs="Calibri"/>
          <w:b w:val="0"/>
          <w:sz w:val="22"/>
          <w:szCs w:val="22"/>
        </w:rPr>
      </w:pPr>
      <w:r w:rsidRPr="00C85822">
        <w:rPr>
          <w:rStyle w:val="Glossarytermsl"/>
          <w:rFonts w:ascii="Calibri" w:hAnsi="Calibri" w:cs="Calibri"/>
          <w:bCs/>
          <w:sz w:val="22"/>
          <w:szCs w:val="22"/>
        </w:rPr>
        <w:t>Symbolic speech</w:t>
      </w:r>
      <w:r w:rsidRPr="00C85822">
        <w:rPr>
          <w:rStyle w:val="Glossarytermsl"/>
          <w:rFonts w:ascii="Calibri" w:hAnsi="Calibri" w:cs="Calibri"/>
          <w:sz w:val="22"/>
          <w:szCs w:val="22"/>
        </w:rPr>
        <w:t>:</w:t>
      </w:r>
      <w:r w:rsidRPr="00C85822">
        <w:rPr>
          <w:rStyle w:val="Glossarytermsl"/>
          <w:rFonts w:ascii="Calibri" w:hAnsi="Calibri" w:cs="Calibri"/>
          <w:b w:val="0"/>
          <w:sz w:val="22"/>
          <w:szCs w:val="22"/>
          <w:u w:val="none"/>
        </w:rPr>
        <w:t xml:space="preserve"> non-verbal actions that convey a message (e.g., burning the flag, sit-ins, and wearing political buttons).</w:t>
      </w:r>
    </w:p>
    <w:p w14:paraId="11FC3616" w14:textId="77777777" w:rsidR="00BF1951" w:rsidRPr="00C85822" w:rsidRDefault="00BF1951" w:rsidP="00C85822">
      <w:pPr>
        <w:pStyle w:val="Bulletsl"/>
        <w:numPr>
          <w:ilvl w:val="0"/>
          <w:numId w:val="9"/>
        </w:numPr>
        <w:spacing w:line="276" w:lineRule="auto"/>
        <w:rPr>
          <w:rFonts w:ascii="Calibri" w:hAnsi="Calibri" w:cs="Calibri"/>
          <w:b/>
          <w:sz w:val="22"/>
          <w:szCs w:val="22"/>
        </w:rPr>
      </w:pPr>
      <w:r w:rsidRPr="00C85822">
        <w:rPr>
          <w:rFonts w:ascii="Calibri" w:hAnsi="Calibri" w:cs="Calibri"/>
          <w:b/>
          <w:sz w:val="22"/>
          <w:szCs w:val="22"/>
          <w:u w:val="single"/>
        </w:rPr>
        <w:t>Tinker test:</w:t>
      </w:r>
      <w:r w:rsidRPr="00C85822">
        <w:rPr>
          <w:rFonts w:ascii="Calibri" w:hAnsi="Calibri" w:cs="Calibri"/>
          <w:sz w:val="22"/>
          <w:szCs w:val="22"/>
        </w:rPr>
        <w:t xml:space="preserve"> used by courts to decide whether student speech causes a substantial disruption to </w:t>
      </w:r>
      <w:proofErr w:type="gramStart"/>
      <w:r w:rsidRPr="00C85822">
        <w:rPr>
          <w:rFonts w:ascii="Calibri" w:hAnsi="Calibri" w:cs="Calibri"/>
          <w:sz w:val="22"/>
          <w:szCs w:val="22"/>
        </w:rPr>
        <w:t>learning</w:t>
      </w:r>
      <w:proofErr w:type="gramEnd"/>
      <w:r w:rsidRPr="00C85822">
        <w:rPr>
          <w:rFonts w:ascii="Calibri" w:hAnsi="Calibri" w:cs="Calibri"/>
          <w:sz w:val="22"/>
          <w:szCs w:val="22"/>
        </w:rPr>
        <w:t>—if it does, the student speech may be prohibited.</w:t>
      </w:r>
    </w:p>
    <w:p w14:paraId="13B39860" w14:textId="4F08C686" w:rsidR="00BF1951" w:rsidRPr="00C85822" w:rsidRDefault="00BF1951" w:rsidP="00C85822">
      <w:pPr>
        <w:pStyle w:val="Bulletsl"/>
        <w:numPr>
          <w:ilvl w:val="0"/>
          <w:numId w:val="9"/>
        </w:numPr>
        <w:spacing w:after="480" w:line="276" w:lineRule="auto"/>
        <w:rPr>
          <w:rFonts w:ascii="Calibri" w:hAnsi="Calibri" w:cs="Calibri"/>
          <w:b/>
          <w:bCs/>
          <w:sz w:val="22"/>
          <w:szCs w:val="22"/>
          <w:u w:val="single"/>
        </w:rPr>
      </w:pPr>
      <w:r w:rsidRPr="00C85822">
        <w:rPr>
          <w:rStyle w:val="Glossarytermsl"/>
          <w:rFonts w:ascii="Calibri" w:hAnsi="Calibri" w:cs="Calibri"/>
          <w:bCs/>
          <w:sz w:val="22"/>
          <w:szCs w:val="22"/>
        </w:rPr>
        <w:t>Vietnam War:</w:t>
      </w:r>
      <w:r w:rsidRPr="00C85822">
        <w:rPr>
          <w:rStyle w:val="Glossarytermsl"/>
          <w:rFonts w:ascii="Calibri" w:hAnsi="Calibri" w:cs="Calibri"/>
          <w:bCs/>
          <w:sz w:val="22"/>
          <w:szCs w:val="22"/>
          <w:u w:val="none"/>
        </w:rPr>
        <w:t xml:space="preserve"> </w:t>
      </w:r>
      <w:r w:rsidRPr="00C85822">
        <w:rPr>
          <w:rFonts w:ascii="Calibri" w:hAnsi="Calibri" w:cs="Calibri"/>
          <w:sz w:val="22"/>
          <w:szCs w:val="22"/>
        </w:rPr>
        <w:t>From 1954–1975, the United States was involved in a war in Vietnam, a country in southwest Asia. The American people were deeply divided in their support for and against the war.</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F60120" w:rsidRPr="00F60120" w14:paraId="1C73D2AD" w14:textId="77777777" w:rsidTr="00BD192A">
        <w:tc>
          <w:tcPr>
            <w:tcW w:w="9350" w:type="dxa"/>
            <w:shd w:val="clear" w:color="auto" w:fill="F2F2F2" w:themeFill="background1" w:themeFillShade="F2"/>
          </w:tcPr>
          <w:p w14:paraId="2E1CA85D" w14:textId="11BE16A9" w:rsidR="00F60120" w:rsidRPr="00F60120" w:rsidRDefault="00F60120" w:rsidP="00F60120">
            <w:pPr>
              <w:pStyle w:val="Basiccopysl"/>
              <w:spacing w:before="120"/>
              <w:rPr>
                <w:rFonts w:ascii="Calibri" w:hAnsi="Calibri" w:cs="Calibri"/>
                <w:sz w:val="22"/>
                <w:szCs w:val="22"/>
              </w:rPr>
            </w:pPr>
            <w:r w:rsidRPr="00F60120">
              <w:rPr>
                <w:rFonts w:ascii="Calibri" w:hAnsi="Calibri" w:cs="Calibri"/>
                <w:sz w:val="22"/>
                <w:szCs w:val="22"/>
              </w:rPr>
              <w:t xml:space="preserve"> Additional information about </w:t>
            </w:r>
            <w:r w:rsidRPr="00F60120">
              <w:rPr>
                <w:rFonts w:ascii="Calibri" w:hAnsi="Calibri" w:cs="Calibri"/>
                <w:i/>
                <w:iCs/>
                <w:sz w:val="22"/>
                <w:szCs w:val="22"/>
              </w:rPr>
              <w:t>Tinker v. Des Moines,</w:t>
            </w:r>
            <w:r w:rsidRPr="00F60120">
              <w:rPr>
                <w:rFonts w:ascii="Calibri" w:hAnsi="Calibri" w:cs="Calibri"/>
                <w:sz w:val="22"/>
                <w:szCs w:val="22"/>
              </w:rPr>
              <w:t xml:space="preserve"> including background at three reading levels, opinion quotes and summaries, teaching activities, and additional resources, can be found at </w:t>
            </w:r>
            <w:hyperlink r:id="rId10" w:history="1">
              <w:r w:rsidRPr="00F60120">
                <w:rPr>
                  <w:rStyle w:val="Hyperlink"/>
                  <w:rFonts w:ascii="Calibri" w:hAnsi="Calibri" w:cs="Calibri"/>
                  <w:color w:val="auto"/>
                  <w:sz w:val="22"/>
                  <w:szCs w:val="22"/>
                </w:rPr>
                <w:t>https://www.landmarkcases.org/</w:t>
              </w:r>
            </w:hyperlink>
            <w:r w:rsidRPr="00F60120">
              <w:rPr>
                <w:rFonts w:ascii="Calibri" w:hAnsi="Calibri" w:cs="Calibri"/>
                <w:sz w:val="22"/>
                <w:szCs w:val="22"/>
              </w:rPr>
              <w:t>.</w:t>
            </w:r>
          </w:p>
        </w:tc>
      </w:tr>
    </w:tbl>
    <w:p w14:paraId="2265F6FD" w14:textId="77777777" w:rsidR="00F60120" w:rsidRPr="00F60120" w:rsidRDefault="00F60120" w:rsidP="00F60120">
      <w:pPr>
        <w:pStyle w:val="Basiccopysl"/>
        <w:rPr>
          <w:rFonts w:ascii="Calibri" w:hAnsi="Calibri" w:cs="Calibri"/>
          <w:sz w:val="22"/>
          <w:szCs w:val="22"/>
        </w:rPr>
      </w:pPr>
    </w:p>
    <w:p w14:paraId="3EBBD2F0" w14:textId="77777777" w:rsidR="00E60AE0" w:rsidRPr="00F60120" w:rsidRDefault="00E60AE0" w:rsidP="00F60120">
      <w:pPr>
        <w:spacing w:line="276" w:lineRule="auto"/>
        <w:rPr>
          <w:rFonts w:ascii="Calibri" w:hAnsi="Calibri" w:cs="Calibri"/>
          <w:sz w:val="22"/>
        </w:rPr>
      </w:pPr>
    </w:p>
    <w:sectPr w:rsidR="00E60AE0" w:rsidRPr="00F60120" w:rsidSect="00D81829">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E166" w14:textId="77777777" w:rsidR="00D81829" w:rsidRDefault="00D81829" w:rsidP="0078549D">
      <w:pPr>
        <w:spacing w:after="0"/>
      </w:pPr>
      <w:r>
        <w:separator/>
      </w:r>
    </w:p>
  </w:endnote>
  <w:endnote w:type="continuationSeparator" w:id="0">
    <w:p w14:paraId="48F6BE4A" w14:textId="77777777" w:rsidR="00D81829" w:rsidRDefault="00D81829" w:rsidP="0078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808080" w:themeColor="background1" w:themeShade="80"/>
      </w:rPr>
      <w:id w:val="93053534"/>
      <w:docPartObj>
        <w:docPartGallery w:val="Page Numbers (Bottom of Page)"/>
        <w:docPartUnique/>
      </w:docPartObj>
    </w:sdtPr>
    <w:sdtEndPr>
      <w:rPr>
        <w:noProof/>
        <w:sz w:val="22"/>
        <w:szCs w:val="20"/>
      </w:rPr>
    </w:sdtEndPr>
    <w:sdtContent>
      <w:p w14:paraId="5B8FDE6E" w14:textId="4908CCAB" w:rsidR="00690889" w:rsidRPr="003E39B3" w:rsidRDefault="00690889">
        <w:pPr>
          <w:pStyle w:val="Footer"/>
          <w:rPr>
            <w:rFonts w:asciiTheme="minorHAnsi" w:hAnsiTheme="minorHAnsi" w:cstheme="minorHAnsi"/>
            <w:color w:val="808080" w:themeColor="background1" w:themeShade="80"/>
            <w:sz w:val="22"/>
            <w:szCs w:val="20"/>
          </w:rPr>
        </w:pPr>
        <w:r w:rsidRPr="003E39B3">
          <w:rPr>
            <w:rFonts w:asciiTheme="minorHAnsi" w:hAnsiTheme="minorHAnsi" w:cstheme="minorHAnsi"/>
            <w:color w:val="808080" w:themeColor="background1" w:themeShade="80"/>
            <w:sz w:val="22"/>
            <w:szCs w:val="20"/>
          </w:rPr>
          <w:t>© 20</w:t>
        </w:r>
        <w:r w:rsidR="00F60120">
          <w:rPr>
            <w:rFonts w:asciiTheme="minorHAnsi" w:hAnsiTheme="minorHAnsi" w:cstheme="minorHAnsi"/>
            <w:color w:val="808080" w:themeColor="background1" w:themeShade="80"/>
            <w:sz w:val="22"/>
            <w:szCs w:val="20"/>
          </w:rPr>
          <w:t>18</w:t>
        </w:r>
        <w:r w:rsidRPr="003E39B3">
          <w:rPr>
            <w:rFonts w:asciiTheme="minorHAnsi" w:hAnsiTheme="minorHAnsi" w:cstheme="minorHAnsi"/>
            <w:color w:val="808080" w:themeColor="background1" w:themeShade="80"/>
            <w:sz w:val="22"/>
            <w:szCs w:val="20"/>
          </w:rPr>
          <w:t xml:space="preserve"> Street Law, Inc.</w:t>
        </w:r>
        <w:r w:rsidRPr="003E39B3">
          <w:rPr>
            <w:rFonts w:asciiTheme="minorHAnsi" w:hAnsiTheme="minorHAnsi" w:cstheme="minorHAnsi"/>
            <w:color w:val="808080" w:themeColor="background1" w:themeShade="80"/>
            <w:sz w:val="22"/>
            <w:szCs w:val="20"/>
          </w:rPr>
          <w:tab/>
        </w:r>
        <w:r w:rsidRPr="003E39B3">
          <w:rPr>
            <w:rFonts w:asciiTheme="minorHAnsi" w:hAnsiTheme="minorHAnsi" w:cstheme="minorHAnsi"/>
            <w:color w:val="808080" w:themeColor="background1" w:themeShade="80"/>
            <w:sz w:val="22"/>
            <w:szCs w:val="20"/>
          </w:rPr>
          <w:tab/>
          <w:t xml:space="preserve"> </w:t>
        </w:r>
        <w:r w:rsidRPr="003E39B3">
          <w:rPr>
            <w:rFonts w:asciiTheme="minorHAnsi" w:hAnsiTheme="minorHAnsi" w:cstheme="minorHAnsi"/>
            <w:color w:val="808080" w:themeColor="background1" w:themeShade="80"/>
            <w:sz w:val="22"/>
            <w:szCs w:val="20"/>
          </w:rPr>
          <w:fldChar w:fldCharType="begin"/>
        </w:r>
        <w:r w:rsidRPr="003E39B3">
          <w:rPr>
            <w:rFonts w:asciiTheme="minorHAnsi" w:hAnsiTheme="minorHAnsi" w:cstheme="minorHAnsi"/>
            <w:color w:val="808080" w:themeColor="background1" w:themeShade="80"/>
            <w:sz w:val="22"/>
            <w:szCs w:val="20"/>
          </w:rPr>
          <w:instrText xml:space="preserve"> PAGE   \* MERGEFORMAT </w:instrText>
        </w:r>
        <w:r w:rsidRPr="003E39B3">
          <w:rPr>
            <w:rFonts w:asciiTheme="minorHAnsi" w:hAnsiTheme="minorHAnsi" w:cstheme="minorHAnsi"/>
            <w:color w:val="808080" w:themeColor="background1" w:themeShade="80"/>
            <w:sz w:val="22"/>
            <w:szCs w:val="20"/>
          </w:rPr>
          <w:fldChar w:fldCharType="separate"/>
        </w:r>
        <w:r w:rsidR="00D721BD" w:rsidRPr="003E39B3">
          <w:rPr>
            <w:rFonts w:asciiTheme="minorHAnsi" w:hAnsiTheme="minorHAnsi" w:cstheme="minorHAnsi"/>
            <w:noProof/>
            <w:color w:val="808080" w:themeColor="background1" w:themeShade="80"/>
            <w:sz w:val="22"/>
            <w:szCs w:val="20"/>
          </w:rPr>
          <w:t>3</w:t>
        </w:r>
        <w:r w:rsidRPr="003E39B3">
          <w:rPr>
            <w:rFonts w:asciiTheme="minorHAnsi" w:hAnsiTheme="minorHAnsi" w:cstheme="minorHAns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color w:val="808080" w:themeColor="background1" w:themeShade="80"/>
      </w:rPr>
      <w:id w:val="-1993711322"/>
      <w:docPartObj>
        <w:docPartGallery w:val="Page Numbers (Bottom of Page)"/>
        <w:docPartUnique/>
      </w:docPartObj>
    </w:sdtPr>
    <w:sdtEndPr>
      <w:rPr>
        <w:noProof/>
        <w:sz w:val="22"/>
        <w:szCs w:val="20"/>
      </w:rPr>
    </w:sdtEndPr>
    <w:sdtContent>
      <w:p w14:paraId="3EEA289A" w14:textId="791F9CF4" w:rsidR="00690889" w:rsidRPr="003E39B3" w:rsidRDefault="00690889">
        <w:pPr>
          <w:pStyle w:val="Footer"/>
          <w:rPr>
            <w:rFonts w:ascii="Calibri" w:hAnsi="Calibri" w:cs="Calibri"/>
            <w:noProof/>
            <w:color w:val="808080" w:themeColor="background1" w:themeShade="80"/>
            <w:sz w:val="22"/>
            <w:szCs w:val="20"/>
          </w:rPr>
        </w:pPr>
        <w:r w:rsidRPr="003E39B3">
          <w:rPr>
            <w:rFonts w:ascii="Calibri" w:hAnsi="Calibri" w:cs="Calibri"/>
            <w:color w:val="808080" w:themeColor="background1" w:themeShade="80"/>
            <w:sz w:val="22"/>
            <w:szCs w:val="20"/>
          </w:rPr>
          <w:t>© 20</w:t>
        </w:r>
        <w:r w:rsidR="00F60120">
          <w:rPr>
            <w:rFonts w:ascii="Calibri" w:hAnsi="Calibri" w:cs="Calibri"/>
            <w:color w:val="808080" w:themeColor="background1" w:themeShade="80"/>
            <w:sz w:val="22"/>
            <w:szCs w:val="20"/>
          </w:rPr>
          <w:t>18</w:t>
        </w:r>
        <w:r w:rsidRPr="003E39B3">
          <w:rPr>
            <w:rFonts w:ascii="Calibri" w:hAnsi="Calibri" w:cs="Calibri"/>
            <w:color w:val="808080" w:themeColor="background1" w:themeShade="80"/>
            <w:sz w:val="22"/>
            <w:szCs w:val="20"/>
          </w:rPr>
          <w:t xml:space="preserve"> Street Law, Inc.</w:t>
        </w:r>
        <w:r w:rsidRPr="003E39B3">
          <w:rPr>
            <w:rFonts w:ascii="Calibri" w:hAnsi="Calibri" w:cs="Calibri"/>
            <w:color w:val="808080" w:themeColor="background1" w:themeShade="80"/>
            <w:sz w:val="22"/>
            <w:szCs w:val="20"/>
          </w:rPr>
          <w:tab/>
        </w:r>
        <w:r w:rsidRPr="003E39B3">
          <w:rPr>
            <w:rFonts w:ascii="Calibri" w:hAnsi="Calibri" w:cs="Calibri"/>
            <w:color w:val="808080" w:themeColor="background1" w:themeShade="80"/>
            <w:sz w:val="22"/>
            <w:szCs w:val="20"/>
          </w:rPr>
          <w:tab/>
          <w:t xml:space="preserve"> </w:t>
        </w:r>
        <w:r w:rsidR="003E39B3" w:rsidRPr="003E39B3">
          <w:rPr>
            <w:rFonts w:ascii="Calibri" w:hAnsi="Calibri" w:cs="Calibri"/>
            <w:color w:val="808080" w:themeColor="background1" w:themeShade="80"/>
            <w:sz w:val="22"/>
            <w:szCs w:val="20"/>
          </w:rPr>
          <w:t>Last updated: 01/18/2024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65A0" w14:textId="77777777" w:rsidR="00D81829" w:rsidRDefault="00D81829" w:rsidP="0078549D">
      <w:pPr>
        <w:spacing w:after="0"/>
      </w:pPr>
      <w:r>
        <w:separator/>
      </w:r>
    </w:p>
  </w:footnote>
  <w:footnote w:type="continuationSeparator" w:id="0">
    <w:p w14:paraId="69273940" w14:textId="77777777" w:rsidR="00D81829" w:rsidRDefault="00D81829" w:rsidP="00785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67E1" w14:textId="5464AA4B" w:rsidR="00690889" w:rsidRPr="003E39B3" w:rsidRDefault="003E39B3" w:rsidP="003E39B3">
    <w:pPr>
      <w:jc w:val="right"/>
      <w:rPr>
        <w:rFonts w:ascii="Calibri" w:hAnsi="Calibri" w:cs="Calibri"/>
        <w:color w:val="808080" w:themeColor="background1" w:themeShade="80"/>
      </w:rPr>
    </w:pPr>
    <w:bookmarkStart w:id="1" w:name="_Hlk156415552"/>
    <w:bookmarkStart w:id="2" w:name="_Hlk156477696"/>
    <w:bookmarkStart w:id="3" w:name="_Hlk156477697"/>
    <w:r w:rsidRPr="003E39B3">
      <w:rPr>
        <w:rFonts w:ascii="Calibri" w:hAnsi="Calibri" w:cs="Calibri"/>
        <w:i/>
        <w:iCs/>
        <w:noProof/>
        <w:color w:val="808080" w:themeColor="background1" w:themeShade="80"/>
        <w:sz w:val="22"/>
      </w:rPr>
      <mc:AlternateContent>
        <mc:Choice Requires="wps">
          <w:drawing>
            <wp:anchor distT="0" distB="0" distL="114300" distR="114300" simplePos="0" relativeHeight="251663360" behindDoc="0" locked="0" layoutInCell="1" allowOverlap="1" wp14:anchorId="448E9843" wp14:editId="2D741AAF">
              <wp:simplePos x="0" y="0"/>
              <wp:positionH relativeFrom="column">
                <wp:posOffset>-133350</wp:posOffset>
              </wp:positionH>
              <wp:positionV relativeFrom="paragraph">
                <wp:posOffset>-142875</wp:posOffset>
              </wp:positionV>
              <wp:extent cx="2695575" cy="542925"/>
              <wp:effectExtent l="0" t="0" r="0" b="0"/>
              <wp:wrapNone/>
              <wp:docPr id="733923717" name="Text Box 73392371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2363A" w14:textId="77777777" w:rsidR="003E39B3" w:rsidRDefault="003E39B3" w:rsidP="003E39B3">
                          <w:r>
                            <w:rPr>
                              <w:noProof/>
                            </w:rPr>
                            <w:drawing>
                              <wp:inline distT="0" distB="0" distL="0" distR="0" wp14:anchorId="56172BE8" wp14:editId="51FC3F2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8E9843" id="_x0000_t202" coordsize="21600,21600" o:spt="202" path="m,l,21600r21600,l21600,xe">
              <v:stroke joinstyle="miter"/>
              <v:path gradientshapeok="t" o:connecttype="rect"/>
            </v:shapetype>
            <v:shape id="Text Box 733923717" o:spid="_x0000_s1026" type="#_x0000_t202" style="position:absolute;left:0;text-align:left;margin-left:-10.5pt;margin-top:-11.2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3BF2363A" w14:textId="77777777" w:rsidR="003E39B3" w:rsidRDefault="003E39B3" w:rsidP="003E39B3">
                    <w:r>
                      <w:rPr>
                        <w:noProof/>
                      </w:rPr>
                      <w:drawing>
                        <wp:inline distT="0" distB="0" distL="0" distR="0" wp14:anchorId="56172BE8" wp14:editId="51FC3F2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F60120">
      <w:rPr>
        <w:rFonts w:ascii="Calibri" w:hAnsi="Calibri" w:cs="Calibri"/>
        <w:i/>
        <w:iCs/>
        <w:color w:val="808080" w:themeColor="background1" w:themeShade="80"/>
        <w:sz w:val="22"/>
      </w:rPr>
      <w:t>Tinker v. Des Moines</w:t>
    </w:r>
    <w:r w:rsidRPr="003E39B3">
      <w:rPr>
        <w:rFonts w:ascii="Calibri" w:hAnsi="Calibri" w:cs="Calibri"/>
        <w:color w:val="808080" w:themeColor="background1" w:themeShade="80"/>
        <w:sz w:val="22"/>
      </w:rPr>
      <w:t xml:space="preserve"> (19</w:t>
    </w:r>
    <w:r w:rsidR="00F60120">
      <w:rPr>
        <w:rFonts w:ascii="Calibri" w:hAnsi="Calibri" w:cs="Calibri"/>
        <w:color w:val="808080" w:themeColor="background1" w:themeShade="80"/>
        <w:sz w:val="22"/>
      </w:rPr>
      <w:t>69</w:t>
    </w:r>
    <w:r w:rsidRPr="003E39B3">
      <w:rPr>
        <w:rFonts w:ascii="Calibri" w:hAnsi="Calibri" w:cs="Calibri"/>
        <w:color w:val="808080" w:themeColor="background1" w:themeShade="80"/>
        <w:sz w:val="22"/>
      </w:rPr>
      <w:t>)</w:t>
    </w:r>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38CA" w14:textId="77777777" w:rsidR="003E39B3" w:rsidRPr="003E39B3" w:rsidRDefault="003E39B3" w:rsidP="003E39B3">
    <w:pPr>
      <w:jc w:val="right"/>
      <w:rPr>
        <w:rFonts w:ascii="Calibri" w:hAnsi="Calibri" w:cs="Calibri"/>
        <w:color w:val="808080" w:themeColor="background1" w:themeShade="80"/>
      </w:rPr>
    </w:pPr>
    <w:bookmarkStart w:id="4" w:name="_Hlk156415537"/>
    <w:r w:rsidRPr="003E39B3">
      <w:rPr>
        <w:rFonts w:ascii="Calibri" w:hAnsi="Calibri" w:cs="Calibri"/>
        <w:noProof/>
        <w:color w:val="808080" w:themeColor="background1" w:themeShade="80"/>
        <w:sz w:val="22"/>
      </w:rPr>
      <mc:AlternateContent>
        <mc:Choice Requires="wps">
          <w:drawing>
            <wp:anchor distT="0" distB="0" distL="114300" distR="114300" simplePos="0" relativeHeight="251661312" behindDoc="0" locked="0" layoutInCell="1" allowOverlap="1" wp14:anchorId="665B4ED5" wp14:editId="57EC3D16">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A6905" w14:textId="77777777" w:rsidR="003E39B3" w:rsidRDefault="003E39B3" w:rsidP="003E39B3">
                          <w:r>
                            <w:rPr>
                              <w:noProof/>
                            </w:rPr>
                            <w:drawing>
                              <wp:inline distT="0" distB="0" distL="0" distR="0" wp14:anchorId="24EBC840" wp14:editId="046DF427">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5B4ED5"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3C8A6905" w14:textId="77777777" w:rsidR="003E39B3" w:rsidRDefault="003E39B3" w:rsidP="003E39B3">
                    <w:r>
                      <w:rPr>
                        <w:noProof/>
                      </w:rPr>
                      <w:drawing>
                        <wp:inline distT="0" distB="0" distL="0" distR="0" wp14:anchorId="24EBC840" wp14:editId="046DF427">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3E39B3">
      <w:rPr>
        <w:rFonts w:ascii="Calibri" w:hAnsi="Calibri" w:cs="Calibri"/>
        <w:color w:val="808080" w:themeColor="background1" w:themeShade="80"/>
        <w:sz w:val="22"/>
      </w:rPr>
      <w:t>Street Law, Inc. Case Summary</w:t>
    </w:r>
  </w:p>
  <w:bookmarkEnd w:id="4"/>
  <w:p w14:paraId="7FABD3EF" w14:textId="77777777" w:rsidR="00690889" w:rsidRDefault="0069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965"/>
    <w:multiLevelType w:val="hybridMultilevel"/>
    <w:tmpl w:val="8CE2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12B7D"/>
    <w:multiLevelType w:val="hybridMultilevel"/>
    <w:tmpl w:val="1276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85007">
    <w:abstractNumId w:val="4"/>
  </w:num>
  <w:num w:numId="2" w16cid:durableId="1178277318">
    <w:abstractNumId w:val="1"/>
  </w:num>
  <w:num w:numId="3" w16cid:durableId="843864848">
    <w:abstractNumId w:val="2"/>
  </w:num>
  <w:num w:numId="4" w16cid:durableId="1738358522">
    <w:abstractNumId w:val="5"/>
  </w:num>
  <w:num w:numId="5" w16cid:durableId="818301414">
    <w:abstractNumId w:val="3"/>
  </w:num>
  <w:num w:numId="6" w16cid:durableId="933636607">
    <w:abstractNumId w:val="0"/>
  </w:num>
  <w:num w:numId="7" w16cid:durableId="286008006">
    <w:abstractNumId w:val="6"/>
  </w:num>
  <w:num w:numId="8" w16cid:durableId="788667637">
    <w:abstractNumId w:val="4"/>
  </w:num>
  <w:num w:numId="9" w16cid:durableId="802045154">
    <w:abstractNumId w:val="4"/>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E2"/>
    <w:rsid w:val="00096C2F"/>
    <w:rsid w:val="000A3FD8"/>
    <w:rsid w:val="000B53C1"/>
    <w:rsid w:val="000D0D29"/>
    <w:rsid w:val="000E239D"/>
    <w:rsid w:val="00110E00"/>
    <w:rsid w:val="00120F58"/>
    <w:rsid w:val="00136C23"/>
    <w:rsid w:val="00161C2E"/>
    <w:rsid w:val="00162C85"/>
    <w:rsid w:val="00163CBF"/>
    <w:rsid w:val="00170B98"/>
    <w:rsid w:val="00194E1D"/>
    <w:rsid w:val="00226431"/>
    <w:rsid w:val="00230F44"/>
    <w:rsid w:val="002423E4"/>
    <w:rsid w:val="00282981"/>
    <w:rsid w:val="00290061"/>
    <w:rsid w:val="00292502"/>
    <w:rsid w:val="002B3773"/>
    <w:rsid w:val="002B4D38"/>
    <w:rsid w:val="002C3C26"/>
    <w:rsid w:val="002C68A3"/>
    <w:rsid w:val="002D276C"/>
    <w:rsid w:val="002D2DBF"/>
    <w:rsid w:val="002E7F58"/>
    <w:rsid w:val="00304C79"/>
    <w:rsid w:val="00310F79"/>
    <w:rsid w:val="00317735"/>
    <w:rsid w:val="00321959"/>
    <w:rsid w:val="00324F7E"/>
    <w:rsid w:val="00330C55"/>
    <w:rsid w:val="003406DE"/>
    <w:rsid w:val="00375090"/>
    <w:rsid w:val="00377723"/>
    <w:rsid w:val="00391EA0"/>
    <w:rsid w:val="00396AEB"/>
    <w:rsid w:val="003C37D2"/>
    <w:rsid w:val="003E39B3"/>
    <w:rsid w:val="003E7861"/>
    <w:rsid w:val="003F6293"/>
    <w:rsid w:val="00401701"/>
    <w:rsid w:val="004137AA"/>
    <w:rsid w:val="00424B4F"/>
    <w:rsid w:val="00431309"/>
    <w:rsid w:val="004448A8"/>
    <w:rsid w:val="004708BE"/>
    <w:rsid w:val="00472A8D"/>
    <w:rsid w:val="0047790D"/>
    <w:rsid w:val="00496974"/>
    <w:rsid w:val="004B0C6B"/>
    <w:rsid w:val="004B3D25"/>
    <w:rsid w:val="004B560A"/>
    <w:rsid w:val="005311FB"/>
    <w:rsid w:val="0056761D"/>
    <w:rsid w:val="005A0330"/>
    <w:rsid w:val="005A1D2E"/>
    <w:rsid w:val="005C4EE4"/>
    <w:rsid w:val="005D4A49"/>
    <w:rsid w:val="005E328E"/>
    <w:rsid w:val="005F3C57"/>
    <w:rsid w:val="0061510A"/>
    <w:rsid w:val="00641BEB"/>
    <w:rsid w:val="006549AE"/>
    <w:rsid w:val="00665989"/>
    <w:rsid w:val="00671D8F"/>
    <w:rsid w:val="00681575"/>
    <w:rsid w:val="00690889"/>
    <w:rsid w:val="00694AE4"/>
    <w:rsid w:val="006974AD"/>
    <w:rsid w:val="006E589B"/>
    <w:rsid w:val="00731B83"/>
    <w:rsid w:val="00732340"/>
    <w:rsid w:val="0076723F"/>
    <w:rsid w:val="0078549D"/>
    <w:rsid w:val="007A50A1"/>
    <w:rsid w:val="007A59B9"/>
    <w:rsid w:val="007B4E71"/>
    <w:rsid w:val="007E788E"/>
    <w:rsid w:val="007F700D"/>
    <w:rsid w:val="00815CB0"/>
    <w:rsid w:val="0081706F"/>
    <w:rsid w:val="008344B3"/>
    <w:rsid w:val="008526F7"/>
    <w:rsid w:val="00857F3D"/>
    <w:rsid w:val="00876951"/>
    <w:rsid w:val="00883F85"/>
    <w:rsid w:val="008C4C4B"/>
    <w:rsid w:val="008E721D"/>
    <w:rsid w:val="00932843"/>
    <w:rsid w:val="009537B2"/>
    <w:rsid w:val="00980C8C"/>
    <w:rsid w:val="00981347"/>
    <w:rsid w:val="009D4164"/>
    <w:rsid w:val="009D6B03"/>
    <w:rsid w:val="009E60BE"/>
    <w:rsid w:val="00A06F2D"/>
    <w:rsid w:val="00A25927"/>
    <w:rsid w:val="00A259B7"/>
    <w:rsid w:val="00A264C3"/>
    <w:rsid w:val="00AA78D1"/>
    <w:rsid w:val="00AB610C"/>
    <w:rsid w:val="00AC1A30"/>
    <w:rsid w:val="00AE0C77"/>
    <w:rsid w:val="00B07FF7"/>
    <w:rsid w:val="00B14232"/>
    <w:rsid w:val="00B15FC3"/>
    <w:rsid w:val="00B51226"/>
    <w:rsid w:val="00B62487"/>
    <w:rsid w:val="00B91534"/>
    <w:rsid w:val="00BD1223"/>
    <w:rsid w:val="00BD136B"/>
    <w:rsid w:val="00BE4A01"/>
    <w:rsid w:val="00BF1951"/>
    <w:rsid w:val="00C0168B"/>
    <w:rsid w:val="00C0748C"/>
    <w:rsid w:val="00C30920"/>
    <w:rsid w:val="00C42CDF"/>
    <w:rsid w:val="00C50746"/>
    <w:rsid w:val="00C51219"/>
    <w:rsid w:val="00C82846"/>
    <w:rsid w:val="00C85822"/>
    <w:rsid w:val="00C9229A"/>
    <w:rsid w:val="00C949AC"/>
    <w:rsid w:val="00CD1950"/>
    <w:rsid w:val="00CF736E"/>
    <w:rsid w:val="00D07D5D"/>
    <w:rsid w:val="00D42341"/>
    <w:rsid w:val="00D52F5A"/>
    <w:rsid w:val="00D721BD"/>
    <w:rsid w:val="00D81829"/>
    <w:rsid w:val="00D825E8"/>
    <w:rsid w:val="00D87248"/>
    <w:rsid w:val="00DA569D"/>
    <w:rsid w:val="00DC4CA9"/>
    <w:rsid w:val="00DE3D18"/>
    <w:rsid w:val="00DE4AF3"/>
    <w:rsid w:val="00E02CFB"/>
    <w:rsid w:val="00E10979"/>
    <w:rsid w:val="00E54AE4"/>
    <w:rsid w:val="00E60AE0"/>
    <w:rsid w:val="00E75C46"/>
    <w:rsid w:val="00E76C20"/>
    <w:rsid w:val="00E9032A"/>
    <w:rsid w:val="00EF741C"/>
    <w:rsid w:val="00F03454"/>
    <w:rsid w:val="00F03984"/>
    <w:rsid w:val="00F12DF9"/>
    <w:rsid w:val="00F3300D"/>
    <w:rsid w:val="00F40F6E"/>
    <w:rsid w:val="00F42CDF"/>
    <w:rsid w:val="00F60120"/>
    <w:rsid w:val="00FA07EF"/>
    <w:rsid w:val="00FC5BD8"/>
    <w:rsid w:val="00FE0F9F"/>
    <w:rsid w:val="7039B853"/>
    <w:rsid w:val="7429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CA18"/>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91EA0"/>
    <w:pPr>
      <w:spacing w:after="0" w:line="240" w:lineRule="auto"/>
    </w:pPr>
    <w:rPr>
      <w:sz w:val="24"/>
      <w:szCs w:val="24"/>
    </w:rPr>
  </w:style>
  <w:style w:type="paragraph" w:customStyle="1" w:styleId="Basiccopycenteredsl">
    <w:name w:val="Basic copy_centered_sl"/>
    <w:basedOn w:val="Basiccopysl"/>
    <w:qFormat/>
    <w:rsid w:val="00E10979"/>
    <w:pPr>
      <w:spacing w:line="240" w:lineRule="auto"/>
      <w:jc w:val="center"/>
    </w:pPr>
    <w:rPr>
      <w:rFonts w:eastAsia="Times New Roman" w:cs="Times New Roman"/>
      <w:b/>
    </w:rPr>
  </w:style>
  <w:style w:type="paragraph" w:customStyle="1" w:styleId="p1">
    <w:name w:val="p1"/>
    <w:basedOn w:val="Normal"/>
    <w:rsid w:val="002D2DBF"/>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E6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mentprecedentbulletsl">
    <w:name w:val="Amendment/precedent bullet_sl"/>
    <w:basedOn w:val="Bulletsl"/>
    <w:qFormat/>
    <w:rsid w:val="00F60120"/>
    <w:pPr>
      <w:spacing w:before="240" w:line="276" w:lineRule="auto"/>
    </w:pPr>
    <w:rPr>
      <w:rFonts w:asciiTheme="minorHAnsi" w:hAnsiTheme="minorHAnsi" w:cstheme="minorHAnsi"/>
      <w:b/>
      <w:bCs/>
      <w:sz w:val="22"/>
      <w:szCs w:val="22"/>
    </w:rPr>
  </w:style>
  <w:style w:type="paragraph" w:customStyle="1" w:styleId="Indentedbasiccopysl">
    <w:name w:val="Indented basic copy_sl"/>
    <w:basedOn w:val="Basiccopysl"/>
    <w:qFormat/>
    <w:rsid w:val="00F60120"/>
    <w:pPr>
      <w:ind w:left="720"/>
    </w:pPr>
    <w:rPr>
      <w:rFonts w:ascii="Calibri" w:hAnsi="Calibri" w:cs="Calibri"/>
      <w:sz w:val="22"/>
      <w:szCs w:val="22"/>
    </w:rPr>
  </w:style>
  <w:style w:type="paragraph" w:customStyle="1" w:styleId="Argueddecideddatessl">
    <w:name w:val="Argued/decided dates_sl"/>
    <w:basedOn w:val="Basiccopysl"/>
    <w:qFormat/>
    <w:rsid w:val="00F60120"/>
    <w:pPr>
      <w:spacing w:after="0"/>
      <w:jc w:val="center"/>
    </w:pPr>
    <w:rPr>
      <w:rFonts w:ascii="Calibri" w:hAnsi="Calibri" w:cs="Calibri"/>
      <w:b/>
      <w:sz w:val="22"/>
      <w:szCs w:val="22"/>
    </w:rPr>
  </w:style>
  <w:style w:type="character" w:customStyle="1" w:styleId="Glossarytermsl">
    <w:name w:val="Glossary term_sl"/>
    <w:uiPriority w:val="1"/>
    <w:qFormat/>
    <w:rsid w:val="00BF1951"/>
    <w:rPr>
      <w:rFonts w:ascii="Garamond" w:hAnsi="Garamond" w:hint="default"/>
      <w:b/>
      <w:bCs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5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ndmarkcas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3523-8F51-4E9F-A80E-6DC3BA1ED786}">
  <ds:schemaRefs>
    <ds:schemaRef ds:uri="http://schemas.microsoft.com/sharepoint/v3/contenttype/forms"/>
  </ds:schemaRefs>
</ds:datastoreItem>
</file>

<file path=customXml/itemProps2.xml><?xml version="1.0" encoding="utf-8"?>
<ds:datastoreItem xmlns:ds="http://schemas.openxmlformats.org/officeDocument/2006/customXml" ds:itemID="{32BDC3B1-51E4-4808-9365-56A6E855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26830-EB8D-4A01-BDD3-F033CABC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3</Pages>
  <Words>983</Words>
  <Characters>5039</Characters>
  <Application>Microsoft Office Word</Application>
  <DocSecurity>0</DocSecurity>
  <Lines>81</Lines>
  <Paragraphs>44</Paragraphs>
  <ScaleCrop>false</ScaleCrop>
  <Company>Microsoft</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3</cp:revision>
  <dcterms:created xsi:type="dcterms:W3CDTF">2024-01-19T14:53:00Z</dcterms:created>
  <dcterms:modified xsi:type="dcterms:W3CDTF">2024-01-19T14:54:00Z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