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9063" w14:textId="3B59E0C2" w:rsidR="005311FB" w:rsidRPr="0084194A" w:rsidRDefault="00B83484" w:rsidP="0084194A">
      <w:pPr>
        <w:pStyle w:val="Title1sl"/>
        <w:pBdr>
          <w:bottom w:val="single" w:sz="12" w:space="1" w:color="auto"/>
        </w:pBdr>
        <w:spacing w:before="240" w:after="120"/>
        <w:rPr>
          <w:sz w:val="40"/>
          <w:szCs w:val="40"/>
        </w:rPr>
      </w:pPr>
      <w:r w:rsidRPr="0084194A">
        <w:rPr>
          <w:sz w:val="40"/>
          <w:szCs w:val="40"/>
        </w:rPr>
        <w:t>Mini-Moot Court Activity</w:t>
      </w:r>
    </w:p>
    <w:p w14:paraId="4EF5B85E" w14:textId="0334C025" w:rsidR="0096254D" w:rsidRDefault="00041791" w:rsidP="001C0EDD">
      <w:pPr>
        <w:pStyle w:val="Subhead1sl"/>
        <w:spacing w:after="360"/>
      </w:pPr>
      <w:r>
        <w:rPr>
          <w:i/>
          <w:iCs/>
        </w:rPr>
        <w:t>Tinker v. Des Moines</w:t>
      </w:r>
      <w:r w:rsidR="0096254D">
        <w:t xml:space="preserve"> (</w:t>
      </w:r>
      <w:r>
        <w:t>1969</w:t>
      </w:r>
      <w:r w:rsidR="0096254D">
        <w:t xml:space="preserve">) </w:t>
      </w:r>
    </w:p>
    <w:p w14:paraId="192CABB6" w14:textId="77777777" w:rsidR="00B83484" w:rsidRDefault="00B83484" w:rsidP="00B83484">
      <w:pPr>
        <w:pStyle w:val="Heading2"/>
        <w:spacing w:before="100"/>
        <w:ind w:left="0"/>
      </w:pPr>
      <w:r>
        <w:t>An Overview of a Mini-Moot Court</w:t>
      </w:r>
    </w:p>
    <w:p w14:paraId="61C41D89" w14:textId="0FF31D03" w:rsidR="00B83484" w:rsidRDefault="00B83484" w:rsidP="00DB6348">
      <w:pPr>
        <w:pStyle w:val="BodyText"/>
        <w:spacing w:before="149" w:line="276" w:lineRule="auto"/>
      </w:pPr>
      <w:r>
        <w:t>A moot court is a simulation of an appeals court or Supreme Court hearing. The court is asked to rule on a lower court</w:t>
      </w:r>
      <w:r w:rsidR="00DB6348">
        <w:t>’</w:t>
      </w:r>
      <w:r>
        <w:t>s decision. No witnesses are called, nor are the basic facts in a case disputed. Arguments are prepared and presented on a legal question (e.g., the constitutionality of a law or government action or the interpretation of a federal statute).</w:t>
      </w:r>
    </w:p>
    <w:p w14:paraId="312D23F4" w14:textId="77777777" w:rsidR="00B83484" w:rsidRPr="00112B95" w:rsidRDefault="00B83484" w:rsidP="00D7277C">
      <w:pPr>
        <w:pStyle w:val="Subhead1sl"/>
        <w:keepNext w:val="0"/>
      </w:pPr>
      <w:r w:rsidRPr="00112B95">
        <w:t>Activities</w:t>
      </w:r>
    </w:p>
    <w:p w14:paraId="2BC91126" w14:textId="0326941C" w:rsidR="00B83484" w:rsidRPr="00DB6348" w:rsidRDefault="00B83484" w:rsidP="00CB09BD">
      <w:pPr>
        <w:pStyle w:val="Stepsl"/>
        <w:numPr>
          <w:ilvl w:val="0"/>
          <w:numId w:val="21"/>
        </w:numPr>
        <w:spacing w:after="120"/>
        <w:ind w:left="540" w:hanging="540"/>
        <w:rPr>
          <w:bCs/>
        </w:rPr>
      </w:pPr>
      <w:r w:rsidRPr="00DB6348">
        <w:rPr>
          <w:b/>
        </w:rPr>
        <w:t xml:space="preserve">Review the </w:t>
      </w:r>
      <w:r w:rsidRPr="00DB6348">
        <w:rPr>
          <w:b/>
          <w:u w:val="single"/>
        </w:rPr>
        <w:t>facts</w:t>
      </w:r>
      <w:r w:rsidRPr="00DB6348">
        <w:rPr>
          <w:b/>
        </w:rPr>
        <w:t xml:space="preserve"> of the case:</w:t>
      </w:r>
      <w:r w:rsidRPr="00DB6348">
        <w:rPr>
          <w:bCs/>
        </w:rPr>
        <w:t xml:space="preserve"> In pairs, read the facts, issues, and constitutional provisions and precedents of </w:t>
      </w:r>
      <w:r w:rsidR="00041791" w:rsidRPr="00DB6348">
        <w:rPr>
          <w:bCs/>
          <w:i/>
          <w:iCs/>
        </w:rPr>
        <w:t>Tinker v. Des Moines</w:t>
      </w:r>
      <w:r w:rsidRPr="00DB6348">
        <w:rPr>
          <w:bCs/>
        </w:rPr>
        <w:t xml:space="preserve"> (</w:t>
      </w:r>
      <w:r w:rsidR="00041791" w:rsidRPr="00DB6348">
        <w:rPr>
          <w:bCs/>
        </w:rPr>
        <w:t>1969</w:t>
      </w:r>
      <w:r w:rsidRPr="00DB6348">
        <w:rPr>
          <w:bCs/>
        </w:rPr>
        <w:t>).</w:t>
      </w:r>
    </w:p>
    <w:p w14:paraId="5BA3998C" w14:textId="77777777" w:rsidR="00B83484" w:rsidRPr="00DB6348" w:rsidRDefault="00B83484" w:rsidP="00CB09BD">
      <w:pPr>
        <w:pStyle w:val="Basiccopysl"/>
        <w:ind w:left="540"/>
        <w:rPr>
          <w:b/>
          <w:bCs/>
          <w:sz w:val="24"/>
          <w:szCs w:val="24"/>
        </w:rPr>
      </w:pPr>
      <w:r w:rsidRPr="00DB6348">
        <w:rPr>
          <w:b/>
          <w:bCs/>
          <w:sz w:val="24"/>
          <w:szCs w:val="24"/>
        </w:rPr>
        <w:t>Useful Vocabulary:</w:t>
      </w:r>
    </w:p>
    <w:p w14:paraId="2E467949" w14:textId="77777777" w:rsidR="00B83484" w:rsidRPr="00DB6348" w:rsidRDefault="00B83484" w:rsidP="00CB09BD">
      <w:pPr>
        <w:pStyle w:val="Bulletsl"/>
        <w:ind w:left="900"/>
      </w:pPr>
      <w:r w:rsidRPr="00DB6348">
        <w:rPr>
          <w:b/>
          <w:bCs/>
        </w:rPr>
        <w:t>Petitioner:</w:t>
      </w:r>
      <w:r w:rsidRPr="00DB6348">
        <w:t xml:space="preserve"> The person/organization/company who lost in the lower court and now appeals the lower court decision to a higher court.</w:t>
      </w:r>
    </w:p>
    <w:p w14:paraId="60A7AECC" w14:textId="77777777" w:rsidR="00B83484" w:rsidRPr="00DB6348" w:rsidRDefault="00B83484" w:rsidP="00CB09BD">
      <w:pPr>
        <w:pStyle w:val="Bulletsl"/>
        <w:ind w:left="900"/>
      </w:pPr>
      <w:r w:rsidRPr="00DB6348">
        <w:rPr>
          <w:b/>
          <w:bCs/>
        </w:rPr>
        <w:t>Respondent:</w:t>
      </w:r>
      <w:r w:rsidRPr="00DB6348">
        <w:t xml:space="preserve"> The person/organization/company who won in the lower court and now argues that the lower court decision was correct.</w:t>
      </w:r>
    </w:p>
    <w:p w14:paraId="70AB4E45" w14:textId="77777777" w:rsidR="00B83484" w:rsidRPr="00DB6348" w:rsidRDefault="00B83484" w:rsidP="00CB09BD">
      <w:pPr>
        <w:pStyle w:val="Basiccopysl"/>
        <w:spacing w:before="240"/>
        <w:ind w:left="540"/>
        <w:rPr>
          <w:i/>
          <w:iCs/>
          <w:sz w:val="24"/>
          <w:szCs w:val="24"/>
        </w:rPr>
      </w:pPr>
      <w:r w:rsidRPr="00DB6348">
        <w:rPr>
          <w:b/>
          <w:bCs/>
          <w:i/>
          <w:iCs/>
          <w:sz w:val="24"/>
          <w:szCs w:val="24"/>
        </w:rPr>
        <w:t>Note:</w:t>
      </w:r>
      <w:r w:rsidRPr="00DB6348">
        <w:rPr>
          <w:i/>
          <w:iCs/>
          <w:sz w:val="24"/>
          <w:szCs w:val="24"/>
        </w:rPr>
        <w:t xml:space="preserve"> In some states, different terms may be used such as appellant and appellee.</w:t>
      </w:r>
    </w:p>
    <w:p w14:paraId="07EBA056" w14:textId="77777777" w:rsidR="00B83484" w:rsidRPr="00DB6348" w:rsidRDefault="00B83484" w:rsidP="00CB09BD">
      <w:pPr>
        <w:pStyle w:val="Basiccopysl"/>
        <w:ind w:left="540"/>
        <w:rPr>
          <w:sz w:val="24"/>
          <w:szCs w:val="24"/>
        </w:rPr>
      </w:pPr>
      <w:r w:rsidRPr="00DB6348">
        <w:rPr>
          <w:sz w:val="24"/>
          <w:szCs w:val="24"/>
        </w:rPr>
        <w:t>With your partner, discuss the following questions:</w:t>
      </w:r>
    </w:p>
    <w:p w14:paraId="7572CACC" w14:textId="77777777" w:rsidR="00B83484" w:rsidRPr="00DB6348" w:rsidRDefault="00B83484" w:rsidP="00CB09BD">
      <w:pPr>
        <w:pStyle w:val="Bulletsl"/>
        <w:ind w:left="900"/>
      </w:pPr>
      <w:r w:rsidRPr="00DB6348">
        <w:t>What happened in this case?</w:t>
      </w:r>
    </w:p>
    <w:p w14:paraId="4FDADFDB" w14:textId="22D1B6B2" w:rsidR="00B83484" w:rsidRPr="00DB6348" w:rsidRDefault="00B83484" w:rsidP="00CB09BD">
      <w:pPr>
        <w:pStyle w:val="Bulletsl"/>
        <w:ind w:left="900"/>
      </w:pPr>
      <w:r w:rsidRPr="00DB6348">
        <w:t>Who are the people/organizations/companies involved?</w:t>
      </w:r>
    </w:p>
    <w:p w14:paraId="1ACAB631" w14:textId="4857B234" w:rsidR="00B83484" w:rsidRPr="00DB6348" w:rsidRDefault="00B83484" w:rsidP="00CB09BD">
      <w:pPr>
        <w:pStyle w:val="Bulletsl"/>
        <w:ind w:left="900"/>
      </w:pPr>
      <w:r w:rsidRPr="00DB6348">
        <w:t>How did the lower court rule on this case?</w:t>
      </w:r>
    </w:p>
    <w:p w14:paraId="6DBC4346" w14:textId="77777777" w:rsidR="00B83484" w:rsidRPr="00DB6348" w:rsidRDefault="00B83484" w:rsidP="00CB09BD">
      <w:pPr>
        <w:pStyle w:val="Bulletsl"/>
        <w:ind w:left="900"/>
      </w:pPr>
      <w:r w:rsidRPr="00DB6348">
        <w:t>Who is the petitioner? Who is the respondent?</w:t>
      </w:r>
    </w:p>
    <w:p w14:paraId="6A6DCD96" w14:textId="77777777" w:rsidR="00B83484" w:rsidRPr="00DB6348" w:rsidRDefault="00B83484" w:rsidP="00CB09BD">
      <w:pPr>
        <w:pStyle w:val="Bulletsl"/>
        <w:ind w:left="900"/>
      </w:pPr>
      <w:r w:rsidRPr="00DB6348">
        <w:t>What is the legal question that has to be resolved in this case?</w:t>
      </w:r>
    </w:p>
    <w:p w14:paraId="1174E8C2" w14:textId="22D99C6D" w:rsidR="00B83484" w:rsidRPr="00DB6348" w:rsidRDefault="00B83484" w:rsidP="00CB09BD">
      <w:pPr>
        <w:pStyle w:val="Bulletsl"/>
        <w:ind w:left="900"/>
      </w:pPr>
      <w:r w:rsidRPr="00DB6348">
        <w:t xml:space="preserve">How </w:t>
      </w:r>
      <w:r w:rsidR="00BB4D0B" w:rsidRPr="00DB6348">
        <w:t>do precedents</w:t>
      </w:r>
      <w:r w:rsidRPr="00DB6348">
        <w:t xml:space="preserve"> apply to this case?</w:t>
      </w:r>
    </w:p>
    <w:p w14:paraId="4422E437" w14:textId="77777777" w:rsidR="00CB09BD" w:rsidRPr="00DB6348" w:rsidRDefault="00CB09BD" w:rsidP="00CB09BD">
      <w:pPr>
        <w:pStyle w:val="Stepsl"/>
        <w:numPr>
          <w:ilvl w:val="0"/>
          <w:numId w:val="21"/>
        </w:numPr>
        <w:spacing w:before="240" w:after="120"/>
        <w:ind w:left="540" w:hanging="540"/>
        <w:rPr>
          <w:b/>
        </w:rPr>
      </w:pPr>
      <w:r w:rsidRPr="00DB6348">
        <w:rPr>
          <w:b/>
        </w:rPr>
        <w:t xml:space="preserve">Identify the </w:t>
      </w:r>
      <w:r w:rsidRPr="00DB6348">
        <w:rPr>
          <w:b/>
          <w:u w:val="single"/>
        </w:rPr>
        <w:t>issue</w:t>
      </w:r>
      <w:r w:rsidRPr="00DB6348">
        <w:rPr>
          <w:b/>
        </w:rPr>
        <w:t xml:space="preserve"> in this case:</w:t>
      </w:r>
    </w:p>
    <w:p w14:paraId="0999E3BB" w14:textId="77777777" w:rsidR="00CB09BD" w:rsidRPr="00DB6348" w:rsidRDefault="00CB09BD" w:rsidP="00CB09BD">
      <w:pPr>
        <w:pStyle w:val="Bulletsl"/>
        <w:ind w:left="900"/>
      </w:pPr>
      <w:r w:rsidRPr="00DB6348">
        <w:t>Who was the actor(s)?</w:t>
      </w:r>
    </w:p>
    <w:p w14:paraId="6FC236ED" w14:textId="77777777" w:rsidR="00CB09BD" w:rsidRPr="00DB6348" w:rsidRDefault="00CB09BD" w:rsidP="00CB09BD">
      <w:pPr>
        <w:pStyle w:val="Bulletsl"/>
        <w:ind w:left="900"/>
      </w:pPr>
      <w:r w:rsidRPr="00DB6348">
        <w:t>What is the specific part of the Constitution involved?</w:t>
      </w:r>
    </w:p>
    <w:p w14:paraId="08C21292" w14:textId="77777777" w:rsidR="00CB09BD" w:rsidRPr="00DB6348" w:rsidRDefault="00CB09BD" w:rsidP="00CB09BD">
      <w:pPr>
        <w:pStyle w:val="Bulletsl"/>
        <w:ind w:left="900"/>
      </w:pPr>
      <w:r w:rsidRPr="00DB6348">
        <w:t>Who was affected by the action(s)?</w:t>
      </w:r>
    </w:p>
    <w:p w14:paraId="184F10E1" w14:textId="77777777" w:rsidR="00CB09BD" w:rsidRPr="00DB6348" w:rsidRDefault="00CB09BD" w:rsidP="00CB09BD">
      <w:pPr>
        <w:pStyle w:val="Bulletsl"/>
        <w:ind w:left="900"/>
      </w:pPr>
      <w:r w:rsidRPr="00DB6348">
        <w:t>What caused the controversy?</w:t>
      </w:r>
    </w:p>
    <w:p w14:paraId="2C47572A" w14:textId="13E39B8B" w:rsidR="00CB09BD" w:rsidRPr="00DB6348" w:rsidRDefault="00CB09BD" w:rsidP="00CB09BD">
      <w:pPr>
        <w:pStyle w:val="Stepsl"/>
        <w:numPr>
          <w:ilvl w:val="0"/>
          <w:numId w:val="21"/>
        </w:numPr>
        <w:spacing w:before="240" w:after="120"/>
        <w:ind w:left="540" w:hanging="540"/>
        <w:rPr>
          <w:b/>
        </w:rPr>
      </w:pPr>
      <w:r w:rsidRPr="00DB6348">
        <w:rPr>
          <w:b/>
        </w:rPr>
        <w:lastRenderedPageBreak/>
        <w:t>You will be assigned a role:</w:t>
      </w:r>
      <w:r w:rsidRPr="00DB6348">
        <w:rPr>
          <w:bCs/>
        </w:rPr>
        <w:t xml:space="preserve"> You will be assigned to be a petitioner, respondent</w:t>
      </w:r>
      <w:r w:rsidR="0084194A" w:rsidRPr="00DB6348">
        <w:rPr>
          <w:bCs/>
        </w:rPr>
        <w:t>,</w:t>
      </w:r>
      <w:r w:rsidRPr="00DB6348">
        <w:rPr>
          <w:bCs/>
        </w:rPr>
        <w:t xml:space="preserve"> or justice for the mini-moot court. You will meet with others in the class who will play the same role to prepare.</w:t>
      </w:r>
    </w:p>
    <w:p w14:paraId="1E1AEF47" w14:textId="77777777" w:rsidR="00CB09BD" w:rsidRPr="00DB6348" w:rsidRDefault="00CB09BD" w:rsidP="00CB09BD">
      <w:pPr>
        <w:pStyle w:val="Stepsl"/>
        <w:numPr>
          <w:ilvl w:val="0"/>
          <w:numId w:val="21"/>
        </w:numPr>
        <w:spacing w:before="240" w:after="120"/>
        <w:ind w:left="540" w:hanging="540"/>
        <w:rPr>
          <w:b/>
        </w:rPr>
      </w:pPr>
      <w:r w:rsidRPr="00DB6348">
        <w:rPr>
          <w:b/>
        </w:rPr>
        <w:t>Prepare for your role in groups:</w:t>
      </w:r>
    </w:p>
    <w:p w14:paraId="0A5A374F" w14:textId="77777777" w:rsidR="00CB09BD" w:rsidRPr="00DB6348" w:rsidRDefault="00CB09BD" w:rsidP="00CB09BD">
      <w:pPr>
        <w:pStyle w:val="Basiccopysl"/>
        <w:ind w:left="540"/>
        <w:rPr>
          <w:b/>
          <w:bCs/>
          <w:sz w:val="24"/>
          <w:szCs w:val="24"/>
          <w:u w:val="single"/>
        </w:rPr>
      </w:pPr>
      <w:r w:rsidRPr="00DB6348">
        <w:rPr>
          <w:b/>
          <w:bCs/>
          <w:sz w:val="24"/>
          <w:szCs w:val="24"/>
          <w:u w:val="single"/>
        </w:rPr>
        <w:t xml:space="preserve">Petitioner/respondent attorney group preparation: </w:t>
      </w:r>
    </w:p>
    <w:p w14:paraId="4208943C" w14:textId="77777777" w:rsidR="00CB09BD" w:rsidRPr="00DB6348" w:rsidRDefault="00CB09BD" w:rsidP="00CB09BD">
      <w:pPr>
        <w:pStyle w:val="Basiccopysl"/>
        <w:ind w:left="540"/>
        <w:rPr>
          <w:sz w:val="24"/>
          <w:szCs w:val="24"/>
        </w:rPr>
      </w:pPr>
      <w:r w:rsidRPr="00DB6348">
        <w:rPr>
          <w:sz w:val="24"/>
          <w:szCs w:val="24"/>
        </w:rPr>
        <w:t>Each group of students should consider:</w:t>
      </w:r>
    </w:p>
    <w:p w14:paraId="5E2BA706" w14:textId="77777777" w:rsidR="00CB09BD" w:rsidRPr="00DB6348" w:rsidRDefault="00CB09BD" w:rsidP="00CB09BD">
      <w:pPr>
        <w:pStyle w:val="Bulletsl"/>
        <w:ind w:left="900"/>
      </w:pPr>
      <w:r w:rsidRPr="00DB6348">
        <w:t>What does each side (party) want?</w:t>
      </w:r>
    </w:p>
    <w:p w14:paraId="4BB37A3B" w14:textId="77777777" w:rsidR="00CB09BD" w:rsidRPr="00DB6348" w:rsidRDefault="00CB09BD" w:rsidP="00CB09BD">
      <w:pPr>
        <w:pStyle w:val="Bulletsl"/>
        <w:ind w:left="900"/>
      </w:pPr>
      <w:r w:rsidRPr="00DB6348">
        <w:t>What are the arguments in favor of and against each side?</w:t>
      </w:r>
    </w:p>
    <w:p w14:paraId="3F64F63C" w14:textId="77777777" w:rsidR="00CB09BD" w:rsidRPr="00DB6348" w:rsidRDefault="00CB09BD" w:rsidP="00CB09BD">
      <w:pPr>
        <w:pStyle w:val="Bulletsl"/>
        <w:ind w:left="900"/>
      </w:pPr>
      <w:r w:rsidRPr="00DB6348">
        <w:t>Which arguments are the most persuasive? Why? What counter arguments should you anticipate and how will you rebut them?</w:t>
      </w:r>
    </w:p>
    <w:p w14:paraId="1F473C9B" w14:textId="0328833B" w:rsidR="00CB09BD" w:rsidRPr="00DB6348" w:rsidRDefault="00CB09BD" w:rsidP="00CB09BD">
      <w:pPr>
        <w:pStyle w:val="Bulletsl"/>
        <w:ind w:left="900"/>
      </w:pPr>
      <w:r w:rsidRPr="00DB6348">
        <w:t>How do the legal precedents</w:t>
      </w:r>
      <w:r w:rsidR="00BB4D0B" w:rsidRPr="00DB6348">
        <w:t xml:space="preserve"> </w:t>
      </w:r>
      <w:r w:rsidRPr="00DB6348">
        <w:t>influence this case? (A precedent is a previously decided case recognized as the authority for future cases on that issue. Using precedents allows for the development of more sophisticated arguments.)</w:t>
      </w:r>
    </w:p>
    <w:p w14:paraId="0AECD3DD" w14:textId="77777777" w:rsidR="00CB09BD" w:rsidRPr="00DB6348" w:rsidRDefault="00CB09BD" w:rsidP="00CB09BD">
      <w:pPr>
        <w:pStyle w:val="Bulletsl"/>
        <w:ind w:left="900"/>
      </w:pPr>
      <w:r w:rsidRPr="00DB6348">
        <w:t>What might be the consequences of each possible decision? To each side? To society?</w:t>
      </w:r>
    </w:p>
    <w:p w14:paraId="3A8878B0" w14:textId="77777777" w:rsidR="00CB09BD" w:rsidRPr="00DB6348" w:rsidRDefault="00CB09BD" w:rsidP="00CB09BD">
      <w:pPr>
        <w:pStyle w:val="Bulletsl"/>
        <w:ind w:left="900"/>
      </w:pPr>
      <w:r w:rsidRPr="00DB6348">
        <w:t>Are there any alternatives besides what each side is demanding?</w:t>
      </w:r>
    </w:p>
    <w:p w14:paraId="208AC2A5" w14:textId="77777777" w:rsidR="00CB09BD" w:rsidRPr="00DB6348" w:rsidRDefault="00CB09BD" w:rsidP="00CB09BD">
      <w:pPr>
        <w:pStyle w:val="Basiccopysl"/>
        <w:spacing w:before="240"/>
        <w:ind w:left="540"/>
        <w:rPr>
          <w:b/>
          <w:bCs/>
          <w:i/>
          <w:iCs/>
          <w:sz w:val="24"/>
          <w:szCs w:val="24"/>
        </w:rPr>
      </w:pPr>
      <w:r w:rsidRPr="00DB6348">
        <w:rPr>
          <w:b/>
          <w:bCs/>
          <w:i/>
          <w:iCs/>
          <w:sz w:val="24"/>
          <w:szCs w:val="24"/>
        </w:rPr>
        <w:t xml:space="preserve">Note: </w:t>
      </w:r>
      <w:r w:rsidRPr="00DB6348">
        <w:rPr>
          <w:i/>
          <w:iCs/>
          <w:sz w:val="24"/>
          <w:szCs w:val="24"/>
        </w:rPr>
        <w:t>Your team should consider all of the facts in the summary. You may not argue the accuracy of the facts. Your arguments do not need to only be rooted in legal technicalities. Any argument that is persuasive from a philosophical, theoretical, conceptual, or practical standpoint can be made. Teams should rely on principles found or implied in the United States Constitution.</w:t>
      </w:r>
    </w:p>
    <w:p w14:paraId="2E4DFE40" w14:textId="77777777" w:rsidR="00CB09BD" w:rsidRPr="00DB6348" w:rsidRDefault="00CB09BD" w:rsidP="00CB09BD">
      <w:pPr>
        <w:pStyle w:val="Basiccopysl"/>
        <w:ind w:left="540"/>
        <w:rPr>
          <w:b/>
          <w:bCs/>
          <w:sz w:val="24"/>
          <w:szCs w:val="24"/>
          <w:u w:val="single"/>
        </w:rPr>
      </w:pPr>
      <w:r w:rsidRPr="00DB6348">
        <w:rPr>
          <w:b/>
          <w:bCs/>
          <w:sz w:val="24"/>
          <w:szCs w:val="24"/>
          <w:u w:val="single"/>
        </w:rPr>
        <w:t xml:space="preserve">Justice/judge preparation: </w:t>
      </w:r>
    </w:p>
    <w:p w14:paraId="429C9F35" w14:textId="6624D6B6" w:rsidR="00CB09BD" w:rsidRPr="00DB6348" w:rsidRDefault="00CB09BD" w:rsidP="00CB09BD">
      <w:pPr>
        <w:pStyle w:val="Basiccopysl"/>
        <w:ind w:left="540"/>
        <w:rPr>
          <w:sz w:val="24"/>
          <w:szCs w:val="24"/>
        </w:rPr>
      </w:pPr>
      <w:r w:rsidRPr="00DB6348">
        <w:rPr>
          <w:sz w:val="24"/>
          <w:szCs w:val="24"/>
        </w:rPr>
        <w:t>You should meet with the other justices to discuss the issue involved and any case precedents. You should prepare at least five questions for each side that you need to have answered by the attorneys in order to reach a decision. The questions should not ask about the accuracy of the facts, but rather how the established facts, constitutional provisions, and precedents support each argument. Think about possible hypothetical problems to ask. How will the decision in this case affect other cases in the future?</w:t>
      </w:r>
    </w:p>
    <w:p w14:paraId="60E40CAA" w14:textId="096CB6B4" w:rsidR="00CB09BD" w:rsidRPr="00DB6348" w:rsidRDefault="00CB09BD" w:rsidP="00CB09BD">
      <w:pPr>
        <w:pStyle w:val="Stepsl"/>
        <w:numPr>
          <w:ilvl w:val="0"/>
          <w:numId w:val="21"/>
        </w:numPr>
        <w:spacing w:before="240" w:after="120"/>
        <w:ind w:left="540" w:hanging="540"/>
        <w:rPr>
          <w:b/>
        </w:rPr>
      </w:pPr>
      <w:r w:rsidRPr="00DB6348">
        <w:rPr>
          <w:b/>
        </w:rPr>
        <w:t>The mini-moot court:</w:t>
      </w:r>
    </w:p>
    <w:p w14:paraId="27C6C45B" w14:textId="77777777" w:rsidR="00CB09BD" w:rsidRPr="00DB6348" w:rsidRDefault="00CB09BD" w:rsidP="00CB09BD">
      <w:pPr>
        <w:pStyle w:val="Basiccopysl"/>
        <w:ind w:left="540"/>
        <w:rPr>
          <w:sz w:val="24"/>
          <w:szCs w:val="24"/>
        </w:rPr>
      </w:pPr>
      <w:r w:rsidRPr="00DB6348">
        <w:rPr>
          <w:sz w:val="24"/>
          <w:szCs w:val="24"/>
        </w:rPr>
        <w:t>Move to a mini-moot triad. Each triad will have a justice, a petitioner, and a respondent.</w:t>
      </w:r>
    </w:p>
    <w:p w14:paraId="0F678E6F" w14:textId="77777777" w:rsidR="00CB09BD" w:rsidRPr="00DB6348" w:rsidRDefault="00CB09BD" w:rsidP="00CB09BD">
      <w:pPr>
        <w:pStyle w:val="Basiccopysl"/>
        <w:ind w:left="540"/>
        <w:rPr>
          <w:sz w:val="24"/>
          <w:szCs w:val="24"/>
        </w:rPr>
      </w:pPr>
      <w:r w:rsidRPr="00DB6348">
        <w:rPr>
          <w:sz w:val="24"/>
          <w:szCs w:val="24"/>
        </w:rPr>
        <w:t>The justice will run the mini-moot court. The justice should ask each side to present their arguments in the following order:</w:t>
      </w:r>
    </w:p>
    <w:p w14:paraId="12CFF4B8" w14:textId="77777777" w:rsidR="00CB09BD" w:rsidRPr="00DB6348" w:rsidRDefault="00CB09BD" w:rsidP="00CB09BD">
      <w:pPr>
        <w:pStyle w:val="BodyText"/>
      </w:pPr>
    </w:p>
    <w:tbl>
      <w:tblPr>
        <w:tblpPr w:leftFromText="180" w:rightFromText="180" w:vertAnchor="text" w:horzAnchor="margin" w:tblpXSpec="center"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2566"/>
        <w:gridCol w:w="2439"/>
      </w:tblGrid>
      <w:tr w:rsidR="00CB09BD" w:rsidRPr="00DB6348" w14:paraId="50D768F9" w14:textId="77777777" w:rsidTr="00CB09BD">
        <w:trPr>
          <w:trHeight w:val="510"/>
        </w:trPr>
        <w:tc>
          <w:tcPr>
            <w:tcW w:w="2583" w:type="dxa"/>
            <w:shd w:val="clear" w:color="auto" w:fill="F1F1F1"/>
          </w:tcPr>
          <w:p w14:paraId="4EEBF9C1"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lastRenderedPageBreak/>
              <w:t>Initial Presentation</w:t>
            </w:r>
          </w:p>
        </w:tc>
        <w:tc>
          <w:tcPr>
            <w:tcW w:w="2566" w:type="dxa"/>
            <w:shd w:val="clear" w:color="auto" w:fill="F1F1F1"/>
          </w:tcPr>
          <w:p w14:paraId="4DD942D2"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Petitioner</w:t>
            </w:r>
          </w:p>
        </w:tc>
        <w:tc>
          <w:tcPr>
            <w:tcW w:w="2439" w:type="dxa"/>
            <w:tcBorders>
              <w:right w:val="nil"/>
            </w:tcBorders>
            <w:shd w:val="clear" w:color="auto" w:fill="F1F1F1"/>
          </w:tcPr>
          <w:p w14:paraId="22E546BC" w14:textId="662F262B" w:rsidR="00CB09BD" w:rsidRPr="00DB6348" w:rsidRDefault="00CB09BD" w:rsidP="005B6807">
            <w:pPr>
              <w:pStyle w:val="TableParagraph"/>
              <w:spacing w:before="60"/>
              <w:rPr>
                <w:rFonts w:ascii="Garamond" w:hAnsi="Garamond"/>
                <w:sz w:val="24"/>
                <w:szCs w:val="24"/>
              </w:rPr>
            </w:pPr>
            <w:r w:rsidRPr="00DB6348">
              <w:rPr>
                <w:rFonts w:ascii="Garamond" w:hAnsi="Garamond"/>
                <w:noProof/>
                <w:sz w:val="24"/>
                <w:szCs w:val="24"/>
              </w:rPr>
              <mc:AlternateContent>
                <mc:Choice Requires="wps">
                  <w:drawing>
                    <wp:anchor distT="0" distB="0" distL="114300" distR="114300" simplePos="0" relativeHeight="251658240" behindDoc="0" locked="0" layoutInCell="1" allowOverlap="1" wp14:anchorId="37841345" wp14:editId="02327E97">
                      <wp:simplePos x="0" y="0"/>
                      <wp:positionH relativeFrom="page">
                        <wp:posOffset>1537970</wp:posOffset>
                      </wp:positionH>
                      <wp:positionV relativeFrom="paragraph">
                        <wp:posOffset>5715</wp:posOffset>
                      </wp:positionV>
                      <wp:extent cx="8890" cy="341630"/>
                      <wp:effectExtent l="0" t="3810" r="635" b="698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41630"/>
                              </a:xfrm>
                              <a:custGeom>
                                <a:avLst/>
                                <a:gdLst>
                                  <a:gd name="T0" fmla="+- 0 9930 9929"/>
                                  <a:gd name="T1" fmla="*/ T0 w 14"/>
                                  <a:gd name="T2" fmla="+- 0 -1731 -2259"/>
                                  <a:gd name="T3" fmla="*/ -1731 h 538"/>
                                  <a:gd name="T4" fmla="+- 0 9943 9929"/>
                                  <a:gd name="T5" fmla="*/ T4 w 14"/>
                                  <a:gd name="T6" fmla="+- 0 -1721 -2259"/>
                                  <a:gd name="T7" fmla="*/ -1721 h 538"/>
                                  <a:gd name="T8" fmla="+- 0 9942 9929"/>
                                  <a:gd name="T9" fmla="*/ T8 w 14"/>
                                  <a:gd name="T10" fmla="+- 0 -2250 -2259"/>
                                  <a:gd name="T11" fmla="*/ -2250 h 538"/>
                                  <a:gd name="T12" fmla="+- 0 9929 9929"/>
                                  <a:gd name="T13" fmla="*/ T12 w 14"/>
                                  <a:gd name="T14" fmla="+- 0 -2259 -2259"/>
                                  <a:gd name="T15" fmla="*/ -2259 h 538"/>
                                  <a:gd name="T16" fmla="+- 0 9930 9929"/>
                                  <a:gd name="T17" fmla="*/ T16 w 14"/>
                                  <a:gd name="T18" fmla="+- 0 -1731 -2259"/>
                                  <a:gd name="T19" fmla="*/ -1731 h 538"/>
                                </a:gdLst>
                                <a:ahLst/>
                                <a:cxnLst>
                                  <a:cxn ang="0">
                                    <a:pos x="T1" y="T3"/>
                                  </a:cxn>
                                  <a:cxn ang="0">
                                    <a:pos x="T5" y="T7"/>
                                  </a:cxn>
                                  <a:cxn ang="0">
                                    <a:pos x="T9" y="T11"/>
                                  </a:cxn>
                                  <a:cxn ang="0">
                                    <a:pos x="T13" y="T15"/>
                                  </a:cxn>
                                  <a:cxn ang="0">
                                    <a:pos x="T17" y="T19"/>
                                  </a:cxn>
                                </a:cxnLst>
                                <a:rect l="0" t="0" r="r" b="b"/>
                                <a:pathLst>
                                  <a:path w="14" h="538">
                                    <a:moveTo>
                                      <a:pt x="1" y="528"/>
                                    </a:moveTo>
                                    <a:lnTo>
                                      <a:pt x="14" y="538"/>
                                    </a:lnTo>
                                    <a:lnTo>
                                      <a:pt x="13" y="9"/>
                                    </a:lnTo>
                                    <a:lnTo>
                                      <a:pt x="0" y="0"/>
                                    </a:lnTo>
                                    <a:lnTo>
                                      <a:pt x="1"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BCB29" id="Freeform: Shape 1" o:spid="_x0000_s1026" style="position:absolute;margin-left:121.1pt;margin-top:.45pt;width:.7pt;height:2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Z+VQMAAAMJAAAOAAAAZHJzL2Uyb0RvYy54bWysVm1vmzAQ/j5p/8Hyx00pgZBXNammVp0m&#10;dVulsh/ggAlogJnthHS/fnc2TiElUzWND2BzD+fn7vH5uL45lgU5cKlyUa2pfzWmhFexSPJqt6Y/&#10;ovvRghKlWZWwQlR8TZ+5ojeb9++um3rFA5GJIuGSgJNKrZp6TTOt65XnqTjjJVNXouYVGFMhS6Zh&#10;KndeIlkD3svCC8bjmdcImdRSxFwpeHtnjXRj/Kcpj/X3NFVck2JNgZs2d2nuW7x7m2u22klWZ3nc&#10;0mD/wKJkeQWLnlzdMc3IXuavXJV5LIUSqb6KRemJNM1jbmKAaPzxWTRPGau5iQWSo+pTmtT/cxt/&#10;OzxKkiegHSUVK0Gie8k5JnxFzPrExyQ1tVoB9ql+lBimqh9E/FOBwetZcKIAQ7bNV5GAM7bXwiTm&#10;mMoSv4SQydHk//mUf37UJIaXi8USNIrBMAn92cSo47GV+zTeK/2ZC+OGHR6UtuIlMDKpT9oAInCS&#10;lgXo+HFExmS5nOAtWLZin2AQsYV98Eg0Jg3xw3NI4CDG08ifT3wyCoLpK18TBwRfFpaR6WRx7i90&#10;sJZZOBlkNnUwZBYOMps5iGMWXGA2d0DLDGCDzKBOezkLg0FmSwdDZotBZn4//Ziu8XDS/K4CFjfI&#10;ze/LgFoOkvO7KkR+MEyvr4FR8wK9rgwWN0yvr8Xl/daVIvJnw/T6Qvxly/ldLc72HFTNztUFy1yp&#10;xMeqrRUYEYZH9NgUZy0UFmUEekDxRRPctuACUFhYF8CQHQTP3wQGrggGxd/iGoU08Onb4JBYAzdl&#10;6YjbZxuwhE5w3gMkJdADtrgEW9VMY57ckDRwIsJOydYUyxhfl+LAI2EAGrNlkzUNTJHDYi/2ourh&#10;wA2wa08DADqze9bWnY3ZheCM7mlBUFrgyh2MzuaerSO73ImXs8aFUNxmH4M1Cp+ixmR1jlclijy5&#10;z4sCw1Vyt70tJDkwbKLmamXpwQqzWSqBn9ll8I3pD9gSbA/ZiuQZ2oMUthPDnwMMMiF/U9JAF15T&#10;9WvPJKek+FJBm1v6YQgxazMJp/MAJrJr2XYtrIrB1ZpqCpsbh7fatvp9LfNdBiv5RslKfIK2lObY&#10;QAw/y6qdQKc1uWn/CrCVd+cG9fLvsvkDAAD//wMAUEsDBBQABgAIAAAAIQDqZAXj2gAAAAcBAAAP&#10;AAAAZHJzL2Rvd25yZXYueG1sTI7LTsMwEEX3SPyDNUjsqFM39JHGqSrEa0voBzjxNImIx1HsNuHv&#10;GVawvLpX5578MLteXHEMnScNy0UCAqn2tqNGw+nz5WELIkRD1vSeUMM3BjgUtze5yayf6AOvZWwE&#10;QyhkRkMb45BJGeoWnQkLPyBxd/ajM5Hj2Eg7monhrpcqSdbSmY74oTUDPrVYf5UXp2Hn8fS6U8vV&#10;+/j8VqmwnWhTHrW+v5uPexAR5/g3hl99VoeCnSp/IRtEr0GlSvGUYSC4VulqDaLS8JhuQBa5/O9f&#10;/AAAAP//AwBQSwECLQAUAAYACAAAACEAtoM4kv4AAADhAQAAEwAAAAAAAAAAAAAAAAAAAAAAW0Nv&#10;bnRlbnRfVHlwZXNdLnhtbFBLAQItABQABgAIAAAAIQA4/SH/1gAAAJQBAAALAAAAAAAAAAAAAAAA&#10;AC8BAABfcmVscy8ucmVsc1BLAQItABQABgAIAAAAIQBnwlZ+VQMAAAMJAAAOAAAAAAAAAAAAAAAA&#10;AC4CAABkcnMvZTJvRG9jLnhtbFBLAQItABQABgAIAAAAIQDqZAXj2gAAAAcBAAAPAAAAAAAAAAAA&#10;AAAAAK8FAABkcnMvZG93bnJldi54bWxQSwUGAAAAAAQABADzAAAAtgYAAAAA&#10;" path="m1,528r13,10l13,9,,,1,528xe" fillcolor="black" stroked="f">
                      <v:path arrowok="t" o:connecttype="custom" o:connectlocs="635,-1099185;8890,-1092835;8255,-1428750;0,-1434465;635,-1099185" o:connectangles="0,0,0,0,0"/>
                      <w10:wrap anchorx="page"/>
                    </v:shape>
                  </w:pict>
                </mc:Fallback>
              </mc:AlternateContent>
            </w:r>
            <w:r w:rsidRPr="00DB6348">
              <w:rPr>
                <w:rFonts w:ascii="Garamond" w:hAnsi="Garamond"/>
                <w:sz w:val="24"/>
                <w:szCs w:val="24"/>
              </w:rPr>
              <w:t>3 minutes</w:t>
            </w:r>
          </w:p>
        </w:tc>
      </w:tr>
      <w:tr w:rsidR="00CB09BD" w:rsidRPr="00DB6348" w14:paraId="5236DA4A" w14:textId="77777777" w:rsidTr="00CB09BD">
        <w:trPr>
          <w:trHeight w:val="520"/>
        </w:trPr>
        <w:tc>
          <w:tcPr>
            <w:tcW w:w="2583" w:type="dxa"/>
          </w:tcPr>
          <w:p w14:paraId="72E2E7A7"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t>Initial Presentation</w:t>
            </w:r>
          </w:p>
        </w:tc>
        <w:tc>
          <w:tcPr>
            <w:tcW w:w="2566" w:type="dxa"/>
          </w:tcPr>
          <w:p w14:paraId="05DDF1A6"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Respondent</w:t>
            </w:r>
          </w:p>
        </w:tc>
        <w:tc>
          <w:tcPr>
            <w:tcW w:w="2439" w:type="dxa"/>
          </w:tcPr>
          <w:p w14:paraId="2E8C2A13"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3 minutes</w:t>
            </w:r>
          </w:p>
        </w:tc>
      </w:tr>
      <w:tr w:rsidR="00CB09BD" w:rsidRPr="00DB6348" w14:paraId="7EA1968E" w14:textId="77777777" w:rsidTr="00CB09BD">
        <w:trPr>
          <w:trHeight w:val="510"/>
        </w:trPr>
        <w:tc>
          <w:tcPr>
            <w:tcW w:w="2583" w:type="dxa"/>
            <w:shd w:val="clear" w:color="auto" w:fill="F1F1F1"/>
          </w:tcPr>
          <w:p w14:paraId="1D613C5A"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t>Rebuttal</w:t>
            </w:r>
          </w:p>
        </w:tc>
        <w:tc>
          <w:tcPr>
            <w:tcW w:w="2566" w:type="dxa"/>
            <w:shd w:val="clear" w:color="auto" w:fill="F1F1F1"/>
          </w:tcPr>
          <w:p w14:paraId="3654F8A6"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Petitioner</w:t>
            </w:r>
          </w:p>
        </w:tc>
        <w:tc>
          <w:tcPr>
            <w:tcW w:w="2439" w:type="dxa"/>
            <w:shd w:val="clear" w:color="auto" w:fill="F1F1F1"/>
          </w:tcPr>
          <w:p w14:paraId="74D3DBBB"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2 minutes</w:t>
            </w:r>
          </w:p>
        </w:tc>
      </w:tr>
      <w:tr w:rsidR="00CB09BD" w:rsidRPr="00DB6348" w14:paraId="75EF2B94" w14:textId="77777777" w:rsidTr="00CB09BD">
        <w:trPr>
          <w:trHeight w:val="511"/>
        </w:trPr>
        <w:tc>
          <w:tcPr>
            <w:tcW w:w="2583" w:type="dxa"/>
          </w:tcPr>
          <w:p w14:paraId="1819CF15" w14:textId="77777777" w:rsidR="00CB09BD" w:rsidRPr="00DB6348" w:rsidRDefault="00CB09BD" w:rsidP="005B6807">
            <w:pPr>
              <w:pStyle w:val="TableParagraph"/>
              <w:spacing w:before="60"/>
              <w:rPr>
                <w:rFonts w:ascii="Garamond" w:hAnsi="Garamond"/>
                <w:b/>
                <w:sz w:val="24"/>
                <w:szCs w:val="24"/>
              </w:rPr>
            </w:pPr>
            <w:r w:rsidRPr="00DB6348">
              <w:rPr>
                <w:rFonts w:ascii="Garamond" w:hAnsi="Garamond"/>
                <w:b/>
                <w:sz w:val="24"/>
                <w:szCs w:val="24"/>
              </w:rPr>
              <w:t>Rebuttal</w:t>
            </w:r>
          </w:p>
        </w:tc>
        <w:tc>
          <w:tcPr>
            <w:tcW w:w="2566" w:type="dxa"/>
          </w:tcPr>
          <w:p w14:paraId="312A1818"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Respondent</w:t>
            </w:r>
          </w:p>
        </w:tc>
        <w:tc>
          <w:tcPr>
            <w:tcW w:w="2439" w:type="dxa"/>
          </w:tcPr>
          <w:p w14:paraId="36EB24CA" w14:textId="77777777" w:rsidR="00CB09BD" w:rsidRPr="00DB6348" w:rsidRDefault="00CB09BD" w:rsidP="005B6807">
            <w:pPr>
              <w:pStyle w:val="TableParagraph"/>
              <w:spacing w:before="60"/>
              <w:rPr>
                <w:rFonts w:ascii="Garamond" w:hAnsi="Garamond"/>
                <w:sz w:val="24"/>
                <w:szCs w:val="24"/>
              </w:rPr>
            </w:pPr>
            <w:r w:rsidRPr="00DB6348">
              <w:rPr>
                <w:rFonts w:ascii="Garamond" w:hAnsi="Garamond"/>
                <w:sz w:val="24"/>
                <w:szCs w:val="24"/>
              </w:rPr>
              <w:t>2 minutes</w:t>
            </w:r>
          </w:p>
        </w:tc>
      </w:tr>
    </w:tbl>
    <w:p w14:paraId="7367B091" w14:textId="77777777" w:rsidR="00CB09BD" w:rsidRPr="00DB6348" w:rsidRDefault="00CB09BD" w:rsidP="00CB09BD">
      <w:pPr>
        <w:pStyle w:val="BodyText"/>
      </w:pPr>
    </w:p>
    <w:p w14:paraId="6BEDA8C7" w14:textId="77777777" w:rsidR="00CB09BD" w:rsidRPr="00DB6348" w:rsidRDefault="00CB09BD" w:rsidP="00CB09BD">
      <w:pPr>
        <w:pStyle w:val="BodyText"/>
      </w:pPr>
    </w:p>
    <w:p w14:paraId="1770CF1C" w14:textId="77777777" w:rsidR="00CB09BD" w:rsidRPr="00DB6348" w:rsidRDefault="00CB09BD" w:rsidP="00CB09BD">
      <w:pPr>
        <w:pStyle w:val="BodyText"/>
      </w:pPr>
    </w:p>
    <w:p w14:paraId="5DC61F8A" w14:textId="77777777" w:rsidR="00CB09BD" w:rsidRPr="00DB6348" w:rsidRDefault="00CB09BD" w:rsidP="00CB09BD">
      <w:pPr>
        <w:pStyle w:val="BodyText"/>
      </w:pPr>
    </w:p>
    <w:p w14:paraId="14B4DE15" w14:textId="77777777" w:rsidR="00CB09BD" w:rsidRPr="00DB6348" w:rsidRDefault="00CB09BD" w:rsidP="00CB09BD">
      <w:pPr>
        <w:pStyle w:val="BodyText"/>
      </w:pPr>
    </w:p>
    <w:p w14:paraId="79B88326" w14:textId="77777777" w:rsidR="00CB09BD" w:rsidRPr="00DB6348" w:rsidRDefault="00CB09BD" w:rsidP="00CB09BD">
      <w:pPr>
        <w:pStyle w:val="BodyText"/>
      </w:pPr>
    </w:p>
    <w:p w14:paraId="368C397F" w14:textId="77777777" w:rsidR="00CB09BD" w:rsidRPr="00DB6348" w:rsidRDefault="00CB09BD" w:rsidP="00CB09BD">
      <w:pPr>
        <w:pStyle w:val="BodyText"/>
      </w:pPr>
    </w:p>
    <w:p w14:paraId="3C869E2B" w14:textId="77777777" w:rsidR="00CB09BD" w:rsidRPr="00DB6348" w:rsidRDefault="00CB09BD" w:rsidP="00CB09BD">
      <w:pPr>
        <w:pStyle w:val="BodyText"/>
      </w:pPr>
    </w:p>
    <w:p w14:paraId="136EBA14" w14:textId="77777777" w:rsidR="00CB09BD" w:rsidRPr="00DB6348" w:rsidRDefault="00CB09BD" w:rsidP="00CB09BD">
      <w:pPr>
        <w:pStyle w:val="BodyText"/>
        <w:spacing w:before="5"/>
      </w:pPr>
    </w:p>
    <w:p w14:paraId="0F6D91F4" w14:textId="77777777" w:rsidR="00CB09BD" w:rsidRPr="00DB6348" w:rsidRDefault="00CB09BD" w:rsidP="00CB09BD">
      <w:pPr>
        <w:pStyle w:val="Basiccopysl"/>
        <w:ind w:left="540"/>
        <w:rPr>
          <w:sz w:val="24"/>
          <w:szCs w:val="24"/>
        </w:rPr>
      </w:pPr>
      <w:r w:rsidRPr="00DB6348">
        <w:rPr>
          <w:sz w:val="24"/>
          <w:szCs w:val="24"/>
        </w:rPr>
        <w:t>Each side gets three minutes for its basic argument and two minutes for rebuttal. Your teacher will be the official timekeeper of the proceedings.</w:t>
      </w:r>
    </w:p>
    <w:p w14:paraId="7984EA38" w14:textId="77777777" w:rsidR="00CB09BD" w:rsidRPr="00DB6348" w:rsidRDefault="00CB09BD" w:rsidP="00CB09BD">
      <w:pPr>
        <w:pStyle w:val="Basiccopysl"/>
        <w:ind w:left="540"/>
        <w:rPr>
          <w:sz w:val="24"/>
          <w:szCs w:val="24"/>
        </w:rPr>
      </w:pPr>
      <w:r w:rsidRPr="00DB6348">
        <w:rPr>
          <w:sz w:val="24"/>
          <w:szCs w:val="24"/>
        </w:rPr>
        <w:t xml:space="preserve">The justice may ask questions at any time in an effort to clarify the arguments. Time continues to run as the justice interrupts to ask questions. </w:t>
      </w:r>
    </w:p>
    <w:p w14:paraId="7B1A6977" w14:textId="77777777" w:rsidR="00CB09BD" w:rsidRPr="00DB6348" w:rsidRDefault="00CB09BD" w:rsidP="00CB09BD">
      <w:pPr>
        <w:pStyle w:val="Basiccopysl"/>
        <w:ind w:left="540"/>
        <w:rPr>
          <w:sz w:val="24"/>
          <w:szCs w:val="24"/>
        </w:rPr>
      </w:pPr>
      <w:r w:rsidRPr="00DB6348">
        <w:rPr>
          <w:sz w:val="24"/>
          <w:szCs w:val="24"/>
        </w:rPr>
        <w:t>After all arguments have been presented, the justice should consider the arguments and reach a decision. Justices should write their decisions and a brief explanation of the reason they reached that decision including specific arguments and precedents.</w:t>
      </w:r>
    </w:p>
    <w:p w14:paraId="06784E5A" w14:textId="77777777" w:rsidR="00CB09BD" w:rsidRPr="00DB6348" w:rsidRDefault="00CB09BD" w:rsidP="00CB09BD">
      <w:pPr>
        <w:pStyle w:val="Stepsl"/>
        <w:numPr>
          <w:ilvl w:val="0"/>
          <w:numId w:val="21"/>
        </w:numPr>
        <w:spacing w:before="240" w:after="120"/>
        <w:ind w:left="540" w:hanging="540"/>
        <w:rPr>
          <w:b/>
        </w:rPr>
      </w:pPr>
      <w:r w:rsidRPr="00DB6348">
        <w:rPr>
          <w:b/>
        </w:rPr>
        <w:t xml:space="preserve">Handing down decisions: </w:t>
      </w:r>
      <w:r w:rsidRPr="00DB6348">
        <w:rPr>
          <w:bCs/>
        </w:rPr>
        <w:t>Return to your original seats to listen to each justice hand down their decisions and the reasons behind them.</w:t>
      </w:r>
    </w:p>
    <w:p w14:paraId="114B05BF" w14:textId="1ADA724C" w:rsidR="00CB09BD" w:rsidRPr="00DB6348" w:rsidRDefault="00CB09BD" w:rsidP="00CB09BD">
      <w:pPr>
        <w:pStyle w:val="Basiccopysl"/>
        <w:ind w:left="540"/>
        <w:rPr>
          <w:sz w:val="24"/>
          <w:szCs w:val="24"/>
        </w:rPr>
        <w:sectPr w:rsidR="00CB09BD" w:rsidRPr="00DB6348" w:rsidSect="003E047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DB6348">
        <w:rPr>
          <w:sz w:val="24"/>
          <w:szCs w:val="24"/>
        </w:rPr>
        <w:t xml:space="preserve">Your teacher will share the Court’s decision in </w:t>
      </w:r>
      <w:r w:rsidR="00BB4D0B" w:rsidRPr="00DB6348">
        <w:rPr>
          <w:i/>
          <w:iCs/>
          <w:sz w:val="24"/>
          <w:szCs w:val="24"/>
        </w:rPr>
        <w:t>Tinker v. Des Moines</w:t>
      </w:r>
      <w:r w:rsidRPr="00DB6348">
        <w:rPr>
          <w:sz w:val="24"/>
          <w:szCs w:val="24"/>
        </w:rPr>
        <w:t>.</w:t>
      </w:r>
    </w:p>
    <w:p w14:paraId="2BB4FA7C" w14:textId="77777777" w:rsidR="00ED12DA" w:rsidRPr="00ED12DA" w:rsidRDefault="00ED12DA" w:rsidP="00ED12DA">
      <w:pPr>
        <w:pStyle w:val="Title2sl"/>
        <w:spacing w:before="240"/>
        <w:jc w:val="center"/>
        <w:rPr>
          <w:sz w:val="32"/>
          <w:szCs w:val="32"/>
        </w:rPr>
      </w:pPr>
      <w:r w:rsidRPr="00ED12DA">
        <w:rPr>
          <w:i/>
          <w:iCs/>
          <w:sz w:val="32"/>
          <w:szCs w:val="32"/>
        </w:rPr>
        <w:lastRenderedPageBreak/>
        <w:t xml:space="preserve">Tinker v. Des Moines Independent </w:t>
      </w:r>
      <w:r w:rsidRPr="00ED12DA">
        <w:rPr>
          <w:i/>
          <w:iCs/>
          <w:sz w:val="32"/>
          <w:szCs w:val="32"/>
        </w:rPr>
        <w:br/>
        <w:t>Community School District</w:t>
      </w:r>
      <w:r w:rsidRPr="00ED12DA">
        <w:rPr>
          <w:sz w:val="32"/>
          <w:szCs w:val="32"/>
        </w:rPr>
        <w:t xml:space="preserve"> </w:t>
      </w:r>
      <w:r w:rsidRPr="00ED12DA">
        <w:rPr>
          <w:iCs/>
          <w:sz w:val="32"/>
          <w:szCs w:val="32"/>
        </w:rPr>
        <w:t>(1969)</w:t>
      </w:r>
    </w:p>
    <w:p w14:paraId="1B1F4A62" w14:textId="77777777" w:rsidR="00274EC6" w:rsidRPr="00ED7038" w:rsidRDefault="00274EC6" w:rsidP="00274EC6">
      <w:pPr>
        <w:pStyle w:val="Argueddecideddatessl"/>
        <w:spacing w:after="120"/>
      </w:pPr>
      <w:r>
        <w:t>Argued</w:t>
      </w:r>
      <w:r w:rsidRPr="00ED7038">
        <w:t xml:space="preserve">: </w:t>
      </w:r>
      <w:r>
        <w:rPr>
          <w:b w:val="0"/>
        </w:rPr>
        <w:t>November</w:t>
      </w:r>
      <w:r w:rsidRPr="005D78F1">
        <w:rPr>
          <w:b w:val="0"/>
        </w:rPr>
        <w:t xml:space="preserve"> </w:t>
      </w:r>
      <w:r>
        <w:rPr>
          <w:b w:val="0"/>
        </w:rPr>
        <w:t>1</w:t>
      </w:r>
      <w:r w:rsidRPr="005D78F1">
        <w:rPr>
          <w:b w:val="0"/>
        </w:rPr>
        <w:t xml:space="preserve">2, </w:t>
      </w:r>
      <w:r>
        <w:rPr>
          <w:b w:val="0"/>
        </w:rPr>
        <w:t>1968</w:t>
      </w:r>
    </w:p>
    <w:p w14:paraId="1A754468" w14:textId="77777777" w:rsidR="00274EC6" w:rsidRPr="00ED7038" w:rsidRDefault="00274EC6" w:rsidP="00274EC6">
      <w:pPr>
        <w:pStyle w:val="Argueddecideddatessl"/>
        <w:spacing w:after="120"/>
      </w:pPr>
      <w:r>
        <w:t>Decided</w:t>
      </w:r>
      <w:r w:rsidRPr="00ED7038">
        <w:t xml:space="preserve">: </w:t>
      </w:r>
      <w:r>
        <w:rPr>
          <w:b w:val="0"/>
        </w:rPr>
        <w:t>February 24, 1969</w:t>
      </w:r>
    </w:p>
    <w:p w14:paraId="1FCE031B" w14:textId="77777777" w:rsidR="00274EC6" w:rsidRPr="00EE6A86" w:rsidRDefault="00274EC6" w:rsidP="00274EC6">
      <w:pPr>
        <w:pStyle w:val="Subhead2sl"/>
      </w:pPr>
      <w:r w:rsidRPr="00EE6A86">
        <w:t>Facts</w:t>
      </w:r>
    </w:p>
    <w:p w14:paraId="3D59D490" w14:textId="77777777" w:rsidR="00274EC6" w:rsidRPr="00EE6A86" w:rsidRDefault="00274EC6" w:rsidP="00274EC6">
      <w:pPr>
        <w:pStyle w:val="Basiccopysl"/>
      </w:pPr>
      <w:r w:rsidRPr="00EE6A86">
        <w:t>In 1966</w:t>
      </w:r>
      <w:r>
        <w:t>,</w:t>
      </w:r>
      <w:r w:rsidRPr="00EE6A86">
        <w:t xml:space="preserve"> in Des Moines, Iowa, five students</w:t>
      </w:r>
      <w:r>
        <w:t xml:space="preserve"> ages 13–16</w:t>
      </w:r>
      <w:r w:rsidRPr="00EE6A86">
        <w:t xml:space="preserve"> decided to show opposition to the Vietnam War. The students planned to wear two</w:t>
      </w:r>
      <w:r>
        <w:t>-</w:t>
      </w:r>
      <w:r w:rsidRPr="00EE6A86">
        <w:t>inch</w:t>
      </w:r>
      <w:r>
        <w:t>-</w:t>
      </w:r>
      <w:r w:rsidRPr="00EE6A86">
        <w:t>wide black armbands to school f</w:t>
      </w:r>
      <w:r>
        <w:t>or</w:t>
      </w:r>
      <w:r w:rsidRPr="00EE6A86">
        <w:t xml:space="preserve"> two weeks. The school district found out about the students’ plan and preemptively announced a policy that any student who wore a black armband</w:t>
      </w:r>
      <w:r>
        <w:t>,</w:t>
      </w:r>
      <w:r w:rsidRPr="00EE6A86">
        <w:t xml:space="preserve"> or refused to take it off, would be suspended from school after the</w:t>
      </w:r>
      <w:r>
        <w:t xml:space="preserve"> student’s </w:t>
      </w:r>
      <w:r w:rsidRPr="00EE6A86">
        <w:t xml:space="preserve">parents were called. </w:t>
      </w:r>
    </w:p>
    <w:p w14:paraId="3A3C632B" w14:textId="77777777" w:rsidR="00274EC6" w:rsidRPr="008B061A" w:rsidRDefault="00274EC6" w:rsidP="00274EC6">
      <w:pPr>
        <w:pStyle w:val="Basiccopysl"/>
      </w:pPr>
      <w:r w:rsidRPr="008B061A">
        <w:t xml:space="preserve">Mary Beth Tinker, an </w:t>
      </w:r>
      <w:r>
        <w:t>eighth grader,</w:t>
      </w:r>
      <w:r w:rsidRPr="008B061A">
        <w:t xml:space="preserve"> and John Tinker</w:t>
      </w:r>
      <w:r>
        <w:t xml:space="preserve"> and Christopher Eckhardt, both high school students</w:t>
      </w:r>
      <w:r w:rsidRPr="008B061A">
        <w:t xml:space="preserve">, wore black armbands to their respective schools. </w:t>
      </w:r>
      <w:r>
        <w:t>All three teens</w:t>
      </w:r>
      <w:r w:rsidRPr="008B061A">
        <w:t xml:space="preserve"> were sent home for violating the announced ban and told not to return until they agreed not to wear the armbands. </w:t>
      </w:r>
      <w:r>
        <w:t xml:space="preserve">Their parents </w:t>
      </w:r>
      <w:r w:rsidRPr="008B061A">
        <w:t>filed suit against the school district for violating the students</w:t>
      </w:r>
      <w:r>
        <w:t>’</w:t>
      </w:r>
      <w:r w:rsidRPr="008B061A">
        <w:t xml:space="preserve"> </w:t>
      </w:r>
      <w:r>
        <w:t>F</w:t>
      </w:r>
      <w:r w:rsidRPr="008B061A">
        <w:t xml:space="preserve">irst </w:t>
      </w:r>
      <w:r>
        <w:t>A</w:t>
      </w:r>
      <w:r w:rsidRPr="008B061A">
        <w:t xml:space="preserve">mendment right </w:t>
      </w:r>
      <w:r>
        <w:t>to</w:t>
      </w:r>
      <w:r w:rsidRPr="008B061A">
        <w:t xml:space="preserve"> </w:t>
      </w:r>
      <w:r>
        <w:t>free speech</w:t>
      </w:r>
      <w:r w:rsidRPr="008B061A">
        <w:t xml:space="preserve">. The </w:t>
      </w:r>
      <w:r>
        <w:t>federal D</w:t>
      </w:r>
      <w:r w:rsidRPr="008B061A">
        <w:t xml:space="preserve">istrict </w:t>
      </w:r>
      <w:r>
        <w:t>C</w:t>
      </w:r>
      <w:r w:rsidRPr="008B061A">
        <w:t xml:space="preserve">ourt dismissed the case and </w:t>
      </w:r>
      <w:r>
        <w:t>ruled</w:t>
      </w:r>
      <w:r w:rsidRPr="008B061A">
        <w:t xml:space="preserve"> that the school district</w:t>
      </w:r>
      <w:r>
        <w:t>’</w:t>
      </w:r>
      <w:r w:rsidRPr="008B061A">
        <w:t xml:space="preserve">s actions were reasonable to uphold school discipline. The U.S. Court of Appeals for the Eighth Circuit </w:t>
      </w:r>
      <w:r>
        <w:t>agreed with the District Court. The Tinkers asked the U.S. Supreme Court to review that decision, and the Court agreed to hear the case</w:t>
      </w:r>
      <w:r w:rsidRPr="008B061A">
        <w:t>.</w:t>
      </w:r>
    </w:p>
    <w:p w14:paraId="39B52DB5" w14:textId="77777777" w:rsidR="00274EC6" w:rsidRPr="00EE6A86" w:rsidRDefault="00274EC6" w:rsidP="00274EC6">
      <w:pPr>
        <w:pStyle w:val="Subhead2sl"/>
      </w:pPr>
      <w:r w:rsidRPr="00EE6A86">
        <w:t>Issue</w:t>
      </w:r>
    </w:p>
    <w:p w14:paraId="76A73E5C" w14:textId="77777777" w:rsidR="00274EC6" w:rsidRPr="00EE6A86" w:rsidRDefault="00274EC6" w:rsidP="00274EC6">
      <w:pPr>
        <w:pStyle w:val="Basiccopysl"/>
      </w:pPr>
      <w:r w:rsidRPr="008B061A">
        <w:t>Does a prohibition against the wearing of armbands in public school as a form of symbolic speech violate the students</w:t>
      </w:r>
      <w:r>
        <w:t>’</w:t>
      </w:r>
      <w:r w:rsidRPr="008B061A">
        <w:t xml:space="preserve"> freedom of speech protections guaranteed by the First Amendment?</w:t>
      </w:r>
    </w:p>
    <w:p w14:paraId="091045D0" w14:textId="77777777" w:rsidR="00274EC6" w:rsidRPr="00EE6A86" w:rsidRDefault="00274EC6" w:rsidP="00274EC6">
      <w:pPr>
        <w:pStyle w:val="Subhead2sl"/>
      </w:pPr>
      <w:r w:rsidRPr="00EE6A86">
        <w:t xml:space="preserve">Constitutional </w:t>
      </w:r>
      <w:r>
        <w:t>Amendments</w:t>
      </w:r>
      <w:r w:rsidRPr="00EE6A86">
        <w:t xml:space="preserve"> and </w:t>
      </w:r>
      <w:r>
        <w:t xml:space="preserve">Supreme Court </w:t>
      </w:r>
      <w:r w:rsidRPr="00EE6A86">
        <w:t>Precedent</w:t>
      </w:r>
    </w:p>
    <w:p w14:paraId="5052EFBD" w14:textId="77777777" w:rsidR="00274EC6" w:rsidRPr="004475C6" w:rsidRDefault="00274EC6" w:rsidP="00274EC6">
      <w:pPr>
        <w:pStyle w:val="Amendmentprecedentbulletsl"/>
      </w:pPr>
      <w:r>
        <w:t>First Amendment to the U.S. Constitution</w:t>
      </w:r>
    </w:p>
    <w:p w14:paraId="18C401D3" w14:textId="77777777" w:rsidR="00274EC6" w:rsidRPr="008B061A" w:rsidRDefault="00274EC6" w:rsidP="00274EC6">
      <w:pPr>
        <w:pStyle w:val="Indentedbasiccopysl"/>
      </w:pPr>
      <w:r>
        <w:t>“</w:t>
      </w:r>
      <w:r w:rsidRPr="00EE6A86">
        <w:t xml:space="preserve">Congress shall make no law </w:t>
      </w:r>
      <w:r>
        <w:t xml:space="preserve">. . . </w:t>
      </w:r>
      <w:r w:rsidRPr="00EE6A86">
        <w:t>abridging the freedom of speech</w:t>
      </w:r>
      <w:r>
        <w:t xml:space="preserve"> </w:t>
      </w:r>
      <w:proofErr w:type="gramStart"/>
      <w:r>
        <w:t>. . . .</w:t>
      </w:r>
      <w:proofErr w:type="gramEnd"/>
      <w:r>
        <w:t xml:space="preserve"> ”</w:t>
      </w:r>
    </w:p>
    <w:p w14:paraId="3286BF2A" w14:textId="77777777" w:rsidR="00274EC6" w:rsidRDefault="00274EC6" w:rsidP="00274EC6">
      <w:pPr>
        <w:pStyle w:val="Amendmentprecedentbulletsl"/>
      </w:pPr>
      <w:r>
        <w:t>14</w:t>
      </w:r>
      <w:r w:rsidRPr="00C843BF">
        <w:rPr>
          <w:vertAlign w:val="superscript"/>
        </w:rPr>
        <w:t>th</w:t>
      </w:r>
      <w:r>
        <w:t xml:space="preserve"> Amendment to the </w:t>
      </w:r>
      <w:r w:rsidRPr="00D83DB1">
        <w:t xml:space="preserve">U.S. Constitution </w:t>
      </w:r>
    </w:p>
    <w:p w14:paraId="76607AFB" w14:textId="77777777" w:rsidR="00274EC6" w:rsidRDefault="00274EC6" w:rsidP="00274EC6">
      <w:pPr>
        <w:pStyle w:val="Amendmentprecedentbulletsl"/>
        <w:numPr>
          <w:ilvl w:val="0"/>
          <w:numId w:val="0"/>
        </w:numPr>
        <w:spacing w:before="0"/>
        <w:ind w:left="720"/>
        <w:rPr>
          <w:b w:val="0"/>
          <w:bCs/>
        </w:rPr>
      </w:pPr>
      <w:r>
        <w:rPr>
          <w:b w:val="0"/>
          <w:bCs/>
        </w:rPr>
        <w:t>“</w:t>
      </w:r>
      <w:r w:rsidRPr="00401E16">
        <w:rPr>
          <w:b w:val="0"/>
          <w:bCs/>
        </w:rPr>
        <w:t>No state shall make or enforce any law which shall abridge the privileges or immunities of citizens of the United States; nor shall any state deprive any person of life, liberty or property, without due process of law</w:t>
      </w:r>
      <w:r>
        <w:rPr>
          <w:b w:val="0"/>
          <w:bCs/>
        </w:rPr>
        <w:t xml:space="preserve"> </w:t>
      </w:r>
      <w:proofErr w:type="gramStart"/>
      <w:r>
        <w:rPr>
          <w:b w:val="0"/>
          <w:bCs/>
        </w:rPr>
        <w:t>. . . .</w:t>
      </w:r>
      <w:proofErr w:type="gramEnd"/>
      <w:r>
        <w:rPr>
          <w:b w:val="0"/>
          <w:bCs/>
        </w:rPr>
        <w:t>”</w:t>
      </w:r>
    </w:p>
    <w:p w14:paraId="6E5AEF62" w14:textId="77777777" w:rsidR="00274EC6" w:rsidRPr="00C226F6" w:rsidRDefault="00274EC6" w:rsidP="00274EC6">
      <w:pPr>
        <w:pStyle w:val="Amendmentprecedentbulletsl"/>
        <w:keepNext/>
        <w:rPr>
          <w:b w:val="0"/>
          <w:bCs/>
        </w:rPr>
      </w:pPr>
      <w:r w:rsidRPr="00C226F6">
        <w:rPr>
          <w:b w:val="0"/>
          <w:bCs/>
          <w:i/>
        </w:rPr>
        <w:t>West Virginia State Board of Education v. Barnette</w:t>
      </w:r>
      <w:r w:rsidRPr="00C226F6">
        <w:rPr>
          <w:b w:val="0"/>
          <w:bCs/>
        </w:rPr>
        <w:t xml:space="preserve"> (1943)</w:t>
      </w:r>
    </w:p>
    <w:p w14:paraId="319E7AB6" w14:textId="77777777" w:rsidR="00274EC6" w:rsidRPr="00EE6A86" w:rsidRDefault="00274EC6" w:rsidP="00274EC6">
      <w:pPr>
        <w:pStyle w:val="Indentedbasiccopysl"/>
      </w:pPr>
      <w:r w:rsidRPr="00EE6A86">
        <w:t xml:space="preserve">The West Virginia Board of Education required that all public schools include a salute of the American flag as a part of their activities. </w:t>
      </w:r>
      <w:r>
        <w:t>All</w:t>
      </w:r>
      <w:r w:rsidRPr="00EE6A86">
        <w:t xml:space="preserve"> teachers and pupils were required to salute the flag. If they did not, they could be charged with </w:t>
      </w:r>
      <w:r>
        <w:t>“</w:t>
      </w:r>
      <w:r w:rsidRPr="00EE6A86">
        <w:t>insubordination</w:t>
      </w:r>
      <w:r>
        <w:t>”</w:t>
      </w:r>
      <w:r w:rsidRPr="00EE6A86">
        <w:t xml:space="preserve"> and punished. Students </w:t>
      </w:r>
      <w:r>
        <w:lastRenderedPageBreak/>
        <w:t>who were Jehovah’s Witnesses and had</w:t>
      </w:r>
      <w:r w:rsidRPr="00EE6A86">
        <w:t xml:space="preserve"> a religious objection to saluting the flag sued the state board of education. The Supreme Court ruled that this mandatory salute was unconstitutional. </w:t>
      </w:r>
      <w:r>
        <w:t>The Court</w:t>
      </w:r>
      <w:r w:rsidRPr="00EE6A86">
        <w:t xml:space="preserve"> said that a flag salute was a form of speech because it was a way to communicate ideas. </w:t>
      </w:r>
      <w:r>
        <w:t>The justices ruled that, in most cases, t</w:t>
      </w:r>
      <w:r w:rsidRPr="00EE6A86">
        <w:t>he government</w:t>
      </w:r>
      <w:r>
        <w:t xml:space="preserve"> </w:t>
      </w:r>
      <w:r w:rsidRPr="00EE6A86">
        <w:t>could not require people to express ideas that they disagree with.</w:t>
      </w:r>
      <w:r>
        <w:t xml:space="preserve"> </w:t>
      </w:r>
    </w:p>
    <w:p w14:paraId="48F197F8" w14:textId="77777777" w:rsidR="001D0F02" w:rsidRPr="00574BDA" w:rsidRDefault="001D0F02" w:rsidP="0096254D">
      <w:pPr>
        <w:spacing w:after="0"/>
        <w:rPr>
          <w:rFonts w:ascii="Garamond" w:eastAsia="Garamond" w:hAnsi="Garamond" w:cs="Garamond"/>
          <w:sz w:val="24"/>
          <w:szCs w:val="24"/>
        </w:rPr>
        <w:sectPr w:rsidR="001D0F02" w:rsidRPr="00574BDA" w:rsidSect="003E0475">
          <w:footerReference w:type="first" r:id="rId15"/>
          <w:pgSz w:w="12240" w:h="15840"/>
          <w:pgMar w:top="1440" w:right="1440" w:bottom="1440" w:left="1440" w:header="720" w:footer="720" w:gutter="0"/>
          <w:cols w:space="720"/>
          <w:titlePg/>
          <w:docGrid w:linePitch="360"/>
        </w:sectPr>
      </w:pPr>
    </w:p>
    <w:p w14:paraId="775FE0E1"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Handout 1</w:t>
      </w:r>
      <w:r>
        <w:rPr>
          <w:rFonts w:ascii="Gill Sans MT" w:hAnsi="Gill Sans MT"/>
          <w:b/>
          <w:sz w:val="44"/>
        </w:rPr>
        <w:t>: Justice/Judge</w:t>
      </w:r>
    </w:p>
    <w:p w14:paraId="34430522" w14:textId="77777777" w:rsidR="001D0F02" w:rsidRPr="000C5526" w:rsidRDefault="001D0F02" w:rsidP="001D0F02">
      <w:pPr>
        <w:spacing w:after="120"/>
        <w:rPr>
          <w:rFonts w:ascii="Gill Sans MT" w:hAnsi="Gill Sans MT"/>
          <w:sz w:val="24"/>
          <w:szCs w:val="24"/>
        </w:rPr>
      </w:pPr>
      <w:r w:rsidRPr="000C5526">
        <w:rPr>
          <w:rFonts w:ascii="Gill Sans MT" w:hAnsi="Gill Sans MT"/>
          <w:sz w:val="24"/>
          <w:szCs w:val="24"/>
        </w:rPr>
        <w:t>Prepare at least five questions to ask each side (petitioner and respondent). The questions should not ask about the accuracy of the facts, but rather how the established facts, constitutional provisions, and precedents support each argument.</w:t>
      </w:r>
    </w:p>
    <w:p w14:paraId="0A28CAB0" w14:textId="77777777" w:rsidR="001D0F02" w:rsidRPr="000C5526" w:rsidRDefault="001D0F02" w:rsidP="001D0F02">
      <w:pPr>
        <w:spacing w:after="240"/>
        <w:rPr>
          <w:rFonts w:ascii="Gill Sans MT" w:hAnsi="Gill Sans MT"/>
          <w:sz w:val="24"/>
          <w:szCs w:val="24"/>
        </w:rPr>
      </w:pPr>
      <w:r w:rsidRPr="000C5526">
        <w:rPr>
          <w:rFonts w:ascii="Gill Sans MT" w:hAnsi="Gill Sans MT"/>
          <w:sz w:val="24"/>
          <w:szCs w:val="24"/>
        </w:rPr>
        <w:t xml:space="preserve">Call the case to order by saying, “We will hear arguments today in (case name).” After hearing arguments from both the petitioner and the respondent, decide whether you think the decision of the lower court should be upheld or overturned. Be prepared to share the reasoning behind your decision. </w:t>
      </w:r>
    </w:p>
    <w:tbl>
      <w:tblPr>
        <w:tblStyle w:val="TableGrid"/>
        <w:tblW w:w="0" w:type="auto"/>
        <w:tblLook w:val="04A0" w:firstRow="1" w:lastRow="0" w:firstColumn="1" w:lastColumn="0" w:noHBand="0" w:noVBand="1"/>
      </w:tblPr>
      <w:tblGrid>
        <w:gridCol w:w="1824"/>
        <w:gridCol w:w="7526"/>
      </w:tblGrid>
      <w:tr w:rsidR="001D0F02" w14:paraId="58A9A7D5" w14:textId="77777777" w:rsidTr="00EE348E">
        <w:tc>
          <w:tcPr>
            <w:tcW w:w="1824" w:type="dxa"/>
          </w:tcPr>
          <w:p w14:paraId="59F4738A"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7526" w:type="dxa"/>
          </w:tcPr>
          <w:p w14:paraId="1201586A" w14:textId="77777777" w:rsidR="001D0F02" w:rsidRDefault="001D0F02" w:rsidP="00EE348E">
            <w:pPr>
              <w:spacing w:after="120"/>
              <w:rPr>
                <w:rFonts w:ascii="Gill Sans MT" w:hAnsi="Gill Sans MT"/>
                <w:sz w:val="24"/>
                <w:szCs w:val="24"/>
              </w:rPr>
            </w:pPr>
          </w:p>
        </w:tc>
      </w:tr>
      <w:tr w:rsidR="001D0F02" w14:paraId="50F5F7A0" w14:textId="77777777" w:rsidTr="00EE348E">
        <w:tc>
          <w:tcPr>
            <w:tcW w:w="1824" w:type="dxa"/>
          </w:tcPr>
          <w:p w14:paraId="7F988199"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Constitutional question(s):</w:t>
            </w:r>
          </w:p>
        </w:tc>
        <w:tc>
          <w:tcPr>
            <w:tcW w:w="7526" w:type="dxa"/>
          </w:tcPr>
          <w:p w14:paraId="18B0C804" w14:textId="77777777" w:rsidR="001D0F02" w:rsidRDefault="001D0F02" w:rsidP="00EE348E">
            <w:pPr>
              <w:spacing w:after="960"/>
              <w:rPr>
                <w:rFonts w:ascii="Gill Sans MT" w:hAnsi="Gill Sans MT"/>
                <w:sz w:val="24"/>
                <w:szCs w:val="24"/>
              </w:rPr>
            </w:pPr>
          </w:p>
        </w:tc>
      </w:tr>
      <w:tr w:rsidR="001D0F02" w14:paraId="623E75CE" w14:textId="77777777" w:rsidTr="00EE348E">
        <w:tc>
          <w:tcPr>
            <w:tcW w:w="9350" w:type="dxa"/>
            <w:gridSpan w:val="2"/>
          </w:tcPr>
          <w:p w14:paraId="07299B7B" w14:textId="77777777" w:rsidR="001D0F02" w:rsidRDefault="001D0F02" w:rsidP="00EE348E">
            <w:pPr>
              <w:spacing w:before="120" w:after="120"/>
              <w:rPr>
                <w:rFonts w:ascii="Gill Sans MT" w:hAnsi="Gill Sans MT"/>
                <w:sz w:val="24"/>
                <w:szCs w:val="24"/>
              </w:rPr>
            </w:pPr>
            <w:r>
              <w:rPr>
                <w:rFonts w:ascii="Gill Sans MT" w:hAnsi="Gill Sans MT"/>
                <w:b/>
                <w:sz w:val="24"/>
                <w:szCs w:val="24"/>
              </w:rPr>
              <w:t>Questions</w:t>
            </w:r>
            <w:r w:rsidRPr="00CC5CDB">
              <w:rPr>
                <w:rFonts w:ascii="Gill Sans MT" w:hAnsi="Gill Sans MT"/>
                <w:b/>
                <w:sz w:val="24"/>
                <w:szCs w:val="24"/>
              </w:rPr>
              <w:t xml:space="preserve"> for petitioner:</w:t>
            </w:r>
          </w:p>
        </w:tc>
      </w:tr>
      <w:tr w:rsidR="001D0F02" w14:paraId="020B504A" w14:textId="77777777" w:rsidTr="00EE348E">
        <w:tc>
          <w:tcPr>
            <w:tcW w:w="9350" w:type="dxa"/>
            <w:gridSpan w:val="2"/>
          </w:tcPr>
          <w:p w14:paraId="113A3B8D" w14:textId="77777777" w:rsidR="001D0F02" w:rsidRDefault="001D0F02" w:rsidP="00EE348E">
            <w:pPr>
              <w:spacing w:after="4440"/>
              <w:rPr>
                <w:rFonts w:ascii="Gill Sans MT" w:hAnsi="Gill Sans MT"/>
                <w:sz w:val="24"/>
                <w:szCs w:val="24"/>
              </w:rPr>
            </w:pPr>
          </w:p>
        </w:tc>
      </w:tr>
      <w:tr w:rsidR="001D0F02" w14:paraId="216A590E" w14:textId="77777777" w:rsidTr="00EE348E">
        <w:tc>
          <w:tcPr>
            <w:tcW w:w="9350" w:type="dxa"/>
            <w:gridSpan w:val="2"/>
          </w:tcPr>
          <w:p w14:paraId="0713E5FA" w14:textId="77777777" w:rsidR="001D0F02" w:rsidRDefault="001D0F02" w:rsidP="00EE348E">
            <w:pPr>
              <w:spacing w:before="120" w:after="120"/>
              <w:rPr>
                <w:rFonts w:ascii="Gill Sans MT" w:hAnsi="Gill Sans MT"/>
                <w:sz w:val="24"/>
                <w:szCs w:val="24"/>
              </w:rPr>
            </w:pPr>
            <w:r>
              <w:rPr>
                <w:rFonts w:ascii="Gill Sans MT" w:hAnsi="Gill Sans MT"/>
                <w:b/>
                <w:sz w:val="24"/>
                <w:szCs w:val="24"/>
              </w:rPr>
              <w:t>Questions for respondent:</w:t>
            </w:r>
          </w:p>
        </w:tc>
      </w:tr>
      <w:tr w:rsidR="001D0F02" w14:paraId="48A30B26" w14:textId="77777777" w:rsidTr="00EE348E">
        <w:tc>
          <w:tcPr>
            <w:tcW w:w="9350" w:type="dxa"/>
            <w:gridSpan w:val="2"/>
          </w:tcPr>
          <w:p w14:paraId="07E71F29" w14:textId="77777777" w:rsidR="001D0F02" w:rsidRDefault="001D0F02" w:rsidP="00EE348E">
            <w:pPr>
              <w:spacing w:before="120" w:after="1560"/>
              <w:rPr>
                <w:rFonts w:ascii="Gill Sans MT" w:hAnsi="Gill Sans MT"/>
                <w:b/>
                <w:sz w:val="24"/>
                <w:szCs w:val="24"/>
              </w:rPr>
            </w:pPr>
          </w:p>
        </w:tc>
      </w:tr>
      <w:tr w:rsidR="001D0F02" w14:paraId="4D6EA019" w14:textId="77777777" w:rsidTr="00EE348E">
        <w:trPr>
          <w:trHeight w:val="350"/>
        </w:trPr>
        <w:tc>
          <w:tcPr>
            <w:tcW w:w="9350" w:type="dxa"/>
            <w:gridSpan w:val="2"/>
          </w:tcPr>
          <w:p w14:paraId="31EF892F" w14:textId="77777777" w:rsidR="001D0F02" w:rsidRDefault="001D0F02" w:rsidP="00EE348E">
            <w:pPr>
              <w:spacing w:before="120" w:after="3120"/>
              <w:rPr>
                <w:rFonts w:ascii="Gill Sans MT" w:hAnsi="Gill Sans MT"/>
                <w:b/>
                <w:sz w:val="24"/>
                <w:szCs w:val="24"/>
              </w:rPr>
            </w:pPr>
            <w:r w:rsidRPr="00CC5CDB">
              <w:rPr>
                <w:rFonts w:ascii="Gill Sans MT" w:hAnsi="Gill Sans MT"/>
                <w:b/>
                <w:color w:val="D9D9D9" w:themeColor="background1" w:themeShade="D9"/>
                <w:sz w:val="24"/>
                <w:szCs w:val="24"/>
              </w:rPr>
              <w:lastRenderedPageBreak/>
              <w:t>Questions for respondent (cont.):</w:t>
            </w:r>
          </w:p>
        </w:tc>
      </w:tr>
      <w:tr w:rsidR="001D0F02" w14:paraId="3EB787ED" w14:textId="77777777" w:rsidTr="00EE348E">
        <w:trPr>
          <w:trHeight w:val="350"/>
        </w:trPr>
        <w:tc>
          <w:tcPr>
            <w:tcW w:w="9350" w:type="dxa"/>
            <w:gridSpan w:val="2"/>
          </w:tcPr>
          <w:p w14:paraId="2800B8A0" w14:textId="77777777" w:rsidR="001D0F02" w:rsidRDefault="001D0F02" w:rsidP="00EE348E">
            <w:pPr>
              <w:spacing w:before="120" w:after="120"/>
              <w:rPr>
                <w:rFonts w:ascii="Gill Sans MT" w:hAnsi="Gill Sans MT"/>
                <w:sz w:val="24"/>
                <w:szCs w:val="24"/>
              </w:rPr>
            </w:pPr>
            <w:r>
              <w:rPr>
                <w:rFonts w:ascii="Gill Sans MT" w:hAnsi="Gill Sans MT"/>
                <w:b/>
                <w:sz w:val="24"/>
                <w:szCs w:val="24"/>
              </w:rPr>
              <w:t>Notes on the petitioner’s argument:</w:t>
            </w:r>
          </w:p>
        </w:tc>
      </w:tr>
      <w:tr w:rsidR="001D0F02" w14:paraId="1BFBF767" w14:textId="77777777" w:rsidTr="00EE348E">
        <w:tc>
          <w:tcPr>
            <w:tcW w:w="9350" w:type="dxa"/>
            <w:gridSpan w:val="2"/>
          </w:tcPr>
          <w:p w14:paraId="21E6529C" w14:textId="77777777" w:rsidR="001D0F02" w:rsidRDefault="001D0F02" w:rsidP="00EE348E">
            <w:pPr>
              <w:spacing w:after="5000"/>
              <w:rPr>
                <w:rFonts w:ascii="Gill Sans MT" w:hAnsi="Gill Sans MT"/>
                <w:sz w:val="24"/>
                <w:szCs w:val="24"/>
              </w:rPr>
            </w:pPr>
          </w:p>
        </w:tc>
      </w:tr>
      <w:tr w:rsidR="001D0F02" w14:paraId="68A36BDC" w14:textId="77777777" w:rsidTr="00EE348E">
        <w:tc>
          <w:tcPr>
            <w:tcW w:w="9350" w:type="dxa"/>
            <w:gridSpan w:val="2"/>
          </w:tcPr>
          <w:p w14:paraId="2C4EDDE5" w14:textId="77777777" w:rsidR="001D0F02" w:rsidRDefault="001D0F02" w:rsidP="00EE348E">
            <w:pPr>
              <w:spacing w:before="120" w:after="120"/>
              <w:rPr>
                <w:rFonts w:ascii="Gill Sans MT" w:hAnsi="Gill Sans MT"/>
                <w:sz w:val="24"/>
                <w:szCs w:val="24"/>
              </w:rPr>
            </w:pPr>
            <w:r>
              <w:rPr>
                <w:rFonts w:ascii="Gill Sans MT" w:hAnsi="Gill Sans MT"/>
                <w:b/>
                <w:sz w:val="24"/>
                <w:szCs w:val="24"/>
              </w:rPr>
              <w:t>Notes on the respondent’s argument:</w:t>
            </w:r>
          </w:p>
        </w:tc>
      </w:tr>
      <w:tr w:rsidR="001D0F02" w14:paraId="70D17912" w14:textId="77777777" w:rsidTr="00EE348E">
        <w:tc>
          <w:tcPr>
            <w:tcW w:w="9350" w:type="dxa"/>
            <w:gridSpan w:val="2"/>
          </w:tcPr>
          <w:p w14:paraId="606DD6AC" w14:textId="77777777" w:rsidR="001D0F02" w:rsidRDefault="001D0F02" w:rsidP="00EE348E">
            <w:pPr>
              <w:spacing w:before="120" w:after="2280"/>
              <w:rPr>
                <w:rFonts w:ascii="Gill Sans MT" w:hAnsi="Gill Sans MT"/>
                <w:sz w:val="24"/>
                <w:szCs w:val="24"/>
              </w:rPr>
            </w:pPr>
          </w:p>
        </w:tc>
      </w:tr>
    </w:tbl>
    <w:p w14:paraId="2F1E99A8" w14:textId="77777777" w:rsidR="001D0F02" w:rsidRDefault="001D0F02" w:rsidP="001D0F02">
      <w:pPr>
        <w:spacing w:line="360" w:lineRule="auto"/>
        <w:jc w:val="both"/>
        <w:rPr>
          <w:rFonts w:ascii="Gill Sans MT" w:hAnsi="Gill Sans MT"/>
          <w:sz w:val="24"/>
          <w:szCs w:val="24"/>
        </w:rPr>
        <w:sectPr w:rsidR="001D0F02" w:rsidSect="003E0475">
          <w:headerReference w:type="default" r:id="rId16"/>
          <w:footerReference w:type="default" r:id="rId17"/>
          <w:headerReference w:type="first" r:id="rId18"/>
          <w:footerReference w:type="first" r:id="rId1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tbl>
      <w:tblPr>
        <w:tblStyle w:val="TableGrid"/>
        <w:tblW w:w="0" w:type="auto"/>
        <w:tblLook w:val="04A0" w:firstRow="1" w:lastRow="0" w:firstColumn="1" w:lastColumn="0" w:noHBand="0" w:noVBand="1"/>
      </w:tblPr>
      <w:tblGrid>
        <w:gridCol w:w="9350"/>
      </w:tblGrid>
      <w:tr w:rsidR="001D0F02" w14:paraId="57CCA37A" w14:textId="77777777" w:rsidTr="00EE348E">
        <w:trPr>
          <w:trHeight w:val="350"/>
        </w:trPr>
        <w:tc>
          <w:tcPr>
            <w:tcW w:w="9350" w:type="dxa"/>
          </w:tcPr>
          <w:p w14:paraId="43F98E15" w14:textId="77777777" w:rsidR="001D0F02" w:rsidRDefault="001D0F02" w:rsidP="00EE348E">
            <w:pPr>
              <w:spacing w:before="120" w:after="2760"/>
              <w:rPr>
                <w:rFonts w:ascii="Gill Sans MT" w:hAnsi="Gill Sans MT"/>
                <w:b/>
                <w:sz w:val="24"/>
                <w:szCs w:val="24"/>
              </w:rPr>
            </w:pPr>
            <w:r>
              <w:rPr>
                <w:rFonts w:ascii="Gill Sans MT" w:hAnsi="Gill Sans MT"/>
                <w:b/>
                <w:color w:val="D9D9D9" w:themeColor="background1" w:themeShade="D9"/>
                <w:sz w:val="24"/>
                <w:szCs w:val="24"/>
              </w:rPr>
              <w:lastRenderedPageBreak/>
              <w:t xml:space="preserve">Notes on </w:t>
            </w:r>
            <w:r w:rsidRPr="00CC5CDB">
              <w:rPr>
                <w:rFonts w:ascii="Gill Sans MT" w:hAnsi="Gill Sans MT"/>
                <w:b/>
                <w:color w:val="D9D9D9" w:themeColor="background1" w:themeShade="D9"/>
                <w:sz w:val="24"/>
                <w:szCs w:val="24"/>
              </w:rPr>
              <w:t>respondent</w:t>
            </w:r>
            <w:r>
              <w:rPr>
                <w:rFonts w:ascii="Gill Sans MT" w:hAnsi="Gill Sans MT"/>
                <w:b/>
                <w:color w:val="D9D9D9" w:themeColor="background1" w:themeShade="D9"/>
                <w:sz w:val="24"/>
                <w:szCs w:val="24"/>
              </w:rPr>
              <w:t>’s argument</w:t>
            </w:r>
            <w:r w:rsidRPr="00CC5CDB">
              <w:rPr>
                <w:rFonts w:ascii="Gill Sans MT" w:hAnsi="Gill Sans MT"/>
                <w:b/>
                <w:color w:val="D9D9D9" w:themeColor="background1" w:themeShade="D9"/>
                <w:sz w:val="24"/>
                <w:szCs w:val="24"/>
              </w:rPr>
              <w:t xml:space="preserve"> (cont.):</w:t>
            </w:r>
          </w:p>
        </w:tc>
      </w:tr>
      <w:tr w:rsidR="001D0F02" w14:paraId="39C6D9A6" w14:textId="77777777" w:rsidTr="00EE348E">
        <w:trPr>
          <w:trHeight w:val="350"/>
        </w:trPr>
        <w:tc>
          <w:tcPr>
            <w:tcW w:w="9350" w:type="dxa"/>
          </w:tcPr>
          <w:p w14:paraId="60A87614" w14:textId="77777777" w:rsidR="001D0F02" w:rsidRDefault="001D0F02" w:rsidP="00EE348E">
            <w:pPr>
              <w:spacing w:before="120" w:after="120"/>
              <w:rPr>
                <w:rFonts w:ascii="Gill Sans MT" w:hAnsi="Gill Sans MT"/>
                <w:sz w:val="24"/>
                <w:szCs w:val="24"/>
              </w:rPr>
            </w:pPr>
            <w:r>
              <w:rPr>
                <w:rFonts w:ascii="Gill Sans MT" w:hAnsi="Gill Sans MT"/>
                <w:b/>
                <w:sz w:val="24"/>
                <w:szCs w:val="24"/>
              </w:rPr>
              <w:t>Decision:</w:t>
            </w:r>
          </w:p>
        </w:tc>
      </w:tr>
      <w:tr w:rsidR="001D0F02" w14:paraId="20FAEFAC" w14:textId="77777777" w:rsidTr="00EE348E">
        <w:tc>
          <w:tcPr>
            <w:tcW w:w="9350" w:type="dxa"/>
          </w:tcPr>
          <w:p w14:paraId="1C987CDD" w14:textId="77777777" w:rsidR="001D0F02" w:rsidRDefault="001D0F02" w:rsidP="00EE348E">
            <w:pPr>
              <w:spacing w:after="1200"/>
              <w:rPr>
                <w:rFonts w:ascii="Gill Sans MT" w:hAnsi="Gill Sans MT"/>
                <w:sz w:val="24"/>
                <w:szCs w:val="24"/>
              </w:rPr>
            </w:pPr>
          </w:p>
        </w:tc>
      </w:tr>
      <w:tr w:rsidR="001D0F02" w14:paraId="27BF7DD9" w14:textId="77777777" w:rsidTr="00EE348E">
        <w:tc>
          <w:tcPr>
            <w:tcW w:w="9350" w:type="dxa"/>
          </w:tcPr>
          <w:p w14:paraId="55C9549A"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Reasons for decision (opinion):</w:t>
            </w:r>
          </w:p>
        </w:tc>
      </w:tr>
      <w:tr w:rsidR="001D0F02" w14:paraId="0E65E117" w14:textId="77777777" w:rsidTr="00EE348E">
        <w:tc>
          <w:tcPr>
            <w:tcW w:w="9350" w:type="dxa"/>
          </w:tcPr>
          <w:p w14:paraId="784BC8DE" w14:textId="77777777" w:rsidR="001D0F02" w:rsidRDefault="001D0F02" w:rsidP="00EE348E">
            <w:pPr>
              <w:spacing w:before="120" w:after="5640"/>
              <w:rPr>
                <w:rFonts w:ascii="Gill Sans MT" w:hAnsi="Gill Sans MT"/>
                <w:sz w:val="24"/>
                <w:szCs w:val="24"/>
              </w:rPr>
            </w:pPr>
            <w:r w:rsidRPr="00CC5CDB">
              <w:rPr>
                <w:rFonts w:ascii="Gill Sans MT" w:hAnsi="Gill Sans MT"/>
                <w:color w:val="808080" w:themeColor="background1" w:themeShade="80"/>
                <w:sz w:val="24"/>
                <w:szCs w:val="24"/>
              </w:rPr>
              <w:t>Consider the strengths of the arguments and how precedents should be applied. Be sure to consider the impact of your decision on other situations that may arise in the future. If there is a precedent that is directly on point (very similar to your case) and you decide NOT to follow that precedent, be prepared to explain why you are overturning an established precedent (this should only happen on rare occasions and for extremely compelling reasons).</w:t>
            </w:r>
          </w:p>
        </w:tc>
      </w:tr>
    </w:tbl>
    <w:p w14:paraId="7578ED51" w14:textId="77777777" w:rsidR="001D0F02" w:rsidRDefault="001D0F02" w:rsidP="001D0F02">
      <w:pPr>
        <w:spacing w:line="360" w:lineRule="auto"/>
        <w:jc w:val="both"/>
        <w:rPr>
          <w:rFonts w:ascii="Gill Sans MT" w:hAnsi="Gill Sans MT"/>
          <w:sz w:val="24"/>
          <w:szCs w:val="24"/>
        </w:rPr>
        <w:sectPr w:rsidR="001D0F02" w:rsidSect="003E0475">
          <w:footerReference w:type="default" r:id="rId2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3B3544F2"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 xml:space="preserve">Handout </w:t>
      </w:r>
      <w:r>
        <w:rPr>
          <w:rFonts w:ascii="Gill Sans MT" w:hAnsi="Gill Sans MT"/>
          <w:b/>
          <w:sz w:val="44"/>
        </w:rPr>
        <w:t>2</w:t>
      </w:r>
      <w:r w:rsidRPr="00CC5CDB">
        <w:rPr>
          <w:rFonts w:ascii="Gill Sans MT" w:hAnsi="Gill Sans MT"/>
          <w:b/>
          <w:sz w:val="44"/>
        </w:rPr>
        <w:t xml:space="preserve">: Petitioner </w:t>
      </w:r>
    </w:p>
    <w:p w14:paraId="05A2CFF5" w14:textId="77777777" w:rsidR="001D0F02" w:rsidRDefault="001D0F02" w:rsidP="001D0F02">
      <w:pPr>
        <w:spacing w:after="120"/>
        <w:rPr>
          <w:rFonts w:ascii="Gill Sans MT" w:hAnsi="Gill Sans MT"/>
          <w:sz w:val="24"/>
          <w:szCs w:val="24"/>
        </w:rPr>
      </w:pPr>
      <w:r w:rsidRPr="00CC5CDB">
        <w:rPr>
          <w:rFonts w:ascii="Gill Sans MT" w:hAnsi="Gill Sans MT"/>
          <w:sz w:val="24"/>
          <w:szCs w:val="24"/>
        </w:rPr>
        <w:t>Outline an argument for the petitioner using the established facts, constitutional provisions, and precedents. Predict what questions the justice/judge will ask. Take notes on the respondent’s argument to help prepare your rebuttal.</w:t>
      </w:r>
    </w:p>
    <w:p w14:paraId="5210ADE3" w14:textId="77777777" w:rsidR="001D0F02" w:rsidRPr="00CC5CDB" w:rsidRDefault="001D0F02" w:rsidP="001D0F02">
      <w:pPr>
        <w:spacing w:after="120"/>
        <w:rPr>
          <w:rFonts w:ascii="Gill Sans MT" w:hAnsi="Gill Sans MT"/>
          <w:sz w:val="24"/>
          <w:szCs w:val="24"/>
        </w:rPr>
      </w:pPr>
      <w:r w:rsidRPr="00CC5CDB">
        <w:rPr>
          <w:rFonts w:ascii="Gill Sans MT" w:hAnsi="Gill Sans MT"/>
          <w:sz w:val="24"/>
          <w:szCs w:val="24"/>
        </w:rPr>
        <w:t xml:space="preserve">In preparing your arguments, you should think about the following questions: </w:t>
      </w:r>
    </w:p>
    <w:p w14:paraId="64EBCD08" w14:textId="77777777" w:rsidR="001D0F02" w:rsidRPr="00CC5CDB" w:rsidRDefault="001D0F02" w:rsidP="001D0F02">
      <w:pPr>
        <w:pStyle w:val="ListParagraph"/>
        <w:numPr>
          <w:ilvl w:val="2"/>
          <w:numId w:val="29"/>
        </w:numPr>
        <w:spacing w:after="120" w:line="276" w:lineRule="auto"/>
        <w:ind w:left="720" w:hanging="360"/>
        <w:rPr>
          <w:rFonts w:ascii="Gill Sans MT" w:hAnsi="Gill Sans MT"/>
          <w:sz w:val="24"/>
          <w:szCs w:val="24"/>
        </w:rPr>
      </w:pPr>
      <w:r w:rsidRPr="00CC5CDB">
        <w:rPr>
          <w:rFonts w:ascii="Gill Sans MT" w:hAnsi="Gill Sans MT"/>
          <w:sz w:val="24"/>
          <w:szCs w:val="24"/>
        </w:rPr>
        <w:t>Why is the decision of the lower court wrong?</w:t>
      </w:r>
    </w:p>
    <w:p w14:paraId="45259781"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decision do you want? </w:t>
      </w:r>
    </w:p>
    <w:p w14:paraId="4E320368"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legal and policy arguments in favor of and against each side? (Anticipating the opposition can strengthen your argument.) </w:t>
      </w:r>
    </w:p>
    <w:p w14:paraId="6FB99AEC"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Which arguments are the most persuasive? Why? </w:t>
      </w:r>
    </w:p>
    <w:p w14:paraId="3E795063"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precedents and how do they influence this case? </w:t>
      </w:r>
    </w:p>
    <w:p w14:paraId="4F0DBB28" w14:textId="77777777" w:rsidR="001D0F02" w:rsidRPr="00CC5CDB" w:rsidRDefault="001D0F02" w:rsidP="001D0F02">
      <w:pPr>
        <w:pStyle w:val="ListParagraph"/>
        <w:numPr>
          <w:ilvl w:val="2"/>
          <w:numId w:val="29"/>
        </w:numPr>
        <w:spacing w:after="240" w:line="276" w:lineRule="auto"/>
        <w:ind w:left="720" w:hanging="360"/>
        <w:rPr>
          <w:rFonts w:ascii="Gill Sans MT" w:hAnsi="Gill Sans MT"/>
          <w:sz w:val="24"/>
          <w:szCs w:val="24"/>
        </w:rPr>
      </w:pPr>
      <w:r w:rsidRPr="00CC5CDB">
        <w:rPr>
          <w:rFonts w:ascii="Gill Sans MT" w:hAnsi="Gill Sans MT"/>
          <w:sz w:val="24"/>
          <w:szCs w:val="24"/>
        </w:rPr>
        <w:t xml:space="preserve">What might be the consequences of each possible decision? </w:t>
      </w:r>
    </w:p>
    <w:tbl>
      <w:tblPr>
        <w:tblStyle w:val="TableGrid"/>
        <w:tblW w:w="0" w:type="auto"/>
        <w:tblLook w:val="04A0" w:firstRow="1" w:lastRow="0" w:firstColumn="1" w:lastColumn="0" w:noHBand="0" w:noVBand="1"/>
      </w:tblPr>
      <w:tblGrid>
        <w:gridCol w:w="2875"/>
        <w:gridCol w:w="6475"/>
      </w:tblGrid>
      <w:tr w:rsidR="001D0F02" w14:paraId="11997E0E" w14:textId="77777777" w:rsidTr="00EE348E">
        <w:tc>
          <w:tcPr>
            <w:tcW w:w="2875" w:type="dxa"/>
          </w:tcPr>
          <w:p w14:paraId="5CD1DB86"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6475" w:type="dxa"/>
          </w:tcPr>
          <w:p w14:paraId="79DF9664" w14:textId="77777777" w:rsidR="001D0F02" w:rsidRDefault="001D0F02" w:rsidP="00EE348E">
            <w:pPr>
              <w:spacing w:after="120"/>
              <w:rPr>
                <w:rFonts w:ascii="Gill Sans MT" w:hAnsi="Gill Sans MT"/>
                <w:sz w:val="24"/>
                <w:szCs w:val="24"/>
              </w:rPr>
            </w:pPr>
          </w:p>
        </w:tc>
      </w:tr>
      <w:tr w:rsidR="001D0F02" w14:paraId="6B8E6D91" w14:textId="77777777" w:rsidTr="00EE348E">
        <w:tc>
          <w:tcPr>
            <w:tcW w:w="2875" w:type="dxa"/>
          </w:tcPr>
          <w:p w14:paraId="48859F26"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Petitioner:</w:t>
            </w:r>
          </w:p>
        </w:tc>
        <w:tc>
          <w:tcPr>
            <w:tcW w:w="6475" w:type="dxa"/>
          </w:tcPr>
          <w:p w14:paraId="49375A42" w14:textId="77777777" w:rsidR="001D0F02" w:rsidRDefault="001D0F02" w:rsidP="00EE348E">
            <w:pPr>
              <w:spacing w:after="120"/>
              <w:rPr>
                <w:rFonts w:ascii="Gill Sans MT" w:hAnsi="Gill Sans MT"/>
                <w:sz w:val="24"/>
                <w:szCs w:val="24"/>
              </w:rPr>
            </w:pPr>
          </w:p>
        </w:tc>
      </w:tr>
      <w:tr w:rsidR="001D0F02" w14:paraId="06E63C41" w14:textId="77777777" w:rsidTr="00EE348E">
        <w:tc>
          <w:tcPr>
            <w:tcW w:w="9350" w:type="dxa"/>
            <w:gridSpan w:val="2"/>
          </w:tcPr>
          <w:p w14:paraId="520E3A7A"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Constitutional question(s):</w:t>
            </w:r>
          </w:p>
        </w:tc>
      </w:tr>
      <w:tr w:rsidR="001D0F02" w14:paraId="72617241" w14:textId="77777777" w:rsidTr="00EE348E">
        <w:tc>
          <w:tcPr>
            <w:tcW w:w="9350" w:type="dxa"/>
            <w:gridSpan w:val="2"/>
          </w:tcPr>
          <w:p w14:paraId="49A24C99" w14:textId="77777777" w:rsidR="001D0F02" w:rsidRDefault="001D0F02" w:rsidP="00EE348E">
            <w:pPr>
              <w:spacing w:after="1200"/>
              <w:rPr>
                <w:rFonts w:ascii="Gill Sans MT" w:hAnsi="Gill Sans MT"/>
                <w:sz w:val="24"/>
                <w:szCs w:val="24"/>
              </w:rPr>
            </w:pPr>
          </w:p>
        </w:tc>
      </w:tr>
      <w:tr w:rsidR="001D0F02" w14:paraId="1EBC3F06" w14:textId="77777777" w:rsidTr="00EE348E">
        <w:tc>
          <w:tcPr>
            <w:tcW w:w="9350" w:type="dxa"/>
            <w:gridSpan w:val="2"/>
          </w:tcPr>
          <w:p w14:paraId="1F691E4D"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Precedents that support your argument:</w:t>
            </w:r>
            <w:r>
              <w:rPr>
                <w:rFonts w:ascii="Gill Sans MT" w:hAnsi="Gill Sans MT"/>
                <w:sz w:val="24"/>
                <w:szCs w:val="24"/>
              </w:rPr>
              <w:t xml:space="preserve"> </w:t>
            </w:r>
          </w:p>
        </w:tc>
      </w:tr>
      <w:tr w:rsidR="001D0F02" w14:paraId="14BD80EF" w14:textId="77777777" w:rsidTr="00EE348E">
        <w:tc>
          <w:tcPr>
            <w:tcW w:w="9350" w:type="dxa"/>
            <w:gridSpan w:val="2"/>
          </w:tcPr>
          <w:p w14:paraId="36CA94DC" w14:textId="77777777" w:rsidR="001D0F02" w:rsidRDefault="001D0F02" w:rsidP="00EE348E">
            <w:pPr>
              <w:spacing w:after="3840"/>
              <w:rPr>
                <w:rFonts w:ascii="Gill Sans MT" w:hAnsi="Gill Sans MT"/>
                <w:sz w:val="24"/>
                <w:szCs w:val="24"/>
              </w:rPr>
            </w:pPr>
          </w:p>
        </w:tc>
      </w:tr>
    </w:tbl>
    <w:p w14:paraId="45080F77" w14:textId="77777777" w:rsidR="001D0F02" w:rsidRDefault="001D0F02" w:rsidP="001D0F02">
      <w:pPr>
        <w:spacing w:after="120"/>
        <w:rPr>
          <w:rFonts w:ascii="Gill Sans MT" w:hAnsi="Gill Sans MT"/>
          <w:sz w:val="24"/>
          <w:szCs w:val="24"/>
        </w:rPr>
      </w:pPr>
    </w:p>
    <w:p w14:paraId="61461C60" w14:textId="77777777" w:rsidR="001D0F02" w:rsidRDefault="001D0F02" w:rsidP="001D0F02">
      <w:pPr>
        <w:sectPr w:rsidR="001D0F02" w:rsidSect="003E0475">
          <w:footerReference w:type="default" r:id="rId21"/>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05932752" w14:textId="77777777" w:rsidTr="00EE348E">
        <w:tc>
          <w:tcPr>
            <w:tcW w:w="9350" w:type="dxa"/>
          </w:tcPr>
          <w:p w14:paraId="59BB680A" w14:textId="77777777" w:rsidR="001D0F02" w:rsidRDefault="001D0F02" w:rsidP="00EE348E">
            <w:pPr>
              <w:spacing w:before="120" w:after="120"/>
            </w:pPr>
            <w:r w:rsidRPr="00CC5CDB">
              <w:rPr>
                <w:rFonts w:ascii="Gill Sans MT" w:hAnsi="Gill Sans MT"/>
                <w:b/>
                <w:sz w:val="24"/>
                <w:szCs w:val="24"/>
              </w:rPr>
              <w:lastRenderedPageBreak/>
              <w:t>Argument for petitioner:</w:t>
            </w:r>
          </w:p>
        </w:tc>
      </w:tr>
      <w:tr w:rsidR="001D0F02" w14:paraId="45CB6D59" w14:textId="77777777" w:rsidTr="00EE348E">
        <w:tc>
          <w:tcPr>
            <w:tcW w:w="9350" w:type="dxa"/>
          </w:tcPr>
          <w:p w14:paraId="7958268A" w14:textId="77777777" w:rsidR="001D0F02" w:rsidRDefault="001D0F02" w:rsidP="00EE348E">
            <w:pPr>
              <w:spacing w:after="7080"/>
            </w:pPr>
          </w:p>
        </w:tc>
      </w:tr>
      <w:tr w:rsidR="001D0F02" w14:paraId="288ED023" w14:textId="77777777" w:rsidTr="00EE348E">
        <w:tc>
          <w:tcPr>
            <w:tcW w:w="9350" w:type="dxa"/>
          </w:tcPr>
          <w:p w14:paraId="282EDADB" w14:textId="77777777" w:rsidR="001D0F02" w:rsidRDefault="001D0F02" w:rsidP="00EE348E">
            <w:pPr>
              <w:spacing w:before="120" w:after="120"/>
            </w:pPr>
            <w:r w:rsidRPr="00CC5CDB">
              <w:rPr>
                <w:rFonts w:ascii="Gill Sans MT" w:hAnsi="Gill Sans MT"/>
                <w:b/>
                <w:sz w:val="24"/>
                <w:szCs w:val="24"/>
              </w:rPr>
              <w:t>Possible questions from justice:</w:t>
            </w:r>
          </w:p>
        </w:tc>
      </w:tr>
      <w:tr w:rsidR="001D0F02" w14:paraId="15DF7951" w14:textId="77777777" w:rsidTr="00EE348E">
        <w:tc>
          <w:tcPr>
            <w:tcW w:w="9350" w:type="dxa"/>
          </w:tcPr>
          <w:p w14:paraId="09D39A9F" w14:textId="77777777" w:rsidR="001D0F02" w:rsidRDefault="001D0F02" w:rsidP="00EE348E">
            <w:pPr>
              <w:spacing w:after="3960"/>
            </w:pPr>
          </w:p>
        </w:tc>
      </w:tr>
    </w:tbl>
    <w:p w14:paraId="393DCAB4" w14:textId="77777777" w:rsidR="001D0F02" w:rsidRDefault="001D0F02" w:rsidP="001D0F02"/>
    <w:p w14:paraId="129630AA" w14:textId="77777777" w:rsidR="001D0F02" w:rsidRDefault="001D0F02" w:rsidP="001D0F02">
      <w:pPr>
        <w:sectPr w:rsidR="001D0F02" w:rsidSect="003E0475">
          <w:footerReference w:type="default" r:id="rId2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6A4EABDE" w14:textId="77777777" w:rsidTr="00EE348E">
        <w:tc>
          <w:tcPr>
            <w:tcW w:w="9350" w:type="dxa"/>
          </w:tcPr>
          <w:p w14:paraId="26D591FF" w14:textId="77777777" w:rsidR="001D0F02" w:rsidRDefault="001D0F02" w:rsidP="00EE348E">
            <w:pPr>
              <w:spacing w:before="120" w:after="120"/>
            </w:pPr>
            <w:r w:rsidRPr="00CC5CDB">
              <w:rPr>
                <w:rFonts w:ascii="Gill Sans MT" w:hAnsi="Gill Sans MT"/>
                <w:b/>
                <w:sz w:val="24"/>
                <w:szCs w:val="24"/>
              </w:rPr>
              <w:lastRenderedPageBreak/>
              <w:t>Respondent argument notes:</w:t>
            </w:r>
          </w:p>
        </w:tc>
      </w:tr>
      <w:tr w:rsidR="001D0F02" w14:paraId="74ED2F5B" w14:textId="77777777" w:rsidTr="00EE348E">
        <w:tc>
          <w:tcPr>
            <w:tcW w:w="9350" w:type="dxa"/>
          </w:tcPr>
          <w:p w14:paraId="67244162" w14:textId="77777777" w:rsidR="001D0F02" w:rsidRDefault="001D0F02" w:rsidP="00EE348E">
            <w:pPr>
              <w:spacing w:after="5280"/>
            </w:pPr>
          </w:p>
        </w:tc>
      </w:tr>
      <w:tr w:rsidR="001D0F02" w14:paraId="5F7361A9" w14:textId="77777777" w:rsidTr="00EE348E">
        <w:tc>
          <w:tcPr>
            <w:tcW w:w="9350" w:type="dxa"/>
          </w:tcPr>
          <w:p w14:paraId="4A3E9F55" w14:textId="77777777" w:rsidR="001D0F02" w:rsidRDefault="001D0F02" w:rsidP="00EE348E">
            <w:pPr>
              <w:spacing w:before="120" w:after="120"/>
            </w:pPr>
            <w:r w:rsidRPr="00CC5CDB">
              <w:rPr>
                <w:rFonts w:ascii="Gill Sans MT" w:hAnsi="Gill Sans MT"/>
                <w:b/>
                <w:sz w:val="24"/>
                <w:szCs w:val="24"/>
              </w:rPr>
              <w:t>Rebuttal points:</w:t>
            </w:r>
            <w:r>
              <w:t xml:space="preserve"> </w:t>
            </w:r>
          </w:p>
        </w:tc>
      </w:tr>
      <w:tr w:rsidR="001D0F02" w14:paraId="2212AEC1" w14:textId="77777777" w:rsidTr="00EE348E">
        <w:tc>
          <w:tcPr>
            <w:tcW w:w="9350" w:type="dxa"/>
          </w:tcPr>
          <w:p w14:paraId="68766BCE" w14:textId="77777777" w:rsidR="001D0F02" w:rsidRDefault="001D0F02" w:rsidP="00EE348E">
            <w:pPr>
              <w:spacing w:after="5280"/>
            </w:pPr>
          </w:p>
        </w:tc>
      </w:tr>
    </w:tbl>
    <w:p w14:paraId="41C6F1B0" w14:textId="77777777" w:rsidR="001D0F02" w:rsidRDefault="001D0F02" w:rsidP="001D0F02"/>
    <w:p w14:paraId="0832C309" w14:textId="77777777" w:rsidR="001D0F02" w:rsidRPr="00CC5CDB" w:rsidRDefault="001D0F02" w:rsidP="001D0F02">
      <w:pPr>
        <w:sectPr w:rsidR="001D0F02" w:rsidRPr="00CC5CDB" w:rsidSect="003E0475">
          <w:footerReference w:type="default" r:id="rId2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1E70D86F"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 xml:space="preserve">Handout </w:t>
      </w:r>
      <w:r>
        <w:rPr>
          <w:rFonts w:ascii="Gill Sans MT" w:hAnsi="Gill Sans MT"/>
          <w:b/>
          <w:sz w:val="44"/>
        </w:rPr>
        <w:t>3</w:t>
      </w:r>
      <w:r w:rsidRPr="00CC5CDB">
        <w:rPr>
          <w:rFonts w:ascii="Gill Sans MT" w:hAnsi="Gill Sans MT"/>
          <w:b/>
          <w:sz w:val="44"/>
        </w:rPr>
        <w:t xml:space="preserve">: </w:t>
      </w:r>
      <w:r>
        <w:rPr>
          <w:rFonts w:ascii="Gill Sans MT" w:hAnsi="Gill Sans MT"/>
          <w:b/>
          <w:sz w:val="44"/>
        </w:rPr>
        <w:t>Respondent</w:t>
      </w:r>
    </w:p>
    <w:p w14:paraId="6A2BDB96" w14:textId="77777777" w:rsidR="001D0F02" w:rsidRDefault="001D0F02" w:rsidP="001D0F02">
      <w:pPr>
        <w:spacing w:after="120"/>
        <w:rPr>
          <w:rFonts w:ascii="Gill Sans MT" w:hAnsi="Gill Sans MT"/>
          <w:sz w:val="24"/>
          <w:szCs w:val="24"/>
        </w:rPr>
      </w:pPr>
      <w:r w:rsidRPr="00CC5CDB">
        <w:rPr>
          <w:rFonts w:ascii="Gill Sans MT" w:hAnsi="Gill Sans MT"/>
          <w:sz w:val="24"/>
          <w:szCs w:val="24"/>
        </w:rPr>
        <w:t xml:space="preserve">Outline an argument for the </w:t>
      </w:r>
      <w:r>
        <w:rPr>
          <w:rFonts w:ascii="Gill Sans MT" w:hAnsi="Gill Sans MT"/>
          <w:sz w:val="24"/>
          <w:szCs w:val="24"/>
        </w:rPr>
        <w:t>respondent</w:t>
      </w:r>
      <w:r w:rsidRPr="00CC5CDB">
        <w:rPr>
          <w:rFonts w:ascii="Gill Sans MT" w:hAnsi="Gill Sans MT"/>
          <w:sz w:val="24"/>
          <w:szCs w:val="24"/>
        </w:rPr>
        <w:t xml:space="preserve"> using the established facts, constitutional provisions, and precedents. Predict what questions the justice/judge will a</w:t>
      </w:r>
      <w:r>
        <w:rPr>
          <w:rFonts w:ascii="Gill Sans MT" w:hAnsi="Gill Sans MT"/>
          <w:sz w:val="24"/>
          <w:szCs w:val="24"/>
        </w:rPr>
        <w:t>sk. Take notes on the petitioner</w:t>
      </w:r>
      <w:r w:rsidRPr="00CC5CDB">
        <w:rPr>
          <w:rFonts w:ascii="Gill Sans MT" w:hAnsi="Gill Sans MT"/>
          <w:sz w:val="24"/>
          <w:szCs w:val="24"/>
        </w:rPr>
        <w:t>’s argument to help prepare your rebuttal.</w:t>
      </w:r>
    </w:p>
    <w:p w14:paraId="2F93EB5A" w14:textId="77777777" w:rsidR="001D0F02" w:rsidRPr="00CC5CDB" w:rsidRDefault="001D0F02" w:rsidP="001D0F02">
      <w:pPr>
        <w:spacing w:after="120"/>
        <w:rPr>
          <w:rFonts w:ascii="Gill Sans MT" w:hAnsi="Gill Sans MT"/>
          <w:sz w:val="24"/>
          <w:szCs w:val="24"/>
        </w:rPr>
      </w:pPr>
      <w:r w:rsidRPr="00CC5CDB">
        <w:rPr>
          <w:rFonts w:ascii="Gill Sans MT" w:hAnsi="Gill Sans MT"/>
          <w:sz w:val="24"/>
          <w:szCs w:val="24"/>
        </w:rPr>
        <w:t xml:space="preserve">In preparing your arguments, you should think about the following questions: </w:t>
      </w:r>
    </w:p>
    <w:p w14:paraId="58B897B6" w14:textId="77777777" w:rsidR="001D0F02" w:rsidRPr="00CC5CDB" w:rsidRDefault="001D0F02" w:rsidP="001D0F02">
      <w:pPr>
        <w:pStyle w:val="ListParagraph"/>
        <w:numPr>
          <w:ilvl w:val="2"/>
          <w:numId w:val="29"/>
        </w:numPr>
        <w:spacing w:after="120" w:line="276" w:lineRule="auto"/>
        <w:ind w:left="720" w:hanging="360"/>
        <w:rPr>
          <w:rFonts w:ascii="Gill Sans MT" w:hAnsi="Gill Sans MT"/>
          <w:sz w:val="24"/>
          <w:szCs w:val="24"/>
        </w:rPr>
      </w:pPr>
      <w:r w:rsidRPr="00CC5CDB">
        <w:rPr>
          <w:rFonts w:ascii="Gill Sans MT" w:hAnsi="Gill Sans MT"/>
          <w:sz w:val="24"/>
          <w:szCs w:val="24"/>
        </w:rPr>
        <w:t xml:space="preserve">Why is the decision of the lower court </w:t>
      </w:r>
      <w:r>
        <w:rPr>
          <w:rFonts w:ascii="Gill Sans MT" w:hAnsi="Gill Sans MT"/>
          <w:sz w:val="24"/>
          <w:szCs w:val="24"/>
        </w:rPr>
        <w:t>right</w:t>
      </w:r>
      <w:r w:rsidRPr="00CC5CDB">
        <w:rPr>
          <w:rFonts w:ascii="Gill Sans MT" w:hAnsi="Gill Sans MT"/>
          <w:sz w:val="24"/>
          <w:szCs w:val="24"/>
        </w:rPr>
        <w:t>?</w:t>
      </w:r>
    </w:p>
    <w:p w14:paraId="3CA10DEA"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decision do you want? </w:t>
      </w:r>
    </w:p>
    <w:p w14:paraId="099F99F6"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legal and policy arguments in favor of and against each side? (Anticipating the opposition can strengthen your argument.) </w:t>
      </w:r>
    </w:p>
    <w:p w14:paraId="4AE21E93"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Which arguments are the most persuasive? Why? </w:t>
      </w:r>
    </w:p>
    <w:p w14:paraId="5FBBCDAF"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precedents and how do they influence this case? </w:t>
      </w:r>
    </w:p>
    <w:p w14:paraId="42CE9C13" w14:textId="77777777" w:rsidR="001D0F02" w:rsidRPr="00CC5CDB" w:rsidRDefault="001D0F02" w:rsidP="001D0F02">
      <w:pPr>
        <w:pStyle w:val="ListParagraph"/>
        <w:numPr>
          <w:ilvl w:val="2"/>
          <w:numId w:val="29"/>
        </w:numPr>
        <w:spacing w:after="240" w:line="276" w:lineRule="auto"/>
        <w:ind w:left="720" w:hanging="360"/>
        <w:rPr>
          <w:rFonts w:ascii="Gill Sans MT" w:hAnsi="Gill Sans MT"/>
          <w:sz w:val="24"/>
          <w:szCs w:val="24"/>
        </w:rPr>
      </w:pPr>
      <w:r w:rsidRPr="00CC5CDB">
        <w:rPr>
          <w:rFonts w:ascii="Gill Sans MT" w:hAnsi="Gill Sans MT"/>
          <w:sz w:val="24"/>
          <w:szCs w:val="24"/>
        </w:rPr>
        <w:t xml:space="preserve">What might be the consequences of each possible decision? </w:t>
      </w:r>
    </w:p>
    <w:tbl>
      <w:tblPr>
        <w:tblStyle w:val="TableGrid"/>
        <w:tblW w:w="0" w:type="auto"/>
        <w:tblLook w:val="04A0" w:firstRow="1" w:lastRow="0" w:firstColumn="1" w:lastColumn="0" w:noHBand="0" w:noVBand="1"/>
      </w:tblPr>
      <w:tblGrid>
        <w:gridCol w:w="2875"/>
        <w:gridCol w:w="6475"/>
      </w:tblGrid>
      <w:tr w:rsidR="001D0F02" w14:paraId="6694440C" w14:textId="77777777" w:rsidTr="00EE348E">
        <w:tc>
          <w:tcPr>
            <w:tcW w:w="2875" w:type="dxa"/>
          </w:tcPr>
          <w:p w14:paraId="0B465527"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6475" w:type="dxa"/>
          </w:tcPr>
          <w:p w14:paraId="243D8140" w14:textId="77777777" w:rsidR="001D0F02" w:rsidRDefault="001D0F02" w:rsidP="00EE348E">
            <w:pPr>
              <w:spacing w:after="120"/>
              <w:rPr>
                <w:rFonts w:ascii="Gill Sans MT" w:hAnsi="Gill Sans MT"/>
                <w:sz w:val="24"/>
                <w:szCs w:val="24"/>
              </w:rPr>
            </w:pPr>
          </w:p>
        </w:tc>
      </w:tr>
      <w:tr w:rsidR="001D0F02" w14:paraId="6B17BEE0" w14:textId="77777777" w:rsidTr="00EE348E">
        <w:tc>
          <w:tcPr>
            <w:tcW w:w="2875" w:type="dxa"/>
          </w:tcPr>
          <w:p w14:paraId="61036B5B" w14:textId="77777777" w:rsidR="001D0F02" w:rsidRPr="00CC5CDB" w:rsidRDefault="001D0F02" w:rsidP="00EE348E">
            <w:pPr>
              <w:spacing w:before="120" w:after="120"/>
              <w:rPr>
                <w:rFonts w:ascii="Gill Sans MT" w:hAnsi="Gill Sans MT"/>
                <w:b/>
                <w:sz w:val="24"/>
                <w:szCs w:val="24"/>
              </w:rPr>
            </w:pPr>
            <w:r>
              <w:rPr>
                <w:rFonts w:ascii="Gill Sans MT" w:hAnsi="Gill Sans MT"/>
                <w:b/>
                <w:sz w:val="24"/>
                <w:szCs w:val="24"/>
              </w:rPr>
              <w:t>Respondent</w:t>
            </w:r>
            <w:r w:rsidRPr="00CC5CDB">
              <w:rPr>
                <w:rFonts w:ascii="Gill Sans MT" w:hAnsi="Gill Sans MT"/>
                <w:b/>
                <w:sz w:val="24"/>
                <w:szCs w:val="24"/>
              </w:rPr>
              <w:t>:</w:t>
            </w:r>
          </w:p>
        </w:tc>
        <w:tc>
          <w:tcPr>
            <w:tcW w:w="6475" w:type="dxa"/>
          </w:tcPr>
          <w:p w14:paraId="5B3A6A95" w14:textId="77777777" w:rsidR="001D0F02" w:rsidRDefault="001D0F02" w:rsidP="00EE348E">
            <w:pPr>
              <w:spacing w:after="120"/>
              <w:rPr>
                <w:rFonts w:ascii="Gill Sans MT" w:hAnsi="Gill Sans MT"/>
                <w:sz w:val="24"/>
                <w:szCs w:val="24"/>
              </w:rPr>
            </w:pPr>
          </w:p>
        </w:tc>
      </w:tr>
      <w:tr w:rsidR="001D0F02" w14:paraId="431C1EE9" w14:textId="77777777" w:rsidTr="00EE348E">
        <w:tc>
          <w:tcPr>
            <w:tcW w:w="9350" w:type="dxa"/>
            <w:gridSpan w:val="2"/>
          </w:tcPr>
          <w:p w14:paraId="09029509"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Constitutional question(s):</w:t>
            </w:r>
          </w:p>
        </w:tc>
      </w:tr>
      <w:tr w:rsidR="001D0F02" w14:paraId="66C5947C" w14:textId="77777777" w:rsidTr="00EE348E">
        <w:tc>
          <w:tcPr>
            <w:tcW w:w="9350" w:type="dxa"/>
            <w:gridSpan w:val="2"/>
          </w:tcPr>
          <w:p w14:paraId="28DAA3AB" w14:textId="77777777" w:rsidR="001D0F02" w:rsidRDefault="001D0F02" w:rsidP="00EE348E">
            <w:pPr>
              <w:spacing w:after="1200"/>
              <w:rPr>
                <w:rFonts w:ascii="Gill Sans MT" w:hAnsi="Gill Sans MT"/>
                <w:sz w:val="24"/>
                <w:szCs w:val="24"/>
              </w:rPr>
            </w:pPr>
          </w:p>
        </w:tc>
      </w:tr>
      <w:tr w:rsidR="001D0F02" w14:paraId="1FB6ED93" w14:textId="77777777" w:rsidTr="00EE348E">
        <w:tc>
          <w:tcPr>
            <w:tcW w:w="9350" w:type="dxa"/>
            <w:gridSpan w:val="2"/>
          </w:tcPr>
          <w:p w14:paraId="44DE502F"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Precedents that support your argument:</w:t>
            </w:r>
            <w:r>
              <w:rPr>
                <w:rFonts w:ascii="Gill Sans MT" w:hAnsi="Gill Sans MT"/>
                <w:sz w:val="24"/>
                <w:szCs w:val="24"/>
              </w:rPr>
              <w:t xml:space="preserve"> </w:t>
            </w:r>
          </w:p>
        </w:tc>
      </w:tr>
      <w:tr w:rsidR="001D0F02" w14:paraId="64ED1150" w14:textId="77777777" w:rsidTr="00EE348E">
        <w:tc>
          <w:tcPr>
            <w:tcW w:w="9350" w:type="dxa"/>
            <w:gridSpan w:val="2"/>
          </w:tcPr>
          <w:p w14:paraId="47C4D35A" w14:textId="77777777" w:rsidR="001D0F02" w:rsidRDefault="001D0F02" w:rsidP="00EE348E">
            <w:pPr>
              <w:spacing w:after="3840"/>
              <w:rPr>
                <w:rFonts w:ascii="Gill Sans MT" w:hAnsi="Gill Sans MT"/>
                <w:sz w:val="24"/>
                <w:szCs w:val="24"/>
              </w:rPr>
            </w:pPr>
          </w:p>
        </w:tc>
      </w:tr>
    </w:tbl>
    <w:p w14:paraId="75BE204C" w14:textId="77777777" w:rsidR="001D0F02" w:rsidRDefault="001D0F02" w:rsidP="001D0F02">
      <w:pPr>
        <w:spacing w:after="120"/>
        <w:rPr>
          <w:rFonts w:ascii="Gill Sans MT" w:hAnsi="Gill Sans MT"/>
          <w:sz w:val="24"/>
          <w:szCs w:val="24"/>
        </w:rPr>
      </w:pPr>
    </w:p>
    <w:p w14:paraId="19E9F594" w14:textId="77777777" w:rsidR="001D0F02" w:rsidRDefault="001D0F02" w:rsidP="001D0F02">
      <w:pPr>
        <w:sectPr w:rsidR="001D0F02" w:rsidSect="003E0475">
          <w:footerReference w:type="default" r:id="rId24"/>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035263D6" w14:textId="77777777" w:rsidTr="00EE348E">
        <w:tc>
          <w:tcPr>
            <w:tcW w:w="9350" w:type="dxa"/>
          </w:tcPr>
          <w:p w14:paraId="3F7EECE2" w14:textId="77777777" w:rsidR="001D0F02" w:rsidRDefault="001D0F02" w:rsidP="00EE348E">
            <w:pPr>
              <w:spacing w:before="120" w:after="120"/>
            </w:pPr>
            <w:r w:rsidRPr="00CC5CDB">
              <w:rPr>
                <w:rFonts w:ascii="Gill Sans MT" w:hAnsi="Gill Sans MT"/>
                <w:b/>
                <w:sz w:val="24"/>
                <w:szCs w:val="24"/>
              </w:rPr>
              <w:lastRenderedPageBreak/>
              <w:t xml:space="preserve">Argument for </w:t>
            </w:r>
            <w:r>
              <w:rPr>
                <w:rFonts w:ascii="Gill Sans MT" w:hAnsi="Gill Sans MT"/>
                <w:b/>
                <w:sz w:val="24"/>
                <w:szCs w:val="24"/>
              </w:rPr>
              <w:t>respondent</w:t>
            </w:r>
            <w:r w:rsidRPr="00CC5CDB">
              <w:rPr>
                <w:rFonts w:ascii="Gill Sans MT" w:hAnsi="Gill Sans MT"/>
                <w:b/>
                <w:sz w:val="24"/>
                <w:szCs w:val="24"/>
              </w:rPr>
              <w:t>:</w:t>
            </w:r>
          </w:p>
        </w:tc>
      </w:tr>
      <w:tr w:rsidR="001D0F02" w14:paraId="69D6939B" w14:textId="77777777" w:rsidTr="00EE348E">
        <w:tc>
          <w:tcPr>
            <w:tcW w:w="9350" w:type="dxa"/>
          </w:tcPr>
          <w:p w14:paraId="0ACCB208" w14:textId="77777777" w:rsidR="001D0F02" w:rsidRDefault="001D0F02" w:rsidP="00EE348E">
            <w:pPr>
              <w:spacing w:after="7080"/>
            </w:pPr>
          </w:p>
        </w:tc>
      </w:tr>
      <w:tr w:rsidR="001D0F02" w14:paraId="04482968" w14:textId="77777777" w:rsidTr="00EE348E">
        <w:tc>
          <w:tcPr>
            <w:tcW w:w="9350" w:type="dxa"/>
          </w:tcPr>
          <w:p w14:paraId="67E982B4" w14:textId="77777777" w:rsidR="001D0F02" w:rsidRDefault="001D0F02" w:rsidP="00EE348E">
            <w:pPr>
              <w:spacing w:before="120" w:after="120"/>
            </w:pPr>
            <w:r w:rsidRPr="00CC5CDB">
              <w:rPr>
                <w:rFonts w:ascii="Gill Sans MT" w:hAnsi="Gill Sans MT"/>
                <w:b/>
                <w:sz w:val="24"/>
                <w:szCs w:val="24"/>
              </w:rPr>
              <w:t>Possible questions from justice:</w:t>
            </w:r>
          </w:p>
        </w:tc>
      </w:tr>
      <w:tr w:rsidR="001D0F02" w14:paraId="619C0616" w14:textId="77777777" w:rsidTr="00EE348E">
        <w:tc>
          <w:tcPr>
            <w:tcW w:w="9350" w:type="dxa"/>
          </w:tcPr>
          <w:p w14:paraId="5F69317A" w14:textId="77777777" w:rsidR="001D0F02" w:rsidRDefault="001D0F02" w:rsidP="00EE348E">
            <w:pPr>
              <w:spacing w:after="3960"/>
            </w:pPr>
          </w:p>
        </w:tc>
      </w:tr>
    </w:tbl>
    <w:p w14:paraId="39A261FE" w14:textId="77777777" w:rsidR="001D0F02" w:rsidRDefault="001D0F02" w:rsidP="001D0F02"/>
    <w:p w14:paraId="25962B9C" w14:textId="77777777" w:rsidR="001D0F02" w:rsidRDefault="001D0F02" w:rsidP="001D0F02">
      <w:pPr>
        <w:sectPr w:rsidR="001D0F02" w:rsidSect="003E0475">
          <w:footerReference w:type="default" r:id="rId25"/>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4BBD7D15" w14:textId="77777777" w:rsidTr="00EE348E">
        <w:tc>
          <w:tcPr>
            <w:tcW w:w="9350" w:type="dxa"/>
          </w:tcPr>
          <w:p w14:paraId="0D13CD73" w14:textId="77777777" w:rsidR="001D0F02" w:rsidRDefault="001D0F02" w:rsidP="00EE348E">
            <w:pPr>
              <w:spacing w:before="120" w:after="120"/>
            </w:pPr>
            <w:r>
              <w:rPr>
                <w:rFonts w:ascii="Gill Sans MT" w:hAnsi="Gill Sans MT"/>
                <w:b/>
                <w:sz w:val="24"/>
                <w:szCs w:val="24"/>
              </w:rPr>
              <w:lastRenderedPageBreak/>
              <w:t>Petitioner</w:t>
            </w:r>
            <w:r w:rsidRPr="00CC5CDB">
              <w:rPr>
                <w:rFonts w:ascii="Gill Sans MT" w:hAnsi="Gill Sans MT"/>
                <w:b/>
                <w:sz w:val="24"/>
                <w:szCs w:val="24"/>
              </w:rPr>
              <w:t xml:space="preserve"> argument notes:</w:t>
            </w:r>
          </w:p>
        </w:tc>
      </w:tr>
      <w:tr w:rsidR="001D0F02" w14:paraId="71796283" w14:textId="77777777" w:rsidTr="00EE348E">
        <w:tc>
          <w:tcPr>
            <w:tcW w:w="9350" w:type="dxa"/>
          </w:tcPr>
          <w:p w14:paraId="3F747355" w14:textId="77777777" w:rsidR="001D0F02" w:rsidRDefault="001D0F02" w:rsidP="00EE348E">
            <w:pPr>
              <w:spacing w:after="5280"/>
            </w:pPr>
          </w:p>
        </w:tc>
      </w:tr>
      <w:tr w:rsidR="001D0F02" w14:paraId="1E32737F" w14:textId="77777777" w:rsidTr="00EE348E">
        <w:tc>
          <w:tcPr>
            <w:tcW w:w="9350" w:type="dxa"/>
          </w:tcPr>
          <w:p w14:paraId="58C5253D" w14:textId="77777777" w:rsidR="001D0F02" w:rsidRDefault="001D0F02" w:rsidP="00EE348E">
            <w:pPr>
              <w:spacing w:before="120" w:after="120"/>
            </w:pPr>
            <w:r w:rsidRPr="00CC5CDB">
              <w:rPr>
                <w:rFonts w:ascii="Gill Sans MT" w:hAnsi="Gill Sans MT"/>
                <w:b/>
                <w:sz w:val="24"/>
                <w:szCs w:val="24"/>
              </w:rPr>
              <w:t>Rebuttal points:</w:t>
            </w:r>
            <w:r>
              <w:t xml:space="preserve"> </w:t>
            </w:r>
          </w:p>
        </w:tc>
      </w:tr>
      <w:tr w:rsidR="001D0F02" w14:paraId="70E18550" w14:textId="77777777" w:rsidTr="00EE348E">
        <w:tc>
          <w:tcPr>
            <w:tcW w:w="9350" w:type="dxa"/>
          </w:tcPr>
          <w:p w14:paraId="10859CEA" w14:textId="77777777" w:rsidR="001D0F02" w:rsidRDefault="001D0F02" w:rsidP="00EE348E">
            <w:pPr>
              <w:spacing w:after="5280"/>
            </w:pPr>
          </w:p>
        </w:tc>
      </w:tr>
    </w:tbl>
    <w:p w14:paraId="4AD56B88" w14:textId="77777777" w:rsidR="0096254D" w:rsidRDefault="0096254D" w:rsidP="001D0F02">
      <w:pPr>
        <w:shd w:val="clear" w:color="auto" w:fill="FFFFFF"/>
        <w:spacing w:after="0"/>
        <w:rPr>
          <w:rFonts w:ascii="Garamond" w:eastAsia="Garamond" w:hAnsi="Garamond" w:cs="Garamond"/>
          <w:sz w:val="24"/>
          <w:szCs w:val="24"/>
        </w:rPr>
      </w:pPr>
    </w:p>
    <w:sectPr w:rsidR="0096254D" w:rsidSect="003E0475">
      <w:footerReference w:type="default" r:id="rId26"/>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7EA5" w14:textId="77777777" w:rsidR="003E0475" w:rsidRDefault="003E0475" w:rsidP="0078549D">
      <w:pPr>
        <w:spacing w:after="0" w:line="240" w:lineRule="auto"/>
      </w:pPr>
      <w:r>
        <w:separator/>
      </w:r>
    </w:p>
  </w:endnote>
  <w:endnote w:type="continuationSeparator" w:id="0">
    <w:p w14:paraId="6D6B12DB" w14:textId="77777777" w:rsidR="003E0475" w:rsidRDefault="003E047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859810264"/>
      <w:docPartObj>
        <w:docPartGallery w:val="Page Numbers (Bottom of Page)"/>
        <w:docPartUnique/>
      </w:docPartObj>
    </w:sdtPr>
    <w:sdtEndPr>
      <w:rPr>
        <w:noProof/>
      </w:rPr>
    </w:sdtEndPr>
    <w:sdtContent>
      <w:p w14:paraId="10E22D81" w14:textId="5C65373D"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1 of 3</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740986689"/>
      <w:docPartObj>
        <w:docPartGallery w:val="Page Numbers (Bottom of Page)"/>
        <w:docPartUnique/>
      </w:docPartObj>
    </w:sdtPr>
    <w:sdtEndPr>
      <w:rPr>
        <w:noProof/>
      </w:rPr>
    </w:sdtEndPr>
    <w:sdtContent>
      <w:p w14:paraId="095EA564" w14:textId="6A81C865"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7801391"/>
      <w:docPartObj>
        <w:docPartGallery w:val="Page Numbers (Bottom of Page)"/>
        <w:docPartUnique/>
      </w:docPartObj>
    </w:sdtPr>
    <w:sdtEndPr>
      <w:rPr>
        <w:noProof/>
      </w:rPr>
    </w:sdtEndPr>
    <w:sdtContent>
      <w:p w14:paraId="4EABF02A" w14:textId="321FED7C"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7E42" w14:textId="5C3DAB61" w:rsidR="00987C93" w:rsidRPr="00E64542" w:rsidRDefault="00000000">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987C93">
          <w:rPr>
            <w:rStyle w:val="BasiccopyslChar"/>
            <w:sz w:val="22"/>
            <w:szCs w:val="22"/>
          </w:rPr>
          <w:t>© 2020 Street Law, Inc.</w:t>
        </w:r>
        <w:r w:rsidR="00E64542" w:rsidRPr="00987C93">
          <w:rPr>
            <w:rStyle w:val="BasiccopyslChar"/>
            <w:sz w:val="22"/>
            <w:szCs w:val="22"/>
          </w:rPr>
          <w:tab/>
        </w:r>
        <w:r w:rsidR="00E64542" w:rsidRPr="00987C93">
          <w:rPr>
            <w:rStyle w:val="BasiccopyslChar"/>
            <w:sz w:val="22"/>
            <w:szCs w:val="22"/>
          </w:rPr>
          <w:tab/>
          <w:t xml:space="preserve"> Last updated: </w:t>
        </w:r>
        <w:r w:rsidR="005B6807">
          <w:rPr>
            <w:rStyle w:val="BasiccopyslChar"/>
            <w:sz w:val="22"/>
            <w:szCs w:val="22"/>
          </w:rPr>
          <w:t>0</w:t>
        </w:r>
        <w:r w:rsidR="00AB6908">
          <w:rPr>
            <w:rStyle w:val="BasiccopyslChar"/>
            <w:sz w:val="22"/>
            <w:szCs w:val="22"/>
          </w:rPr>
          <w:t>1/24/2024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49129086"/>
      <w:docPartObj>
        <w:docPartGallery w:val="Page Numbers (Bottom of Page)"/>
        <w:docPartUnique/>
      </w:docPartObj>
    </w:sdtPr>
    <w:sdtEndPr>
      <w:rPr>
        <w:rStyle w:val="BasiccopyslChar"/>
        <w:rFonts w:eastAsia="Garamond" w:cs="Garamond"/>
        <w:sz w:val="25"/>
        <w:szCs w:val="25"/>
      </w:rPr>
    </w:sdtEndPr>
    <w:sdtContent>
      <w:p w14:paraId="4CA1E94D" w14:textId="2C48451B" w:rsidR="00AB6908" w:rsidRPr="00AB6908" w:rsidRDefault="00AB6908" w:rsidP="00AB6908">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3</w:t>
        </w:r>
        <w:r w:rsidRPr="00E64542">
          <w:rPr>
            <w:rStyle w:val="BasiccopyslCha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56378038"/>
      <w:docPartObj>
        <w:docPartGallery w:val="Page Numbers (Bottom of Page)"/>
        <w:docPartUnique/>
      </w:docPartObj>
    </w:sdtPr>
    <w:sdtEndPr>
      <w:rPr>
        <w:noProof/>
      </w:rPr>
    </w:sdtEndPr>
    <w:sdtContent>
      <w:p w14:paraId="1CCCE8AA" w14:textId="73EFFF8F"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3CD0" w14:textId="439D81EE" w:rsidR="001D0F02" w:rsidRPr="00CC5CDB" w:rsidRDefault="001D0F02" w:rsidP="00CC5CDB">
    <w:pPr>
      <w:pStyle w:val="EHeaderFooter"/>
      <w:rPr>
        <w:b/>
      </w:rPr>
    </w:pPr>
    <w:r w:rsidRPr="003229FE">
      <w:t>© 20</w:t>
    </w:r>
    <w:r w:rsidR="00AB6908">
      <w:t>20</w:t>
    </w:r>
    <w:r w:rsidRPr="003229FE">
      <w:t xml:space="preserve"> Street Law, Inc.</w:t>
    </w:r>
    <w:r w:rsidRPr="003229FE">
      <w:ptab w:relativeTo="margin" w:alignment="center" w:leader="none"/>
    </w:r>
    <w:r w:rsidRPr="003229FE">
      <w:ptab w:relativeTo="margin" w:alignment="right" w:leader="none"/>
    </w:r>
    <w:r>
      <w:t>Page 1 of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81853894"/>
      <w:docPartObj>
        <w:docPartGallery w:val="Page Numbers (Bottom of Page)"/>
        <w:docPartUnique/>
      </w:docPartObj>
    </w:sdtPr>
    <w:sdtEndPr>
      <w:rPr>
        <w:noProof/>
      </w:rPr>
    </w:sdtEndPr>
    <w:sdtContent>
      <w:p w14:paraId="1FB899EB" w14:textId="4C66C82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774327893"/>
      <w:docPartObj>
        <w:docPartGallery w:val="Page Numbers (Bottom of Page)"/>
        <w:docPartUnique/>
      </w:docPartObj>
    </w:sdtPr>
    <w:sdtEndPr>
      <w:rPr>
        <w:noProof/>
      </w:rPr>
    </w:sdtEndPr>
    <w:sdtContent>
      <w:p w14:paraId="7189AA3E" w14:textId="75B2FEAB"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1 of 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29597578"/>
      <w:docPartObj>
        <w:docPartGallery w:val="Page Numbers (Bottom of Page)"/>
        <w:docPartUnique/>
      </w:docPartObj>
    </w:sdtPr>
    <w:sdtEndPr>
      <w:rPr>
        <w:noProof/>
      </w:rPr>
    </w:sdtEndPr>
    <w:sdtContent>
      <w:p w14:paraId="5AE23AD7" w14:textId="175210D2"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50256695"/>
      <w:docPartObj>
        <w:docPartGallery w:val="Page Numbers (Bottom of Page)"/>
        <w:docPartUnique/>
      </w:docPartObj>
    </w:sdtPr>
    <w:sdtEndPr>
      <w:rPr>
        <w:noProof/>
      </w:rPr>
    </w:sdtEndPr>
    <w:sdtContent>
      <w:p w14:paraId="516DEDC0" w14:textId="79C52AE3"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B6908">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F7B6" w14:textId="77777777" w:rsidR="003E0475" w:rsidRDefault="003E0475" w:rsidP="0078549D">
      <w:pPr>
        <w:spacing w:after="0" w:line="240" w:lineRule="auto"/>
      </w:pPr>
      <w:r>
        <w:separator/>
      </w:r>
    </w:p>
  </w:footnote>
  <w:footnote w:type="continuationSeparator" w:id="0">
    <w:p w14:paraId="2C7817F6" w14:textId="77777777" w:rsidR="003E0475" w:rsidRDefault="003E047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624B" w14:textId="77777777" w:rsidR="00AB6908" w:rsidRPr="00987C93" w:rsidRDefault="00AB6908" w:rsidP="00AB6908">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                                 </w:t>
    </w:r>
    <w:r w:rsidRPr="00B83484">
      <w:rPr>
        <w:sz w:val="22"/>
        <w:szCs w:val="22"/>
      </w:rPr>
      <w:t xml:space="preserve"> Mini-Moot Court Activity</w:t>
    </w:r>
  </w:p>
  <w:p w14:paraId="581D0CB6" w14:textId="0CFD4F57" w:rsidR="001D0F02" w:rsidRPr="00AB6908" w:rsidRDefault="001D0F02" w:rsidP="00AB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6F0" w14:textId="49852181"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83484">
      <w:rPr>
        <w:sz w:val="22"/>
        <w:szCs w:val="22"/>
      </w:rPr>
      <w:t xml:space="preserve">    </w:t>
    </w:r>
    <w:r w:rsidR="00AB6908">
      <w:rPr>
        <w:i/>
        <w:iCs/>
        <w:sz w:val="22"/>
        <w:szCs w:val="22"/>
      </w:rPr>
      <w:t xml:space="preserve">                                 </w:t>
    </w:r>
    <w:r w:rsidR="002E34AE" w:rsidRPr="00B83484">
      <w:rPr>
        <w:sz w:val="22"/>
        <w:szCs w:val="22"/>
      </w:rPr>
      <w:t xml:space="preserve"> </w:t>
    </w:r>
    <w:r w:rsidR="00B83484" w:rsidRPr="00B83484">
      <w:rPr>
        <w:sz w:val="22"/>
        <w:szCs w:val="22"/>
      </w:rPr>
      <w:t>Mini-Moot Court Activity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67D6" w14:textId="77777777" w:rsidR="001D0F02" w:rsidRPr="000C5526" w:rsidRDefault="001D0F02" w:rsidP="000C5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4314" w14:textId="77777777" w:rsidR="001D0F02" w:rsidRDefault="001D0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1"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2"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136043">
    <w:abstractNumId w:val="6"/>
  </w:num>
  <w:num w:numId="2" w16cid:durableId="1769890015">
    <w:abstractNumId w:val="1"/>
  </w:num>
  <w:num w:numId="3" w16cid:durableId="146174053">
    <w:abstractNumId w:val="0"/>
  </w:num>
  <w:num w:numId="4" w16cid:durableId="360664842">
    <w:abstractNumId w:val="3"/>
  </w:num>
  <w:num w:numId="5" w16cid:durableId="528373155">
    <w:abstractNumId w:val="9"/>
  </w:num>
  <w:num w:numId="6" w16cid:durableId="1016537190">
    <w:abstractNumId w:val="5"/>
  </w:num>
  <w:num w:numId="7" w16cid:durableId="531922385">
    <w:abstractNumId w:val="9"/>
    <w:lvlOverride w:ilvl="0">
      <w:startOverride w:val="1"/>
    </w:lvlOverride>
  </w:num>
  <w:num w:numId="8" w16cid:durableId="1301031169">
    <w:abstractNumId w:val="9"/>
    <w:lvlOverride w:ilvl="0">
      <w:startOverride w:val="1"/>
    </w:lvlOverride>
  </w:num>
  <w:num w:numId="9" w16cid:durableId="523592289">
    <w:abstractNumId w:val="9"/>
    <w:lvlOverride w:ilvl="0">
      <w:startOverride w:val="1"/>
    </w:lvlOverride>
  </w:num>
  <w:num w:numId="10" w16cid:durableId="24984149">
    <w:abstractNumId w:val="9"/>
    <w:lvlOverride w:ilvl="0">
      <w:startOverride w:val="1"/>
    </w:lvlOverride>
  </w:num>
  <w:num w:numId="11" w16cid:durableId="386419763">
    <w:abstractNumId w:val="2"/>
  </w:num>
  <w:num w:numId="12" w16cid:durableId="922951067">
    <w:abstractNumId w:val="14"/>
  </w:num>
  <w:num w:numId="13" w16cid:durableId="64843067">
    <w:abstractNumId w:val="1"/>
  </w:num>
  <w:num w:numId="14" w16cid:durableId="1717047484">
    <w:abstractNumId w:val="1"/>
  </w:num>
  <w:num w:numId="15" w16cid:durableId="294876357">
    <w:abstractNumId w:val="1"/>
  </w:num>
  <w:num w:numId="16" w16cid:durableId="200096001">
    <w:abstractNumId w:val="1"/>
  </w:num>
  <w:num w:numId="17" w16cid:durableId="574584781">
    <w:abstractNumId w:val="7"/>
  </w:num>
  <w:num w:numId="18" w16cid:durableId="1967999370">
    <w:abstractNumId w:val="11"/>
  </w:num>
  <w:num w:numId="19" w16cid:durableId="1266690700">
    <w:abstractNumId w:val="10"/>
  </w:num>
  <w:num w:numId="20" w16cid:durableId="1636569211">
    <w:abstractNumId w:val="4"/>
  </w:num>
  <w:num w:numId="21" w16cid:durableId="48303575">
    <w:abstractNumId w:val="8"/>
  </w:num>
  <w:num w:numId="22" w16cid:durableId="1468863511">
    <w:abstractNumId w:val="1"/>
  </w:num>
  <w:num w:numId="23" w16cid:durableId="1725443104">
    <w:abstractNumId w:val="6"/>
  </w:num>
  <w:num w:numId="24" w16cid:durableId="414133198">
    <w:abstractNumId w:val="1"/>
  </w:num>
  <w:num w:numId="25" w16cid:durableId="966544043">
    <w:abstractNumId w:val="6"/>
  </w:num>
  <w:num w:numId="26" w16cid:durableId="2083943409">
    <w:abstractNumId w:val="1"/>
  </w:num>
  <w:num w:numId="27" w16cid:durableId="422729351">
    <w:abstractNumId w:val="1"/>
  </w:num>
  <w:num w:numId="28" w16cid:durableId="2058357596">
    <w:abstractNumId w:val="6"/>
  </w:num>
  <w:num w:numId="29" w16cid:durableId="1179320554">
    <w:abstractNumId w:val="12"/>
  </w:num>
  <w:num w:numId="30" w16cid:durableId="1528636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4AA6"/>
    <w:rsid w:val="000356BB"/>
    <w:rsid w:val="00041791"/>
    <w:rsid w:val="000C1EB1"/>
    <w:rsid w:val="000E239D"/>
    <w:rsid w:val="001056C3"/>
    <w:rsid w:val="00110FE2"/>
    <w:rsid w:val="00112B95"/>
    <w:rsid w:val="00116A1D"/>
    <w:rsid w:val="001246CC"/>
    <w:rsid w:val="00170B98"/>
    <w:rsid w:val="001B38C6"/>
    <w:rsid w:val="001B3E05"/>
    <w:rsid w:val="001C0EDD"/>
    <w:rsid w:val="001D0F02"/>
    <w:rsid w:val="0021030F"/>
    <w:rsid w:val="0025076D"/>
    <w:rsid w:val="00274EC6"/>
    <w:rsid w:val="00282C1F"/>
    <w:rsid w:val="00290061"/>
    <w:rsid w:val="00293947"/>
    <w:rsid w:val="002B03AB"/>
    <w:rsid w:val="002B4D38"/>
    <w:rsid w:val="002C68A3"/>
    <w:rsid w:val="002D2203"/>
    <w:rsid w:val="002E34AE"/>
    <w:rsid w:val="00317735"/>
    <w:rsid w:val="0035621A"/>
    <w:rsid w:val="00375090"/>
    <w:rsid w:val="00387D3D"/>
    <w:rsid w:val="00396AEB"/>
    <w:rsid w:val="003C6F20"/>
    <w:rsid w:val="003E0475"/>
    <w:rsid w:val="00400A63"/>
    <w:rsid w:val="00425F44"/>
    <w:rsid w:val="004632BE"/>
    <w:rsid w:val="004B560A"/>
    <w:rsid w:val="004B73F9"/>
    <w:rsid w:val="004E7457"/>
    <w:rsid w:val="004F77FB"/>
    <w:rsid w:val="005311FB"/>
    <w:rsid w:val="00574BDA"/>
    <w:rsid w:val="00587A68"/>
    <w:rsid w:val="005A0330"/>
    <w:rsid w:val="005A4E3D"/>
    <w:rsid w:val="005B6807"/>
    <w:rsid w:val="006135E5"/>
    <w:rsid w:val="0069034F"/>
    <w:rsid w:val="006C3E71"/>
    <w:rsid w:val="006E09C9"/>
    <w:rsid w:val="006E3717"/>
    <w:rsid w:val="007007CB"/>
    <w:rsid w:val="00782455"/>
    <w:rsid w:val="0078549D"/>
    <w:rsid w:val="007F0333"/>
    <w:rsid w:val="007F700D"/>
    <w:rsid w:val="00814E3E"/>
    <w:rsid w:val="00815CB0"/>
    <w:rsid w:val="0081706F"/>
    <w:rsid w:val="0084194A"/>
    <w:rsid w:val="00853E18"/>
    <w:rsid w:val="008738CD"/>
    <w:rsid w:val="008E5872"/>
    <w:rsid w:val="0096254D"/>
    <w:rsid w:val="00987C93"/>
    <w:rsid w:val="009C7FF4"/>
    <w:rsid w:val="009D6B03"/>
    <w:rsid w:val="009E0FC2"/>
    <w:rsid w:val="00A67847"/>
    <w:rsid w:val="00A740A5"/>
    <w:rsid w:val="00AB6908"/>
    <w:rsid w:val="00AE0C77"/>
    <w:rsid w:val="00B535F7"/>
    <w:rsid w:val="00B62487"/>
    <w:rsid w:val="00B74A17"/>
    <w:rsid w:val="00B83484"/>
    <w:rsid w:val="00BB4120"/>
    <w:rsid w:val="00BB4D0B"/>
    <w:rsid w:val="00BB6345"/>
    <w:rsid w:val="00C023DC"/>
    <w:rsid w:val="00C05B0A"/>
    <w:rsid w:val="00C15DAC"/>
    <w:rsid w:val="00CB09BD"/>
    <w:rsid w:val="00CE25A7"/>
    <w:rsid w:val="00D7277C"/>
    <w:rsid w:val="00DB6348"/>
    <w:rsid w:val="00DE3D18"/>
    <w:rsid w:val="00DE4019"/>
    <w:rsid w:val="00E3555A"/>
    <w:rsid w:val="00E64542"/>
    <w:rsid w:val="00EA00F6"/>
    <w:rsid w:val="00EB20C0"/>
    <w:rsid w:val="00EB5378"/>
    <w:rsid w:val="00ED12DA"/>
    <w:rsid w:val="00EE7358"/>
    <w:rsid w:val="00EF7C97"/>
    <w:rsid w:val="00F64E56"/>
    <w:rsid w:val="00FA477C"/>
    <w:rsid w:val="00FC3208"/>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Basiccopyindentedsl">
    <w:name w:val="Basic copy_indented_sl"/>
    <w:basedOn w:val="Basiccopysl"/>
    <w:qFormat/>
    <w:rsid w:val="00DE4019"/>
    <w:pPr>
      <w:spacing w:line="240" w:lineRule="auto"/>
      <w:ind w:left="720"/>
    </w:pPr>
    <w:rPr>
      <w:rFonts w:eastAsia="Times New Roman" w:cs="Times New Roman"/>
      <w:sz w:val="24"/>
      <w:szCs w:val="24"/>
    </w:rPr>
  </w:style>
  <w:style w:type="paragraph" w:customStyle="1" w:styleId="Amendmentprecedentbulletsl">
    <w:name w:val="Amendment/precedent bullet_sl"/>
    <w:basedOn w:val="Bulletsl"/>
    <w:qFormat/>
    <w:rsid w:val="00BB6345"/>
    <w:pPr>
      <w:spacing w:before="240" w:line="276" w:lineRule="auto"/>
    </w:pPr>
    <w:rPr>
      <w:b/>
    </w:rPr>
  </w:style>
  <w:style w:type="paragraph" w:customStyle="1" w:styleId="Indentedbasiccopysl">
    <w:name w:val="Indented basic copy_sl"/>
    <w:basedOn w:val="Basiccopysl"/>
    <w:qFormat/>
    <w:rsid w:val="00BB6345"/>
    <w:pPr>
      <w:ind w:left="720"/>
    </w:pPr>
    <w:rPr>
      <w:rFonts w:eastAsiaTheme="minorHAnsi" w:cstheme="minorBidi"/>
      <w:sz w:val="24"/>
      <w:szCs w:val="24"/>
    </w:rPr>
  </w:style>
  <w:style w:type="paragraph" w:customStyle="1" w:styleId="Argueddecideddatessl">
    <w:name w:val="Argued/decided dates_sl"/>
    <w:basedOn w:val="Basiccopysl"/>
    <w:qFormat/>
    <w:rsid w:val="00BB6345"/>
    <w:pPr>
      <w:spacing w:after="0"/>
      <w:jc w:val="center"/>
    </w:pPr>
    <w:rPr>
      <w:rFonts w:eastAsiaTheme="minorHAnsi" w:cstheme="min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4D1249DA-2658-4422-8AF1-D11A9C40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DA8EB-C60E-4F23-8AA4-1EF89DF6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3</TotalTime>
  <Pages>14</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2021-09-15T03:05:00Z</dcterms:created>
  <dcterms:modified xsi:type="dcterms:W3CDTF">2024-01-25T00:49:00Z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