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1E78" w14:textId="18BE5EAA" w:rsidR="009578D6" w:rsidRPr="00EC2A62" w:rsidRDefault="009578D6" w:rsidP="00DB480C">
      <w:pPr>
        <w:pStyle w:val="BasicParagraph"/>
        <w:spacing w:before="240" w:after="120"/>
        <w:jc w:val="center"/>
        <w:rPr>
          <w:rFonts w:ascii="Gill Sans MT" w:hAnsi="Gill Sans MT" w:cs="Times New Roman"/>
          <w:b/>
          <w:sz w:val="32"/>
          <w:szCs w:val="32"/>
        </w:rPr>
      </w:pPr>
      <w:r>
        <w:rPr>
          <w:rFonts w:ascii="Gill Sans MT" w:hAnsi="Gill Sans MT" w:cs="Times New Roman"/>
          <w:b/>
          <w:sz w:val="32"/>
          <w:szCs w:val="32"/>
        </w:rPr>
        <w:t>Classifying Arguments Activity</w:t>
      </w:r>
    </w:p>
    <w:p w14:paraId="4B94B523" w14:textId="77777777" w:rsidR="00760ABC" w:rsidRDefault="00760ABC" w:rsidP="00760ABC">
      <w:pPr>
        <w:pStyle w:val="Basiccopysl"/>
        <w:jc w:val="center"/>
        <w:rPr>
          <w:rFonts w:ascii="Gill Sans MT" w:hAnsi="Gill Sans MT"/>
          <w:b/>
          <w:i/>
        </w:rPr>
      </w:pPr>
      <w:r w:rsidRPr="00760ABC">
        <w:rPr>
          <w:rFonts w:ascii="Gill Sans MT" w:hAnsi="Gill Sans MT"/>
          <w:b/>
          <w:i/>
        </w:rPr>
        <w:t>Ti</w:t>
      </w:r>
      <w:r>
        <w:rPr>
          <w:rFonts w:ascii="Gill Sans MT" w:hAnsi="Gill Sans MT"/>
          <w:b/>
          <w:i/>
        </w:rPr>
        <w:t xml:space="preserve">nker v. Des Moines Independent </w:t>
      </w:r>
      <w:r w:rsidRPr="00760ABC">
        <w:rPr>
          <w:rFonts w:ascii="Gill Sans MT" w:hAnsi="Gill Sans MT"/>
          <w:b/>
          <w:i/>
        </w:rPr>
        <w:t xml:space="preserve">Community School District </w:t>
      </w:r>
      <w:r w:rsidRPr="00760ABC">
        <w:rPr>
          <w:rFonts w:ascii="Gill Sans MT" w:hAnsi="Gill Sans MT"/>
          <w:b/>
        </w:rPr>
        <w:t>(1969)</w:t>
      </w:r>
    </w:p>
    <w:p w14:paraId="22F5EDDD" w14:textId="4E08739A" w:rsidR="009578D6" w:rsidRPr="00760ABC" w:rsidRDefault="009578D6" w:rsidP="00760ABC">
      <w:pPr>
        <w:pStyle w:val="Basiccopysl"/>
        <w:rPr>
          <w:sz w:val="23"/>
          <w:szCs w:val="23"/>
        </w:rPr>
      </w:pPr>
      <w:r w:rsidRPr="009C3202">
        <w:rPr>
          <w:sz w:val="23"/>
          <w:szCs w:val="23"/>
        </w:rPr>
        <w:t xml:space="preserve">After reading the </w:t>
      </w:r>
      <w:r w:rsidRPr="00293340">
        <w:rPr>
          <w:b/>
          <w:sz w:val="23"/>
          <w:szCs w:val="23"/>
        </w:rPr>
        <w:t xml:space="preserve">facts, issue, constitutional amendments, </w:t>
      </w:r>
      <w:r>
        <w:rPr>
          <w:sz w:val="23"/>
          <w:szCs w:val="23"/>
        </w:rPr>
        <w:t xml:space="preserve">and </w:t>
      </w:r>
      <w:r w:rsidRPr="00293340">
        <w:rPr>
          <w:b/>
          <w:sz w:val="23"/>
          <w:szCs w:val="23"/>
        </w:rPr>
        <w:t xml:space="preserve">Supreme Court precedents, </w:t>
      </w:r>
      <w:r>
        <w:rPr>
          <w:sz w:val="23"/>
          <w:szCs w:val="23"/>
        </w:rPr>
        <w:t>r</w:t>
      </w:r>
      <w:r w:rsidRPr="009C3202">
        <w:rPr>
          <w:sz w:val="23"/>
          <w:szCs w:val="23"/>
        </w:rPr>
        <w:t xml:space="preserve">ead each of the arguments below. These arguments come from the briefs submitted by the parties in this case. If the argument supports </w:t>
      </w:r>
      <w:r>
        <w:rPr>
          <w:sz w:val="23"/>
          <w:szCs w:val="23"/>
        </w:rPr>
        <w:t xml:space="preserve">the petitioner, </w:t>
      </w:r>
      <w:r w:rsidR="00070C92">
        <w:rPr>
          <w:sz w:val="23"/>
          <w:szCs w:val="23"/>
        </w:rPr>
        <w:t>Ti</w:t>
      </w:r>
      <w:r w:rsidR="00760ABC">
        <w:rPr>
          <w:sz w:val="23"/>
          <w:szCs w:val="23"/>
        </w:rPr>
        <w:t>nker</w:t>
      </w:r>
      <w:r w:rsidRPr="009C3202">
        <w:rPr>
          <w:sz w:val="23"/>
          <w:szCs w:val="23"/>
        </w:rPr>
        <w:t xml:space="preserve">, write </w:t>
      </w:r>
      <w:r w:rsidR="00070C92" w:rsidRPr="00070C92">
        <w:rPr>
          <w:b/>
          <w:sz w:val="23"/>
          <w:szCs w:val="23"/>
          <w:u w:val="single"/>
        </w:rPr>
        <w:t>T</w:t>
      </w:r>
      <w:r w:rsidRPr="009C3202">
        <w:rPr>
          <w:sz w:val="23"/>
          <w:szCs w:val="23"/>
        </w:rPr>
        <w:t xml:space="preserve"> on the line </w:t>
      </w:r>
      <w:r w:rsidR="008F180B">
        <w:rPr>
          <w:sz w:val="23"/>
          <w:szCs w:val="23"/>
        </w:rPr>
        <w:t xml:space="preserve">after </w:t>
      </w:r>
      <w:r w:rsidRPr="009C3202">
        <w:rPr>
          <w:sz w:val="23"/>
          <w:szCs w:val="23"/>
        </w:rPr>
        <w:t>the argument. If the argument supports the</w:t>
      </w:r>
      <w:r>
        <w:rPr>
          <w:sz w:val="23"/>
          <w:szCs w:val="23"/>
        </w:rPr>
        <w:t xml:space="preserve"> respondent, the</w:t>
      </w:r>
      <w:r w:rsidRPr="009C3202">
        <w:rPr>
          <w:sz w:val="23"/>
          <w:szCs w:val="23"/>
        </w:rPr>
        <w:t xml:space="preserve"> </w:t>
      </w:r>
      <w:r w:rsidR="00760ABC">
        <w:rPr>
          <w:sz w:val="23"/>
          <w:szCs w:val="23"/>
        </w:rPr>
        <w:t xml:space="preserve">Des Moines Independent </w:t>
      </w:r>
      <w:r w:rsidR="00760ABC" w:rsidRPr="00760ABC">
        <w:rPr>
          <w:sz w:val="23"/>
          <w:szCs w:val="23"/>
        </w:rPr>
        <w:t>Community School District</w:t>
      </w:r>
      <w:r>
        <w:rPr>
          <w:sz w:val="23"/>
          <w:szCs w:val="23"/>
        </w:rPr>
        <w:t>, write a</w:t>
      </w:r>
      <w:r w:rsidRPr="009C3202">
        <w:rPr>
          <w:sz w:val="23"/>
          <w:szCs w:val="23"/>
        </w:rPr>
        <w:t xml:space="preserve"> </w:t>
      </w:r>
      <w:r w:rsidR="00760ABC">
        <w:rPr>
          <w:b/>
          <w:sz w:val="23"/>
          <w:szCs w:val="23"/>
          <w:u w:val="single"/>
        </w:rPr>
        <w:t>D</w:t>
      </w:r>
      <w:r w:rsidRPr="009C3202">
        <w:rPr>
          <w:sz w:val="23"/>
          <w:szCs w:val="23"/>
        </w:rPr>
        <w:t xml:space="preserve"> on the line </w:t>
      </w:r>
      <w:r w:rsidR="008F180B">
        <w:rPr>
          <w:sz w:val="23"/>
          <w:szCs w:val="23"/>
        </w:rPr>
        <w:t>after</w:t>
      </w:r>
      <w:r w:rsidRPr="009C3202">
        <w:rPr>
          <w:sz w:val="23"/>
          <w:szCs w:val="23"/>
        </w:rPr>
        <w:t xml:space="preserve"> the argument. Work in your groups. When you have finished, determine which argument for each side is the most persuasive and be ready to give your reasons.</w:t>
      </w:r>
    </w:p>
    <w:p w14:paraId="4FB2EB36" w14:textId="77777777" w:rsidR="009578D6" w:rsidRDefault="009578D6" w:rsidP="009578D6">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8F180B" w14:paraId="62970AA0" w14:textId="77777777" w:rsidTr="00A60E68">
        <w:trPr>
          <w:trHeight w:val="1350"/>
        </w:trPr>
        <w:tc>
          <w:tcPr>
            <w:tcW w:w="8475" w:type="dxa"/>
            <w:vAlign w:val="bottom"/>
          </w:tcPr>
          <w:p w14:paraId="1DF64BBD" w14:textId="1EA06BB9" w:rsidR="008F180B" w:rsidRDefault="00165B4B" w:rsidP="00165B4B">
            <w:pPr>
              <w:pStyle w:val="Bulletsl"/>
              <w:numPr>
                <w:ilvl w:val="0"/>
                <w:numId w:val="16"/>
              </w:numPr>
              <w:spacing w:line="276" w:lineRule="auto"/>
              <w:ind w:left="525" w:hanging="525"/>
            </w:pPr>
            <w:r w:rsidRPr="00EE6A86">
              <w:t xml:space="preserve">The function of a school is to </w:t>
            </w:r>
            <w:r>
              <w:t>teach the</w:t>
            </w:r>
            <w:r w:rsidRPr="00EE6A86">
              <w:t xml:space="preserve"> curriculum. Students in academic classes could have been distracted from their lessons by the armbands. The school </w:t>
            </w:r>
            <w:r>
              <w:t xml:space="preserve">district </w:t>
            </w:r>
            <w:r w:rsidRPr="00EE6A86">
              <w:t xml:space="preserve">has a legitimate interest in ensuring </w:t>
            </w:r>
            <w:r>
              <w:t xml:space="preserve">that </w:t>
            </w:r>
            <w:r w:rsidRPr="00EE6A86">
              <w:t>instruction remains the focus of classroom</w:t>
            </w:r>
            <w:r>
              <w:t>s</w:t>
            </w:r>
            <w:r w:rsidRPr="00EE6A86">
              <w:t xml:space="preserve"> and</w:t>
            </w:r>
            <w:r>
              <w:t>,</w:t>
            </w:r>
            <w:r w:rsidRPr="00EE6A86">
              <w:t xml:space="preserve"> to that end, acted within appropriate authority to prohibit the armbands.</w:t>
            </w:r>
          </w:p>
        </w:tc>
        <w:tc>
          <w:tcPr>
            <w:tcW w:w="885" w:type="dxa"/>
            <w:tcBorders>
              <w:bottom w:val="single" w:sz="4" w:space="0" w:color="auto"/>
            </w:tcBorders>
            <w:vAlign w:val="bottom"/>
          </w:tcPr>
          <w:p w14:paraId="0CC45254" w14:textId="1135228E" w:rsidR="008F180B" w:rsidRPr="008F180B" w:rsidRDefault="008F180B" w:rsidP="005D04B5">
            <w:pPr>
              <w:pStyle w:val="Subhead2sl"/>
              <w:jc w:val="center"/>
              <w:rPr>
                <w:i w:val="0"/>
              </w:rPr>
            </w:pPr>
          </w:p>
        </w:tc>
      </w:tr>
      <w:tr w:rsidR="008F180B" w14:paraId="10D5E638" w14:textId="77777777" w:rsidTr="00A60E68">
        <w:tc>
          <w:tcPr>
            <w:tcW w:w="8475" w:type="dxa"/>
            <w:vAlign w:val="bottom"/>
          </w:tcPr>
          <w:p w14:paraId="577F791C" w14:textId="501A239D" w:rsidR="008F180B" w:rsidRPr="00165B4B" w:rsidRDefault="00165B4B" w:rsidP="00165B4B">
            <w:pPr>
              <w:pStyle w:val="Bulletsl"/>
              <w:numPr>
                <w:ilvl w:val="0"/>
                <w:numId w:val="16"/>
              </w:numPr>
              <w:spacing w:line="276" w:lineRule="auto"/>
              <w:ind w:left="525" w:hanging="525"/>
            </w:pPr>
            <w:r w:rsidRPr="004475C6">
              <w:t xml:space="preserve">Public schools are part of state government. The </w:t>
            </w:r>
            <w:r>
              <w:t>14</w:t>
            </w:r>
            <w:r w:rsidRPr="00E04754">
              <w:rPr>
                <w:vertAlign w:val="superscript"/>
              </w:rPr>
              <w:t>th</w:t>
            </w:r>
            <w:r>
              <w:t xml:space="preserve"> </w:t>
            </w:r>
            <w:r w:rsidRPr="004475C6">
              <w:t>Amendment protects people from state infringement of their First Amendment rights to free speech.</w:t>
            </w:r>
          </w:p>
        </w:tc>
        <w:tc>
          <w:tcPr>
            <w:tcW w:w="885" w:type="dxa"/>
            <w:tcBorders>
              <w:top w:val="single" w:sz="4" w:space="0" w:color="auto"/>
              <w:bottom w:val="single" w:sz="4" w:space="0" w:color="auto"/>
            </w:tcBorders>
            <w:vAlign w:val="bottom"/>
          </w:tcPr>
          <w:p w14:paraId="505610F8" w14:textId="3E7B55E3" w:rsidR="008F180B" w:rsidRPr="008F180B" w:rsidRDefault="008F180B" w:rsidP="005D04B5">
            <w:pPr>
              <w:pStyle w:val="Subhead2sl"/>
              <w:jc w:val="center"/>
              <w:rPr>
                <w:i w:val="0"/>
              </w:rPr>
            </w:pPr>
          </w:p>
        </w:tc>
      </w:tr>
      <w:tr w:rsidR="008F180B" w14:paraId="3EA688D2" w14:textId="77777777" w:rsidTr="00A60E68">
        <w:tc>
          <w:tcPr>
            <w:tcW w:w="8475" w:type="dxa"/>
            <w:vAlign w:val="bottom"/>
          </w:tcPr>
          <w:p w14:paraId="78EDA9F0" w14:textId="1DAC84C2" w:rsidR="008F180B" w:rsidRPr="00165B4B" w:rsidRDefault="00165B4B" w:rsidP="00165B4B">
            <w:pPr>
              <w:pStyle w:val="Bulletsl"/>
              <w:numPr>
                <w:ilvl w:val="0"/>
                <w:numId w:val="16"/>
              </w:numPr>
              <w:spacing w:line="276" w:lineRule="auto"/>
              <w:ind w:left="525" w:hanging="525"/>
            </w:pPr>
            <w:r w:rsidRPr="004475C6">
              <w:t xml:space="preserve">Wearing the armbands was a form of speech. It was a </w:t>
            </w:r>
            <w:r w:rsidRPr="004475C6">
              <w:rPr>
                <w:highlight w:val="white"/>
              </w:rPr>
              <w:t xml:space="preserve">silent, passive expression of opinion. </w:t>
            </w:r>
          </w:p>
        </w:tc>
        <w:tc>
          <w:tcPr>
            <w:tcW w:w="885" w:type="dxa"/>
            <w:tcBorders>
              <w:top w:val="single" w:sz="4" w:space="0" w:color="auto"/>
              <w:bottom w:val="single" w:sz="4" w:space="0" w:color="auto"/>
            </w:tcBorders>
            <w:vAlign w:val="bottom"/>
          </w:tcPr>
          <w:p w14:paraId="509D53D9" w14:textId="1C9AB710" w:rsidR="008F180B" w:rsidRPr="008F180B" w:rsidRDefault="008F180B" w:rsidP="005D04B5">
            <w:pPr>
              <w:pStyle w:val="Subhead2sl"/>
              <w:jc w:val="center"/>
              <w:rPr>
                <w:i w:val="0"/>
              </w:rPr>
            </w:pPr>
          </w:p>
        </w:tc>
      </w:tr>
      <w:tr w:rsidR="008F180B" w14:paraId="6F256079" w14:textId="77777777" w:rsidTr="00A60E68">
        <w:tc>
          <w:tcPr>
            <w:tcW w:w="8475" w:type="dxa"/>
            <w:vAlign w:val="bottom"/>
          </w:tcPr>
          <w:p w14:paraId="15DBA3BA" w14:textId="1C7AC81A" w:rsidR="008F180B" w:rsidRPr="00165B4B" w:rsidRDefault="00165B4B" w:rsidP="00165B4B">
            <w:pPr>
              <w:pStyle w:val="Bulletsl"/>
              <w:numPr>
                <w:ilvl w:val="0"/>
                <w:numId w:val="16"/>
              </w:numPr>
              <w:spacing w:line="276" w:lineRule="auto"/>
              <w:ind w:left="525" w:hanging="525"/>
            </w:pPr>
            <w:r w:rsidRPr="004475C6">
              <w:t xml:space="preserve">Schools are meant to act as an environment for discourse and a forum for different ideas; allowing students the ability to express their ideals is an inevitable part of the educational process. </w:t>
            </w:r>
          </w:p>
        </w:tc>
        <w:tc>
          <w:tcPr>
            <w:tcW w:w="885" w:type="dxa"/>
            <w:tcBorders>
              <w:top w:val="single" w:sz="4" w:space="0" w:color="auto"/>
              <w:bottom w:val="single" w:sz="4" w:space="0" w:color="auto"/>
            </w:tcBorders>
            <w:vAlign w:val="bottom"/>
          </w:tcPr>
          <w:p w14:paraId="2624DC55" w14:textId="766DB33B" w:rsidR="008F180B" w:rsidRPr="008F180B" w:rsidRDefault="008F180B" w:rsidP="005D04B5">
            <w:pPr>
              <w:pStyle w:val="Subhead2sl"/>
              <w:jc w:val="center"/>
              <w:rPr>
                <w:i w:val="0"/>
              </w:rPr>
            </w:pPr>
          </w:p>
        </w:tc>
      </w:tr>
      <w:tr w:rsidR="008F180B" w14:paraId="4A783C66" w14:textId="77777777" w:rsidTr="00A60E68">
        <w:tc>
          <w:tcPr>
            <w:tcW w:w="8475" w:type="dxa"/>
            <w:vAlign w:val="bottom"/>
          </w:tcPr>
          <w:p w14:paraId="07F2F99F" w14:textId="0B9EC6D8" w:rsidR="008F180B" w:rsidRPr="00165B4B" w:rsidRDefault="00165B4B" w:rsidP="00165B4B">
            <w:pPr>
              <w:pStyle w:val="Bulletsl"/>
              <w:numPr>
                <w:ilvl w:val="0"/>
                <w:numId w:val="16"/>
              </w:numPr>
              <w:spacing w:line="276" w:lineRule="auto"/>
              <w:ind w:left="525" w:hanging="525"/>
            </w:pPr>
            <w:r w:rsidRPr="00EE6A86">
              <w:t>Free speech is not an absolute right. The First Amendment does not say that anyone may say anything, at any place, at any time. Schools are not an appropriate forum for protest.</w:t>
            </w:r>
          </w:p>
        </w:tc>
        <w:tc>
          <w:tcPr>
            <w:tcW w:w="885" w:type="dxa"/>
            <w:tcBorders>
              <w:top w:val="single" w:sz="4" w:space="0" w:color="auto"/>
              <w:bottom w:val="single" w:sz="4" w:space="0" w:color="auto"/>
            </w:tcBorders>
            <w:vAlign w:val="bottom"/>
          </w:tcPr>
          <w:p w14:paraId="0F5EFF63" w14:textId="6981D724" w:rsidR="008F180B" w:rsidRPr="008F180B" w:rsidRDefault="008F180B" w:rsidP="005D04B5">
            <w:pPr>
              <w:pStyle w:val="Subhead2sl"/>
              <w:jc w:val="center"/>
              <w:rPr>
                <w:i w:val="0"/>
              </w:rPr>
            </w:pPr>
          </w:p>
        </w:tc>
      </w:tr>
      <w:tr w:rsidR="008F180B" w14:paraId="58E01CFF" w14:textId="77777777" w:rsidTr="00A60E68">
        <w:tc>
          <w:tcPr>
            <w:tcW w:w="8475" w:type="dxa"/>
            <w:vAlign w:val="bottom"/>
          </w:tcPr>
          <w:p w14:paraId="01B2012E" w14:textId="1A4AF9ED" w:rsidR="008F180B" w:rsidRPr="00165B4B" w:rsidRDefault="00165B4B" w:rsidP="00165B4B">
            <w:pPr>
              <w:pStyle w:val="Bulletsl"/>
              <w:numPr>
                <w:ilvl w:val="0"/>
                <w:numId w:val="16"/>
              </w:numPr>
              <w:spacing w:line="276" w:lineRule="auto"/>
              <w:ind w:left="525" w:hanging="525"/>
            </w:pPr>
            <w:r w:rsidRPr="00EE6A86">
              <w:t>The Vietnam War is a controversial issue. Wearing the armbands could be an explosive situation that disrupts learning. It is the school</w:t>
            </w:r>
            <w:r>
              <w:t xml:space="preserve"> district</w:t>
            </w:r>
            <w:r w:rsidRPr="00EE6A86">
              <w:t>’s duty to prevent substantial and serious disruption to the learning environment.</w:t>
            </w:r>
          </w:p>
        </w:tc>
        <w:tc>
          <w:tcPr>
            <w:tcW w:w="885" w:type="dxa"/>
            <w:tcBorders>
              <w:top w:val="single" w:sz="4" w:space="0" w:color="auto"/>
              <w:bottom w:val="single" w:sz="4" w:space="0" w:color="auto"/>
            </w:tcBorders>
            <w:vAlign w:val="bottom"/>
          </w:tcPr>
          <w:p w14:paraId="24E3F94F" w14:textId="352771E5" w:rsidR="008F180B" w:rsidRPr="008F180B" w:rsidRDefault="008F180B" w:rsidP="005D04B5">
            <w:pPr>
              <w:pStyle w:val="Subhead2sl"/>
              <w:jc w:val="center"/>
              <w:rPr>
                <w:i w:val="0"/>
              </w:rPr>
            </w:pPr>
          </w:p>
        </w:tc>
      </w:tr>
      <w:tr w:rsidR="008F180B" w14:paraId="5F150C9D" w14:textId="77777777" w:rsidTr="00A60E68">
        <w:tc>
          <w:tcPr>
            <w:tcW w:w="8475" w:type="dxa"/>
            <w:vAlign w:val="bottom"/>
          </w:tcPr>
          <w:p w14:paraId="28C5568D" w14:textId="4021F318" w:rsidR="008F180B" w:rsidRPr="00165B4B" w:rsidRDefault="00165B4B" w:rsidP="00165B4B">
            <w:pPr>
              <w:pStyle w:val="Bulletsl"/>
              <w:numPr>
                <w:ilvl w:val="0"/>
                <w:numId w:val="16"/>
              </w:numPr>
              <w:spacing w:line="276" w:lineRule="auto"/>
              <w:ind w:left="525" w:hanging="525"/>
            </w:pPr>
            <w:r w:rsidRPr="004475C6">
              <w:rPr>
                <w:highlight w:val="white"/>
              </w:rPr>
              <w:t xml:space="preserve">Students, whether in school or out of school, are “persons” under </w:t>
            </w:r>
            <w:r>
              <w:rPr>
                <w:highlight w:val="white"/>
              </w:rPr>
              <w:t>the</w:t>
            </w:r>
            <w:r w:rsidRPr="004475C6">
              <w:rPr>
                <w:highlight w:val="white"/>
              </w:rPr>
              <w:t xml:space="preserve"> Constitution. They possess fundamental rights that all levels of government must respect. </w:t>
            </w:r>
          </w:p>
        </w:tc>
        <w:tc>
          <w:tcPr>
            <w:tcW w:w="885" w:type="dxa"/>
            <w:tcBorders>
              <w:top w:val="single" w:sz="4" w:space="0" w:color="auto"/>
              <w:bottom w:val="single" w:sz="4" w:space="0" w:color="auto"/>
            </w:tcBorders>
            <w:vAlign w:val="bottom"/>
          </w:tcPr>
          <w:p w14:paraId="359638FD" w14:textId="454934A9" w:rsidR="008F180B" w:rsidRPr="008F180B" w:rsidRDefault="008F180B" w:rsidP="005D04B5">
            <w:pPr>
              <w:pStyle w:val="Subhead2sl"/>
              <w:jc w:val="center"/>
              <w:rPr>
                <w:i w:val="0"/>
              </w:rPr>
            </w:pPr>
          </w:p>
        </w:tc>
      </w:tr>
      <w:tr w:rsidR="005D04B5" w14:paraId="2587462C" w14:textId="77777777" w:rsidTr="00A60E68">
        <w:tc>
          <w:tcPr>
            <w:tcW w:w="8475" w:type="dxa"/>
            <w:vAlign w:val="bottom"/>
          </w:tcPr>
          <w:p w14:paraId="27F5F119" w14:textId="32B9DB14" w:rsidR="005D04B5" w:rsidRPr="00165B4B" w:rsidRDefault="00165B4B" w:rsidP="00165B4B">
            <w:pPr>
              <w:pStyle w:val="Bulletsl"/>
              <w:numPr>
                <w:ilvl w:val="0"/>
                <w:numId w:val="16"/>
              </w:numPr>
              <w:spacing w:line="276" w:lineRule="auto"/>
              <w:ind w:left="525" w:hanging="525"/>
            </w:pPr>
            <w:r>
              <w:t>V</w:t>
            </w:r>
            <w:r w:rsidRPr="00EE6A86">
              <w:t>oicing controversial opinions in class or in school areas such as the hallways, lunchroom</w:t>
            </w:r>
            <w:r>
              <w:t>s</w:t>
            </w:r>
            <w:r w:rsidRPr="00EE6A86">
              <w:t>, and gym classes may lead to bullying or violence directed against the protesting students.</w:t>
            </w:r>
            <w:r>
              <w:t xml:space="preserve"> </w:t>
            </w:r>
            <w:r w:rsidRPr="00EE6A86">
              <w:t>It is the responsibility of the school</w:t>
            </w:r>
            <w:r>
              <w:t>s</w:t>
            </w:r>
            <w:r w:rsidRPr="00EE6A86">
              <w:t xml:space="preserve"> to </w:t>
            </w:r>
            <w:r>
              <w:t xml:space="preserve">prevent such behavior and </w:t>
            </w:r>
            <w:r w:rsidRPr="00EE6A86">
              <w:t>protect the safety of all students.</w:t>
            </w:r>
          </w:p>
        </w:tc>
        <w:tc>
          <w:tcPr>
            <w:tcW w:w="885" w:type="dxa"/>
            <w:tcBorders>
              <w:top w:val="single" w:sz="4" w:space="0" w:color="auto"/>
              <w:bottom w:val="single" w:sz="4" w:space="0" w:color="auto"/>
            </w:tcBorders>
            <w:vAlign w:val="bottom"/>
          </w:tcPr>
          <w:p w14:paraId="212F100B" w14:textId="24760266" w:rsidR="005D04B5" w:rsidRPr="008F180B" w:rsidRDefault="005D04B5" w:rsidP="005D04B5">
            <w:pPr>
              <w:pStyle w:val="Subhead2sl"/>
              <w:jc w:val="center"/>
              <w:rPr>
                <w:i w:val="0"/>
              </w:rPr>
            </w:pPr>
          </w:p>
        </w:tc>
      </w:tr>
    </w:tbl>
    <w:p w14:paraId="5BD045E9" w14:textId="77777777" w:rsidR="008F180B" w:rsidRDefault="00293340" w:rsidP="00293340">
      <w:r>
        <w:t xml:space="preserve"> </w:t>
      </w: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8F180B" w14:paraId="7E23AB93" w14:textId="77777777" w:rsidTr="001941AB">
        <w:tc>
          <w:tcPr>
            <w:tcW w:w="8475" w:type="dxa"/>
            <w:vAlign w:val="bottom"/>
          </w:tcPr>
          <w:p w14:paraId="6016DABA" w14:textId="5E9F80D4" w:rsidR="008F180B" w:rsidRPr="00165B4B" w:rsidRDefault="00165B4B" w:rsidP="00165B4B">
            <w:pPr>
              <w:pStyle w:val="Bulletsl"/>
              <w:numPr>
                <w:ilvl w:val="0"/>
                <w:numId w:val="16"/>
              </w:numPr>
              <w:spacing w:line="276" w:lineRule="auto"/>
              <w:ind w:left="525" w:hanging="540"/>
            </w:pPr>
            <w:r w:rsidRPr="004475C6">
              <w:lastRenderedPageBreak/>
              <w:t>The students’ speech was not disruptive. The school</w:t>
            </w:r>
            <w:r>
              <w:t xml:space="preserve"> district </w:t>
            </w:r>
            <w:r w:rsidRPr="004475C6">
              <w:t>gave no evidence that the armbands were a distraction or disrupted the learning process. Just because the school</w:t>
            </w:r>
            <w:r>
              <w:t xml:space="preserve">s were </w:t>
            </w:r>
            <w:r w:rsidRPr="004475C6">
              <w:t xml:space="preserve">afraid that there might be a disruption is not enough to infringe students’ speech. </w:t>
            </w:r>
          </w:p>
        </w:tc>
        <w:tc>
          <w:tcPr>
            <w:tcW w:w="885" w:type="dxa"/>
            <w:tcBorders>
              <w:bottom w:val="single" w:sz="4" w:space="0" w:color="auto"/>
            </w:tcBorders>
            <w:vAlign w:val="bottom"/>
          </w:tcPr>
          <w:p w14:paraId="67D1FEAA" w14:textId="5E46D613" w:rsidR="008F180B" w:rsidRPr="008F180B" w:rsidRDefault="008F180B" w:rsidP="001941AB">
            <w:pPr>
              <w:pStyle w:val="Subhead2sl"/>
              <w:spacing w:before="0"/>
              <w:jc w:val="center"/>
              <w:rPr>
                <w:i w:val="0"/>
              </w:rPr>
            </w:pPr>
          </w:p>
        </w:tc>
      </w:tr>
      <w:tr w:rsidR="008F180B" w14:paraId="798AB3FE" w14:textId="77777777" w:rsidTr="001941AB">
        <w:tc>
          <w:tcPr>
            <w:tcW w:w="8475" w:type="dxa"/>
            <w:vAlign w:val="bottom"/>
          </w:tcPr>
          <w:p w14:paraId="397A3537" w14:textId="47F80857" w:rsidR="008F180B" w:rsidRPr="00165B4B" w:rsidRDefault="00165B4B" w:rsidP="00165B4B">
            <w:pPr>
              <w:pStyle w:val="Bulletsl"/>
              <w:numPr>
                <w:ilvl w:val="0"/>
                <w:numId w:val="16"/>
              </w:numPr>
              <w:spacing w:line="276" w:lineRule="auto"/>
              <w:ind w:left="525" w:hanging="540"/>
            </w:pPr>
            <w:r w:rsidRPr="004475C6">
              <w:t>The students wearing the armbands did not infringe any other student’s rights. Wearing the armbands did not intrude upon the work of the school</w:t>
            </w:r>
            <w:r>
              <w:t>s</w:t>
            </w:r>
            <w:r w:rsidRPr="004475C6">
              <w:t>, teachers, or other students.</w:t>
            </w:r>
          </w:p>
        </w:tc>
        <w:tc>
          <w:tcPr>
            <w:tcW w:w="885" w:type="dxa"/>
            <w:tcBorders>
              <w:top w:val="single" w:sz="4" w:space="0" w:color="auto"/>
              <w:bottom w:val="single" w:sz="4" w:space="0" w:color="auto"/>
            </w:tcBorders>
            <w:vAlign w:val="bottom"/>
          </w:tcPr>
          <w:p w14:paraId="205860EA" w14:textId="5E8F7AA1" w:rsidR="008F180B" w:rsidRPr="008F180B" w:rsidRDefault="008F180B" w:rsidP="00A60E68">
            <w:pPr>
              <w:pStyle w:val="Subhead2sl"/>
              <w:jc w:val="center"/>
              <w:rPr>
                <w:i w:val="0"/>
              </w:rPr>
            </w:pPr>
          </w:p>
        </w:tc>
      </w:tr>
      <w:tr w:rsidR="008F180B" w14:paraId="134F0BDE" w14:textId="77777777" w:rsidTr="001941AB">
        <w:tc>
          <w:tcPr>
            <w:tcW w:w="8475" w:type="dxa"/>
            <w:vAlign w:val="bottom"/>
          </w:tcPr>
          <w:p w14:paraId="5927FFF2" w14:textId="72197F8A" w:rsidR="008F180B" w:rsidRPr="00165B4B" w:rsidRDefault="00165B4B" w:rsidP="00165B4B">
            <w:pPr>
              <w:pStyle w:val="ListParagraph"/>
              <w:numPr>
                <w:ilvl w:val="0"/>
                <w:numId w:val="16"/>
              </w:numPr>
              <w:spacing w:after="120"/>
              <w:ind w:left="525" w:hanging="540"/>
              <w:rPr>
                <w:rFonts w:ascii="Garamond" w:hAnsi="Garamond"/>
                <w:sz w:val="24"/>
                <w:szCs w:val="24"/>
              </w:rPr>
            </w:pPr>
            <w:r w:rsidRPr="00165B4B">
              <w:rPr>
                <w:rFonts w:ascii="Garamond" w:hAnsi="Garamond"/>
                <w:sz w:val="24"/>
                <w:szCs w:val="24"/>
              </w:rPr>
              <w:t xml:space="preserve">The school district did not ban all types of expressions, just the armbands. They were banned because of their inflammatory nature and potential for significant disruption. Students could still express opinions in other ways. For example, they could wear political emblems such as “Vote for Candidate X” buttons. </w:t>
            </w:r>
          </w:p>
        </w:tc>
        <w:tc>
          <w:tcPr>
            <w:tcW w:w="885" w:type="dxa"/>
            <w:tcBorders>
              <w:top w:val="single" w:sz="4" w:space="0" w:color="auto"/>
              <w:bottom w:val="single" w:sz="4" w:space="0" w:color="auto"/>
            </w:tcBorders>
            <w:vAlign w:val="bottom"/>
          </w:tcPr>
          <w:p w14:paraId="6E92DDAC" w14:textId="416069A0" w:rsidR="008F180B" w:rsidRPr="008F180B" w:rsidRDefault="008F180B" w:rsidP="00A60E68">
            <w:pPr>
              <w:pStyle w:val="Subhead2sl"/>
              <w:jc w:val="center"/>
              <w:rPr>
                <w:i w:val="0"/>
              </w:rPr>
            </w:pPr>
          </w:p>
        </w:tc>
      </w:tr>
      <w:tr w:rsidR="008F180B" w14:paraId="00D60FB3" w14:textId="77777777" w:rsidTr="005D04B5">
        <w:trPr>
          <w:trHeight w:val="70"/>
        </w:trPr>
        <w:tc>
          <w:tcPr>
            <w:tcW w:w="8475" w:type="dxa"/>
            <w:vAlign w:val="bottom"/>
          </w:tcPr>
          <w:p w14:paraId="5A870B34" w14:textId="3873A876" w:rsidR="008F180B" w:rsidRPr="00165B4B" w:rsidRDefault="00165B4B" w:rsidP="00165B4B">
            <w:pPr>
              <w:pStyle w:val="Bulletsl"/>
              <w:numPr>
                <w:ilvl w:val="0"/>
                <w:numId w:val="16"/>
              </w:numPr>
              <w:spacing w:line="276" w:lineRule="auto"/>
              <w:ind w:left="525" w:hanging="540"/>
            </w:pPr>
            <w:r w:rsidRPr="00EE6A86">
              <w:t xml:space="preserve">If the Supreme Court rules in favor of the </w:t>
            </w:r>
            <w:r>
              <w:t>students</w:t>
            </w:r>
            <w:r w:rsidRPr="00EE6A86">
              <w:t>, it would be overstepping its bounds and interfering with state and local government powers that govern day</w:t>
            </w:r>
            <w:r>
              <w:t>-</w:t>
            </w:r>
            <w:r w:rsidRPr="00EE6A86">
              <w:t>to</w:t>
            </w:r>
            <w:r>
              <w:t>-</w:t>
            </w:r>
            <w:r w:rsidRPr="00EE6A86">
              <w:t>day school operations</w:t>
            </w:r>
          </w:p>
        </w:tc>
        <w:tc>
          <w:tcPr>
            <w:tcW w:w="885" w:type="dxa"/>
            <w:tcBorders>
              <w:top w:val="single" w:sz="4" w:space="0" w:color="auto"/>
              <w:bottom w:val="single" w:sz="4" w:space="0" w:color="auto"/>
            </w:tcBorders>
            <w:vAlign w:val="bottom"/>
          </w:tcPr>
          <w:p w14:paraId="09C5B5A4" w14:textId="2AC0F19F" w:rsidR="008F180B" w:rsidRPr="008F180B" w:rsidRDefault="008F180B" w:rsidP="00A60E68">
            <w:pPr>
              <w:pStyle w:val="Subhead2sl"/>
              <w:jc w:val="center"/>
              <w:rPr>
                <w:i w:val="0"/>
              </w:rPr>
            </w:pPr>
          </w:p>
        </w:tc>
      </w:tr>
    </w:tbl>
    <w:p w14:paraId="2F250591" w14:textId="77777777" w:rsidR="008F180B" w:rsidRDefault="008F180B" w:rsidP="00A60E68">
      <w:pPr>
        <w:spacing w:before="360"/>
      </w:pPr>
      <w:r>
        <w:br w:type="page"/>
      </w:r>
    </w:p>
    <w:p w14:paraId="3A5366B7" w14:textId="77777777" w:rsidR="007A53B6" w:rsidRDefault="007A53B6" w:rsidP="005D78F1">
      <w:pPr>
        <w:pStyle w:val="Title2sl"/>
        <w:sectPr w:rsidR="007A53B6" w:rsidSect="004C6754">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38CD286F" w14:textId="77777777" w:rsidR="000656B1" w:rsidRPr="00084153" w:rsidRDefault="000656B1" w:rsidP="000656B1">
      <w:pPr>
        <w:pStyle w:val="Title2sl"/>
      </w:pPr>
      <w:r>
        <w:lastRenderedPageBreak/>
        <w:t>Tinker</w:t>
      </w:r>
      <w:r w:rsidRPr="00084153">
        <w:t xml:space="preserve"> v. </w:t>
      </w:r>
      <w:r>
        <w:t xml:space="preserve">Des Moines Independent </w:t>
      </w:r>
      <w:r>
        <w:br/>
        <w:t xml:space="preserve">Community School District </w:t>
      </w:r>
      <w:r w:rsidRPr="007F0333">
        <w:rPr>
          <w:i w:val="0"/>
          <w:iCs/>
        </w:rPr>
        <w:t>(1969)</w:t>
      </w:r>
    </w:p>
    <w:p w14:paraId="2315DC47" w14:textId="77777777" w:rsidR="00165B4B" w:rsidRPr="00583DBA" w:rsidRDefault="00165B4B" w:rsidP="00165B4B">
      <w:pPr>
        <w:pStyle w:val="Argueddecideddatessl"/>
        <w:spacing w:after="120"/>
      </w:pPr>
      <w:r w:rsidRPr="00583DBA">
        <w:t xml:space="preserve">Argued: </w:t>
      </w:r>
      <w:r w:rsidRPr="00583DBA">
        <w:rPr>
          <w:b w:val="0"/>
        </w:rPr>
        <w:t>November 12, 1968</w:t>
      </w:r>
    </w:p>
    <w:p w14:paraId="18B05B8C" w14:textId="77777777" w:rsidR="00165B4B" w:rsidRPr="00583DBA" w:rsidRDefault="00165B4B" w:rsidP="00165B4B">
      <w:pPr>
        <w:pStyle w:val="Argueddecideddatessl"/>
        <w:spacing w:after="120"/>
      </w:pPr>
      <w:r w:rsidRPr="00583DBA">
        <w:t xml:space="preserve">Decided: </w:t>
      </w:r>
      <w:r w:rsidRPr="00583DBA">
        <w:rPr>
          <w:b w:val="0"/>
        </w:rPr>
        <w:t>February 24, 1969</w:t>
      </w:r>
    </w:p>
    <w:p w14:paraId="40B4D5D6" w14:textId="77777777" w:rsidR="00165B4B" w:rsidRPr="00583DBA" w:rsidRDefault="00165B4B" w:rsidP="00165B4B">
      <w:pPr>
        <w:pStyle w:val="Subhead2sl"/>
      </w:pPr>
      <w:r w:rsidRPr="00583DBA">
        <w:t>Facts</w:t>
      </w:r>
    </w:p>
    <w:p w14:paraId="747C539F" w14:textId="77777777" w:rsidR="00165B4B" w:rsidRPr="00583DBA" w:rsidRDefault="00165B4B" w:rsidP="00165B4B">
      <w:pPr>
        <w:pStyle w:val="Basiccopysl"/>
      </w:pPr>
      <w:r w:rsidRPr="00583DBA">
        <w:t xml:space="preserve">In 1966, in Des Moines, Iowa, five students ages 13–16 decided to show opposition to the Vietnam War. The students planned to wear two-inch-wide black armbands to school for two weeks. The school district found out about the students’ plan and preemptively announced a policy that any student who wore a black armband, or refused to take it off, would be suspended from school after the student’s parents were called. </w:t>
      </w:r>
    </w:p>
    <w:p w14:paraId="60A0F5A4" w14:textId="77777777" w:rsidR="00165B4B" w:rsidRPr="00583DBA" w:rsidRDefault="00165B4B" w:rsidP="00165B4B">
      <w:pPr>
        <w:pStyle w:val="Basiccopysl"/>
      </w:pPr>
      <w:r w:rsidRPr="00583DBA">
        <w:t>Mary Beth Tinker, an eighth grader, and John Tinker and Christopher Eckhardt, both high school students, wore black armbands to their respective schools. All three teens were sent home for violating the announced ban and told not to return until they agreed not to wear the armbands. Their parents filed suit against the school district for violating the students’ First Amendment right to free speech. The federal District Court dismissed the case and ruled that the school district’s actions were reasonable to uphold school discipline. The U.S. Court of Appeals for the Eighth Circuit agreed with the District Court. The Tinkers asked the U.S. Supreme Court to review that decision, and the Court agreed to hear the case.</w:t>
      </w:r>
    </w:p>
    <w:p w14:paraId="19FC9096" w14:textId="77777777" w:rsidR="00165B4B" w:rsidRPr="00583DBA" w:rsidRDefault="00165B4B" w:rsidP="00165B4B">
      <w:pPr>
        <w:pStyle w:val="Subhead2sl"/>
      </w:pPr>
      <w:r w:rsidRPr="00583DBA">
        <w:t>Issue</w:t>
      </w:r>
    </w:p>
    <w:p w14:paraId="09439593" w14:textId="77777777" w:rsidR="00165B4B" w:rsidRPr="00583DBA" w:rsidRDefault="00165B4B" w:rsidP="00165B4B">
      <w:pPr>
        <w:pStyle w:val="Basiccopysl"/>
      </w:pPr>
      <w:r w:rsidRPr="00583DBA">
        <w:t>Does a prohibition against the wearing of armbands in public school as a form of symbolic speech violate the students’ freedom of speech protections guaranteed by the First Amendment?</w:t>
      </w:r>
    </w:p>
    <w:p w14:paraId="00CDDC08" w14:textId="77777777" w:rsidR="00165B4B" w:rsidRPr="00583DBA" w:rsidRDefault="00165B4B" w:rsidP="00165B4B">
      <w:pPr>
        <w:pStyle w:val="Subhead2sl"/>
      </w:pPr>
      <w:r w:rsidRPr="00583DBA">
        <w:t>Constitutional Amendments and Supreme Court Precedent</w:t>
      </w:r>
    </w:p>
    <w:p w14:paraId="747ED826" w14:textId="77777777" w:rsidR="00165B4B" w:rsidRPr="00583DBA" w:rsidRDefault="00165B4B" w:rsidP="00165B4B">
      <w:pPr>
        <w:pStyle w:val="Amendmentprecedentbulletsl"/>
        <w:spacing w:line="276" w:lineRule="auto"/>
      </w:pPr>
      <w:r w:rsidRPr="00583DBA">
        <w:t>First Amendment to the U.S. Constitution</w:t>
      </w:r>
    </w:p>
    <w:p w14:paraId="41372151" w14:textId="77777777" w:rsidR="00165B4B" w:rsidRPr="00583DBA" w:rsidRDefault="00165B4B" w:rsidP="00165B4B">
      <w:pPr>
        <w:pStyle w:val="Indentedbasiccopysl"/>
      </w:pPr>
      <w:r w:rsidRPr="00583DBA">
        <w:t xml:space="preserve">“Congress shall make no law . . . abridging the freedom of speech </w:t>
      </w:r>
      <w:proofErr w:type="gramStart"/>
      <w:r w:rsidRPr="00583DBA">
        <w:t>. . . .</w:t>
      </w:r>
      <w:proofErr w:type="gramEnd"/>
      <w:r w:rsidRPr="00583DBA">
        <w:t xml:space="preserve"> ”</w:t>
      </w:r>
    </w:p>
    <w:p w14:paraId="7B05FB03" w14:textId="77777777" w:rsidR="00165B4B" w:rsidRPr="00583DBA" w:rsidRDefault="00165B4B" w:rsidP="00165B4B">
      <w:pPr>
        <w:pStyle w:val="Amendmentprecedentbulletsl"/>
        <w:spacing w:line="276" w:lineRule="auto"/>
      </w:pPr>
      <w:r w:rsidRPr="00583DBA">
        <w:t>14</w:t>
      </w:r>
      <w:r w:rsidRPr="00583DBA">
        <w:rPr>
          <w:vertAlign w:val="superscript"/>
        </w:rPr>
        <w:t>th</w:t>
      </w:r>
      <w:r w:rsidRPr="00583DBA">
        <w:t xml:space="preserve"> Amendment to the U.S. Constitution </w:t>
      </w:r>
    </w:p>
    <w:p w14:paraId="2F7B9315" w14:textId="77777777" w:rsidR="00165B4B" w:rsidRPr="00583DBA" w:rsidRDefault="00165B4B" w:rsidP="00165B4B">
      <w:pPr>
        <w:pStyle w:val="Amendmentprecedentbulletsl"/>
        <w:numPr>
          <w:ilvl w:val="0"/>
          <w:numId w:val="0"/>
        </w:numPr>
        <w:spacing w:before="0" w:line="276" w:lineRule="auto"/>
        <w:ind w:left="720"/>
        <w:rPr>
          <w:b w:val="0"/>
          <w:bCs/>
        </w:rPr>
      </w:pPr>
      <w:r w:rsidRPr="00583DBA">
        <w:rPr>
          <w:b w:val="0"/>
          <w:bCs/>
        </w:rPr>
        <w:t xml:space="preserve">“No state shall make or enforce any law which shall abridge the privileges or immunities of citizens of the United States; nor shall any state deprive any person of life, liberty or property, without due process of law </w:t>
      </w:r>
      <w:proofErr w:type="gramStart"/>
      <w:r w:rsidRPr="00583DBA">
        <w:rPr>
          <w:b w:val="0"/>
          <w:bCs/>
        </w:rPr>
        <w:t>. . . .</w:t>
      </w:r>
      <w:proofErr w:type="gramEnd"/>
      <w:r w:rsidRPr="00583DBA">
        <w:rPr>
          <w:b w:val="0"/>
          <w:bCs/>
        </w:rPr>
        <w:t>”</w:t>
      </w:r>
    </w:p>
    <w:p w14:paraId="32C6632C" w14:textId="77777777" w:rsidR="00165B4B" w:rsidRPr="00583DBA" w:rsidRDefault="00165B4B" w:rsidP="00165B4B">
      <w:pPr>
        <w:pStyle w:val="Amendmentprecedentbulletsl"/>
        <w:keepNext/>
        <w:spacing w:line="276" w:lineRule="auto"/>
        <w:rPr>
          <w:b w:val="0"/>
          <w:bCs/>
        </w:rPr>
      </w:pPr>
      <w:r w:rsidRPr="00583DBA">
        <w:rPr>
          <w:b w:val="0"/>
          <w:bCs/>
          <w:i/>
        </w:rPr>
        <w:t>West Virginia State Board of Education v. Barnette</w:t>
      </w:r>
      <w:r w:rsidRPr="00583DBA">
        <w:rPr>
          <w:b w:val="0"/>
          <w:bCs/>
        </w:rPr>
        <w:t xml:space="preserve"> (1943)</w:t>
      </w:r>
    </w:p>
    <w:p w14:paraId="7FD760F4" w14:textId="77777777" w:rsidR="00165B4B" w:rsidRPr="00583DBA" w:rsidRDefault="00165B4B" w:rsidP="00165B4B">
      <w:pPr>
        <w:pStyle w:val="Indentedbasiccopysl"/>
      </w:pPr>
      <w:r w:rsidRPr="00583DBA">
        <w:t xml:space="preserve">The West Virginia Board of Education required that all public schools include a salute of the American flag as a part of their activities. All teachers and pupils were required to salute the </w:t>
      </w:r>
      <w:r w:rsidRPr="00583DBA">
        <w:lastRenderedPageBreak/>
        <w:t xml:space="preserve">flag. If they did not, they could be charged with “insubordination” and punished. Students who were Jehovah’s Witnesses and had a religious objection to saluting the flag sued the state board of education. The Supreme Court ruled that this mandatory salute was unconstitutional. The Court said that a flag salute was a form of speech because it was a way to communicate ideas. The justices ruled that, in most cases, the government could not require people to express ideas that they disagree with. </w:t>
      </w:r>
    </w:p>
    <w:p w14:paraId="6063DFB3" w14:textId="6F0EBA81" w:rsidR="000656B1" w:rsidRPr="00EE6A86" w:rsidRDefault="000656B1" w:rsidP="000656B1">
      <w:pPr>
        <w:pStyle w:val="Indentedbasiccopysl"/>
      </w:pPr>
    </w:p>
    <w:p w14:paraId="18BD9DBC" w14:textId="7AAC4A4D" w:rsidR="00293340" w:rsidRDefault="00293340" w:rsidP="000656B1">
      <w:pPr>
        <w:pStyle w:val="Title2sl"/>
        <w:spacing w:before="240"/>
      </w:pPr>
    </w:p>
    <w:sectPr w:rsidR="00293340" w:rsidSect="004C6754">
      <w:headerReference w:type="first" r:id="rId15"/>
      <w:footerReference w:type="first" r:id="rId16"/>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4EB7" w14:textId="77777777" w:rsidR="004C6754" w:rsidRDefault="004C6754" w:rsidP="0078549D">
      <w:pPr>
        <w:spacing w:after="0" w:line="240" w:lineRule="auto"/>
      </w:pPr>
      <w:r>
        <w:separator/>
      </w:r>
    </w:p>
  </w:endnote>
  <w:endnote w:type="continuationSeparator" w:id="0">
    <w:p w14:paraId="781E21C5" w14:textId="77777777" w:rsidR="004C6754" w:rsidRDefault="004C675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CB197AF" w14:textId="77777777"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201</w:t>
        </w:r>
        <w:r w:rsidR="00B91534">
          <w:rPr>
            <w:rFonts w:ascii="Garamond" w:hAnsi="Garamond"/>
          </w:rPr>
          <w:t>8</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760ABC">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34BA33B" w14:textId="4B7E6D1E" w:rsidR="00F42CDF" w:rsidRDefault="00F42CDF">
        <w:pPr>
          <w:pStyle w:val="Footer"/>
          <w:rPr>
            <w:rFonts w:ascii="Garamond" w:hAnsi="Garamond"/>
            <w:noProof/>
          </w:rPr>
        </w:pPr>
        <w:r w:rsidRPr="008A3806">
          <w:rPr>
            <w:rFonts w:ascii="Garamond" w:hAnsi="Garamond" w:cstheme="minorHAnsi"/>
          </w:rPr>
          <w:t>©</w:t>
        </w:r>
        <w:r w:rsidRPr="008A3806">
          <w:rPr>
            <w:rFonts w:ascii="Garamond" w:hAnsi="Garamond"/>
          </w:rPr>
          <w:t xml:space="preserve"> 201</w:t>
        </w:r>
        <w:r>
          <w:rPr>
            <w:rFonts w:ascii="Garamond" w:hAnsi="Garamond"/>
          </w:rPr>
          <w:t>8</w:t>
        </w:r>
        <w:r w:rsidRPr="008A3806">
          <w:rPr>
            <w:rFonts w:ascii="Garamond" w:hAnsi="Garamond"/>
          </w:rPr>
          <w:t xml:space="preserve"> Street Law, Inc.</w:t>
        </w:r>
        <w:r w:rsidRPr="008A3806">
          <w:rPr>
            <w:rFonts w:ascii="Garamond" w:hAnsi="Garamond"/>
          </w:rPr>
          <w:tab/>
        </w:r>
        <w:r w:rsidRPr="008A3806">
          <w:rPr>
            <w:rFonts w:ascii="Garamond" w:hAnsi="Garamond"/>
          </w:rPr>
          <w:tab/>
        </w:r>
        <w:r w:rsidR="00A75F59">
          <w:rPr>
            <w:rFonts w:ascii="Garamond" w:hAnsi="Garamond"/>
          </w:rPr>
          <w:t xml:space="preserve"> </w:t>
        </w:r>
        <w:r w:rsidR="000656B1">
          <w:rPr>
            <w:rFonts w:ascii="Garamond" w:hAnsi="Garamond"/>
          </w:rPr>
          <w:t>Last u</w:t>
        </w:r>
        <w:r w:rsidR="00A60E68">
          <w:rPr>
            <w:rFonts w:ascii="Garamond" w:hAnsi="Garamond"/>
          </w:rPr>
          <w:t>pdated: 0</w:t>
        </w:r>
        <w:r w:rsidR="00836D81">
          <w:rPr>
            <w:rFonts w:ascii="Garamond" w:hAnsi="Garamond"/>
          </w:rPr>
          <w:t>1/24/2024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494015924"/>
      <w:docPartObj>
        <w:docPartGallery w:val="Page Numbers (Bottom of Page)"/>
        <w:docPartUnique/>
      </w:docPartObj>
    </w:sdtPr>
    <w:sdtEndPr>
      <w:rPr>
        <w:noProof/>
      </w:rPr>
    </w:sdtEndPr>
    <w:sdtContent>
      <w:p w14:paraId="14E9788B" w14:textId="3D0500CE" w:rsidR="00836D81" w:rsidRDefault="00836D81">
        <w:pPr>
          <w:pStyle w:val="Footer"/>
          <w:rPr>
            <w:rFonts w:ascii="Garamond" w:hAnsi="Garamond"/>
          </w:rPr>
        </w:pPr>
        <w:r w:rsidRPr="008A3806">
          <w:rPr>
            <w:rFonts w:ascii="Garamond" w:hAnsi="Garamond" w:cstheme="minorHAnsi"/>
          </w:rPr>
          <w:t>©</w:t>
        </w:r>
        <w:r w:rsidRPr="008A3806">
          <w:rPr>
            <w:rFonts w:ascii="Garamond" w:hAnsi="Garamond"/>
          </w:rPr>
          <w:t xml:space="preserve"> 201</w:t>
        </w:r>
        <w:r>
          <w:rPr>
            <w:rFonts w:ascii="Garamond" w:hAnsi="Garamond"/>
          </w:rPr>
          <w:t>8</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2</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187B" w14:textId="77777777" w:rsidR="004C6754" w:rsidRDefault="004C6754" w:rsidP="0078549D">
      <w:pPr>
        <w:spacing w:after="0" w:line="240" w:lineRule="auto"/>
      </w:pPr>
      <w:r>
        <w:separator/>
      </w:r>
    </w:p>
  </w:footnote>
  <w:footnote w:type="continuationSeparator" w:id="0">
    <w:p w14:paraId="732864BE" w14:textId="77777777" w:rsidR="004C6754" w:rsidRDefault="004C675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2F72" w14:textId="77777777" w:rsidR="00836D81" w:rsidRPr="004B3FAC" w:rsidRDefault="00836D81" w:rsidP="00836D81">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3872" behindDoc="0" locked="0" layoutInCell="1" allowOverlap="1" wp14:anchorId="7E8900E7" wp14:editId="68F48B9C">
              <wp:simplePos x="0" y="0"/>
              <wp:positionH relativeFrom="column">
                <wp:posOffset>-209550</wp:posOffset>
              </wp:positionH>
              <wp:positionV relativeFrom="paragraph">
                <wp:posOffset>-171450</wp:posOffset>
              </wp:positionV>
              <wp:extent cx="2695575" cy="542925"/>
              <wp:effectExtent l="0" t="0" r="0" b="0"/>
              <wp:wrapNone/>
              <wp:docPr id="958758946" name="Text Box 95875894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49871" w14:textId="77777777" w:rsidR="00836D81" w:rsidRDefault="00836D81" w:rsidP="00836D81">
                          <w:r>
                            <w:rPr>
                              <w:noProof/>
                            </w:rPr>
                            <w:drawing>
                              <wp:inline distT="0" distB="0" distL="0" distR="0" wp14:anchorId="2F792349" wp14:editId="554B614A">
                                <wp:extent cx="1828800" cy="333590"/>
                                <wp:effectExtent l="0" t="0" r="0" b="9525"/>
                                <wp:docPr id="673224852" name="Picture 6732248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8900E7" id="_x0000_t202" coordsize="21600,21600" o:spt="202" path="m,l,21600r21600,l21600,xe">
              <v:stroke joinstyle="miter"/>
              <v:path gradientshapeok="t" o:connecttype="rect"/>
            </v:shapetype>
            <v:shape id="Text Box 958758946" o:spid="_x0000_s1026" type="#_x0000_t202" style="position:absolute;left:0;text-align:left;margin-left:-16.5pt;margin-top:-13.5pt;width:212.25pt;height:42.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72A49871" w14:textId="77777777" w:rsidR="00836D81" w:rsidRDefault="00836D81" w:rsidP="00836D81">
                    <w:r>
                      <w:rPr>
                        <w:noProof/>
                      </w:rPr>
                      <w:drawing>
                        <wp:inline distT="0" distB="0" distL="0" distR="0" wp14:anchorId="2F792349" wp14:editId="554B614A">
                          <wp:extent cx="1828800" cy="333590"/>
                          <wp:effectExtent l="0" t="0" r="0" b="9525"/>
                          <wp:docPr id="673224852" name="Picture 6732248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285B3612" w14:textId="4C2CED9E" w:rsidR="0078549D" w:rsidRPr="00836D81" w:rsidRDefault="0078549D" w:rsidP="00836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4B6E" w14:textId="1EE9DD96" w:rsidR="00836D81" w:rsidRPr="004B3FAC" w:rsidRDefault="00836D81" w:rsidP="00836D81">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1824" behindDoc="0" locked="0" layoutInCell="1" allowOverlap="1" wp14:anchorId="31208152" wp14:editId="470DEFC5">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2BD18" w14:textId="77777777" w:rsidR="00836D81" w:rsidRDefault="00836D81" w:rsidP="00836D81">
                          <w:r>
                            <w:rPr>
                              <w:noProof/>
                            </w:rPr>
                            <w:drawing>
                              <wp:inline distT="0" distB="0" distL="0" distR="0" wp14:anchorId="367CF39F" wp14:editId="729AF38D">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208152"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15E2BD18" w14:textId="77777777" w:rsidR="00836D81" w:rsidRDefault="00836D81" w:rsidP="00836D81">
                    <w:r>
                      <w:rPr>
                        <w:noProof/>
                      </w:rPr>
                      <w:drawing>
                        <wp:inline distT="0" distB="0" distL="0" distR="0" wp14:anchorId="367CF39F" wp14:editId="729AF38D">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0DE532B" w14:textId="267E3118" w:rsidR="00B91534" w:rsidRPr="00DB480C" w:rsidRDefault="00B91534" w:rsidP="00DB4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8DD1" w14:textId="77777777" w:rsidR="00836D81" w:rsidRPr="004B3FAC" w:rsidRDefault="00836D81" w:rsidP="00836D81">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5920" behindDoc="0" locked="0" layoutInCell="1" allowOverlap="1" wp14:anchorId="4545431F" wp14:editId="0D2CDEF2">
              <wp:simplePos x="0" y="0"/>
              <wp:positionH relativeFrom="column">
                <wp:posOffset>-209550</wp:posOffset>
              </wp:positionH>
              <wp:positionV relativeFrom="paragraph">
                <wp:posOffset>-171450</wp:posOffset>
              </wp:positionV>
              <wp:extent cx="2695575" cy="542925"/>
              <wp:effectExtent l="0" t="0" r="0" b="0"/>
              <wp:wrapNone/>
              <wp:docPr id="1448913394" name="Text Box 144891339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26B39" w14:textId="77777777" w:rsidR="00836D81" w:rsidRDefault="00836D81" w:rsidP="00836D81">
                          <w:r>
                            <w:rPr>
                              <w:noProof/>
                            </w:rPr>
                            <w:drawing>
                              <wp:inline distT="0" distB="0" distL="0" distR="0" wp14:anchorId="17682820" wp14:editId="11D812DE">
                                <wp:extent cx="1828800" cy="333590"/>
                                <wp:effectExtent l="0" t="0" r="0" b="9525"/>
                                <wp:docPr id="1102228843" name="Picture 1102228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45431F" id="_x0000_t202" coordsize="21600,21600" o:spt="202" path="m,l,21600r21600,l21600,xe">
              <v:stroke joinstyle="miter"/>
              <v:path gradientshapeok="t" o:connecttype="rect"/>
            </v:shapetype>
            <v:shape id="Text Box 1448913394" o:spid="_x0000_s1028" type="#_x0000_t202" style="position:absolute;left:0;text-align:left;margin-left:-16.5pt;margin-top:-13.5pt;width:212.25pt;height:42.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04D26B39" w14:textId="77777777" w:rsidR="00836D81" w:rsidRDefault="00836D81" w:rsidP="00836D81">
                    <w:r>
                      <w:rPr>
                        <w:noProof/>
                      </w:rPr>
                      <w:drawing>
                        <wp:inline distT="0" distB="0" distL="0" distR="0" wp14:anchorId="17682820" wp14:editId="11D812DE">
                          <wp:extent cx="1828800" cy="333590"/>
                          <wp:effectExtent l="0" t="0" r="0" b="9525"/>
                          <wp:docPr id="1102228843" name="Picture 1102228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3CC7F499" w14:textId="089CDCE1" w:rsidR="00DB480C" w:rsidRPr="00836D81" w:rsidRDefault="00DB480C" w:rsidP="0083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183D"/>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D1DA0"/>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3F866D0E"/>
    <w:lvl w:ilvl="0" w:tplc="0BC4B8DA">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4269A"/>
    <w:multiLevelType w:val="hybridMultilevel"/>
    <w:tmpl w:val="74623818"/>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689099">
    <w:abstractNumId w:val="6"/>
  </w:num>
  <w:num w:numId="2" w16cid:durableId="1788231598">
    <w:abstractNumId w:val="3"/>
  </w:num>
  <w:num w:numId="3" w16cid:durableId="443691353">
    <w:abstractNumId w:val="2"/>
  </w:num>
  <w:num w:numId="4" w16cid:durableId="1157186731">
    <w:abstractNumId w:val="4"/>
  </w:num>
  <w:num w:numId="5" w16cid:durableId="1595429983">
    <w:abstractNumId w:val="8"/>
  </w:num>
  <w:num w:numId="6" w16cid:durableId="1472669158">
    <w:abstractNumId w:val="5"/>
  </w:num>
  <w:num w:numId="7" w16cid:durableId="2002852157">
    <w:abstractNumId w:val="8"/>
    <w:lvlOverride w:ilvl="0">
      <w:startOverride w:val="1"/>
    </w:lvlOverride>
  </w:num>
  <w:num w:numId="8" w16cid:durableId="332877067">
    <w:abstractNumId w:val="8"/>
    <w:lvlOverride w:ilvl="0">
      <w:startOverride w:val="1"/>
    </w:lvlOverride>
  </w:num>
  <w:num w:numId="9" w16cid:durableId="1001547315">
    <w:abstractNumId w:val="8"/>
    <w:lvlOverride w:ilvl="0">
      <w:startOverride w:val="1"/>
    </w:lvlOverride>
  </w:num>
  <w:num w:numId="10" w16cid:durableId="860628663">
    <w:abstractNumId w:val="8"/>
    <w:lvlOverride w:ilvl="0">
      <w:startOverride w:val="1"/>
    </w:lvlOverride>
  </w:num>
  <w:num w:numId="11" w16cid:durableId="1034574098">
    <w:abstractNumId w:val="12"/>
  </w:num>
  <w:num w:numId="12" w16cid:durableId="1713840087">
    <w:abstractNumId w:val="11"/>
  </w:num>
  <w:num w:numId="13" w16cid:durableId="1298871587">
    <w:abstractNumId w:val="10"/>
  </w:num>
  <w:num w:numId="14" w16cid:durableId="263149735">
    <w:abstractNumId w:val="9"/>
  </w:num>
  <w:num w:numId="15" w16cid:durableId="554194539">
    <w:abstractNumId w:val="6"/>
  </w:num>
  <w:num w:numId="16" w16cid:durableId="967316771">
    <w:abstractNumId w:val="1"/>
  </w:num>
  <w:num w:numId="17" w16cid:durableId="597176613">
    <w:abstractNumId w:val="6"/>
  </w:num>
  <w:num w:numId="18" w16cid:durableId="1279291624">
    <w:abstractNumId w:val="0"/>
  </w:num>
  <w:num w:numId="19" w16cid:durableId="195015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30DD1"/>
    <w:rsid w:val="00043588"/>
    <w:rsid w:val="000656B1"/>
    <w:rsid w:val="00070C92"/>
    <w:rsid w:val="000946C7"/>
    <w:rsid w:val="000E1A34"/>
    <w:rsid w:val="000E239D"/>
    <w:rsid w:val="00102792"/>
    <w:rsid w:val="00136C23"/>
    <w:rsid w:val="00161C2E"/>
    <w:rsid w:val="00165B4B"/>
    <w:rsid w:val="00170B98"/>
    <w:rsid w:val="00194823"/>
    <w:rsid w:val="001B766B"/>
    <w:rsid w:val="001C5593"/>
    <w:rsid w:val="00224D1D"/>
    <w:rsid w:val="00255C26"/>
    <w:rsid w:val="00275602"/>
    <w:rsid w:val="00290061"/>
    <w:rsid w:val="00293340"/>
    <w:rsid w:val="002B4D38"/>
    <w:rsid w:val="002C68A3"/>
    <w:rsid w:val="00304C79"/>
    <w:rsid w:val="00310F79"/>
    <w:rsid w:val="00317735"/>
    <w:rsid w:val="00366781"/>
    <w:rsid w:val="00375090"/>
    <w:rsid w:val="00396AEB"/>
    <w:rsid w:val="003A08C9"/>
    <w:rsid w:val="00401701"/>
    <w:rsid w:val="00424B4F"/>
    <w:rsid w:val="00452627"/>
    <w:rsid w:val="00465CBE"/>
    <w:rsid w:val="00474F6F"/>
    <w:rsid w:val="00477A3E"/>
    <w:rsid w:val="004B560A"/>
    <w:rsid w:val="004C6754"/>
    <w:rsid w:val="00512255"/>
    <w:rsid w:val="005219FB"/>
    <w:rsid w:val="00521C23"/>
    <w:rsid w:val="005311FB"/>
    <w:rsid w:val="0055555D"/>
    <w:rsid w:val="005A0330"/>
    <w:rsid w:val="005C4EE4"/>
    <w:rsid w:val="005D04B5"/>
    <w:rsid w:val="005D259D"/>
    <w:rsid w:val="005D78F1"/>
    <w:rsid w:val="005E6D34"/>
    <w:rsid w:val="006265F4"/>
    <w:rsid w:val="00653C28"/>
    <w:rsid w:val="00661B85"/>
    <w:rsid w:val="0067567C"/>
    <w:rsid w:val="00694AE4"/>
    <w:rsid w:val="00760ABC"/>
    <w:rsid w:val="0076502A"/>
    <w:rsid w:val="0078549D"/>
    <w:rsid w:val="007A53B6"/>
    <w:rsid w:val="007B4E71"/>
    <w:rsid w:val="007E788E"/>
    <w:rsid w:val="007F700D"/>
    <w:rsid w:val="0081328C"/>
    <w:rsid w:val="00813907"/>
    <w:rsid w:val="00815CB0"/>
    <w:rsid w:val="0081706F"/>
    <w:rsid w:val="008344B3"/>
    <w:rsid w:val="00836D81"/>
    <w:rsid w:val="00837007"/>
    <w:rsid w:val="00843D84"/>
    <w:rsid w:val="00855D18"/>
    <w:rsid w:val="00856302"/>
    <w:rsid w:val="008719A4"/>
    <w:rsid w:val="008A6608"/>
    <w:rsid w:val="008B28FB"/>
    <w:rsid w:val="008E00A0"/>
    <w:rsid w:val="008F180B"/>
    <w:rsid w:val="0092610E"/>
    <w:rsid w:val="00933157"/>
    <w:rsid w:val="009578D6"/>
    <w:rsid w:val="009740F1"/>
    <w:rsid w:val="009D6B03"/>
    <w:rsid w:val="00A05E31"/>
    <w:rsid w:val="00A15157"/>
    <w:rsid w:val="00A466A8"/>
    <w:rsid w:val="00A60E68"/>
    <w:rsid w:val="00A75F59"/>
    <w:rsid w:val="00A7721A"/>
    <w:rsid w:val="00AE0C77"/>
    <w:rsid w:val="00B02E60"/>
    <w:rsid w:val="00B112E2"/>
    <w:rsid w:val="00B62487"/>
    <w:rsid w:val="00B91534"/>
    <w:rsid w:val="00BD091B"/>
    <w:rsid w:val="00BE4A01"/>
    <w:rsid w:val="00C30920"/>
    <w:rsid w:val="00C713CC"/>
    <w:rsid w:val="00CF01A3"/>
    <w:rsid w:val="00CF342E"/>
    <w:rsid w:val="00D1312E"/>
    <w:rsid w:val="00D27F16"/>
    <w:rsid w:val="00D31818"/>
    <w:rsid w:val="00DB480C"/>
    <w:rsid w:val="00DE3D18"/>
    <w:rsid w:val="00DE5C4B"/>
    <w:rsid w:val="00E147CB"/>
    <w:rsid w:val="00E9032A"/>
    <w:rsid w:val="00EC1D51"/>
    <w:rsid w:val="00F42CDF"/>
    <w:rsid w:val="00FC5BD8"/>
    <w:rsid w:val="00FD20FB"/>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12DA"/>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6B1"/>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paragraph" w:customStyle="1" w:styleId="Basiccopycenteredsl">
    <w:name w:val="Basic copy_centered_sl"/>
    <w:basedOn w:val="Basiccopysl"/>
    <w:qFormat/>
    <w:rsid w:val="009578D6"/>
    <w:pPr>
      <w:jc w:val="center"/>
    </w:pPr>
    <w:rPr>
      <w:rFonts w:eastAsia="Times New Roman" w:cs="Times New Roman"/>
      <w:b/>
    </w:rPr>
  </w:style>
  <w:style w:type="paragraph" w:customStyle="1" w:styleId="BasicParagraph">
    <w:name w:val="[Basic Paragraph]"/>
    <w:basedOn w:val="Normal"/>
    <w:uiPriority w:val="99"/>
    <w:rsid w:val="009578D6"/>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95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7A53B6"/>
    <w:pPr>
      <w:ind w:left="720"/>
    </w:pPr>
    <w:rPr>
      <w:rFonts w:eastAsia="Times New Roman" w:cs="Times New Roman"/>
    </w:rPr>
  </w:style>
  <w:style w:type="paragraph" w:styleId="ListParagraph">
    <w:name w:val="List Paragraph"/>
    <w:basedOn w:val="Normal"/>
    <w:uiPriority w:val="34"/>
    <w:rsid w:val="00A6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EFDFC-A463-4CA1-902E-DB7245CDEAE3}">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F889E77A-BF78-4F95-BDEB-D26FBB65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4DF95-7753-4C9D-BA5A-4001A439C971}">
  <ds:schemaRefs>
    <ds:schemaRef ds:uri="http://schemas.openxmlformats.org/officeDocument/2006/bibliography"/>
  </ds:schemaRefs>
</ds:datastoreItem>
</file>

<file path=customXml/itemProps4.xml><?xml version="1.0" encoding="utf-8"?>
<ds:datastoreItem xmlns:ds="http://schemas.openxmlformats.org/officeDocument/2006/customXml" ds:itemID="{F35194E1-79CD-44E0-A111-549AD08EC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cp:lastPrinted>2019-05-16T20:28:00Z</cp:lastPrinted>
  <dcterms:created xsi:type="dcterms:W3CDTF">2021-09-15T03:30:00Z</dcterms:created>
  <dcterms:modified xsi:type="dcterms:W3CDTF">2024-01-25T00:51:00Z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