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0A11" w14:textId="07E4C611" w:rsidR="00AD7D69" w:rsidRDefault="00AD7D69" w:rsidP="00AD7D69">
      <w:pPr>
        <w:pStyle w:val="Title2sl"/>
        <w:spacing w:before="240"/>
        <w:jc w:val="center"/>
      </w:pPr>
      <w:r w:rsidRPr="00AD7D69">
        <w:rPr>
          <w:i/>
        </w:rPr>
        <w:t>Texas v. Johnson</w:t>
      </w:r>
      <w:r w:rsidRPr="00752A96">
        <w:t xml:space="preserve"> (1989)</w:t>
      </w:r>
    </w:p>
    <w:p w14:paraId="4388BF45" w14:textId="15DCC3FD" w:rsidR="005C6A98" w:rsidRPr="00ED7038" w:rsidRDefault="005C6A98" w:rsidP="00D95DC2">
      <w:pPr>
        <w:pStyle w:val="Argueddecideddatessl"/>
        <w:spacing w:after="120"/>
      </w:pPr>
      <w:r>
        <w:t>Argued</w:t>
      </w:r>
      <w:r w:rsidRPr="00ED7038">
        <w:t xml:space="preserve">: </w:t>
      </w:r>
      <w:r w:rsidR="00DF4211">
        <w:rPr>
          <w:b w:val="0"/>
        </w:rPr>
        <w:t>March 21, 1989</w:t>
      </w:r>
    </w:p>
    <w:p w14:paraId="6E8F24A8" w14:textId="52E7DDE4" w:rsidR="005C6A98" w:rsidRDefault="005C6A98" w:rsidP="00D95DC2">
      <w:pPr>
        <w:pStyle w:val="Argueddecideddatessl"/>
        <w:spacing w:after="120"/>
        <w:rPr>
          <w:b w:val="0"/>
        </w:rPr>
      </w:pPr>
      <w:r>
        <w:t>Decided</w:t>
      </w:r>
      <w:r w:rsidRPr="00ED7038">
        <w:t xml:space="preserve">: </w:t>
      </w:r>
      <w:r w:rsidR="00DF4211">
        <w:rPr>
          <w:b w:val="0"/>
        </w:rPr>
        <w:t>June 21, 1989</w:t>
      </w:r>
    </w:p>
    <w:p w14:paraId="0DBF11E7" w14:textId="2C43C553" w:rsidR="00C969C8" w:rsidRDefault="00C969C8" w:rsidP="00EC21FE">
      <w:pPr>
        <w:pStyle w:val="Basiccopysl"/>
        <w:spacing w:before="360"/>
        <w:rPr>
          <w:rStyle w:val="Subhead2slChar"/>
        </w:rPr>
      </w:pPr>
      <w:r>
        <w:rPr>
          <w:rStyle w:val="Subhead2slChar"/>
        </w:rPr>
        <w:t>Background</w:t>
      </w:r>
      <w:r w:rsidR="003D441F">
        <w:rPr>
          <w:rStyle w:val="Subhead2slChar"/>
        </w:rPr>
        <w:t xml:space="preserve"> and Facts</w:t>
      </w:r>
    </w:p>
    <w:p w14:paraId="5188F56E" w14:textId="7274AA55" w:rsidR="00654022" w:rsidRDefault="00C852C6" w:rsidP="00AD7D69">
      <w:pPr>
        <w:pStyle w:val="Basiccopysl"/>
        <w:rPr>
          <w:rStyle w:val="Subhead2slChar"/>
          <w:rFonts w:ascii="Garamond" w:hAnsi="Garamond"/>
          <w:b w:val="0"/>
          <w:i w:val="0"/>
        </w:rPr>
      </w:pPr>
      <w:r>
        <w:rPr>
          <w:rStyle w:val="Subhead2slChar"/>
          <w:rFonts w:ascii="Garamond" w:hAnsi="Garamond"/>
          <w:b w:val="0"/>
          <w:i w:val="0"/>
        </w:rPr>
        <w:t>The Bill of Rights is</w:t>
      </w:r>
      <w:r w:rsidR="00AA7F73">
        <w:rPr>
          <w:rStyle w:val="Subhead2slChar"/>
          <w:rFonts w:ascii="Garamond" w:hAnsi="Garamond"/>
          <w:b w:val="0"/>
          <w:i w:val="0"/>
        </w:rPr>
        <w:t xml:space="preserve"> made up of</w:t>
      </w:r>
      <w:r>
        <w:rPr>
          <w:rStyle w:val="Subhead2slChar"/>
          <w:rFonts w:ascii="Garamond" w:hAnsi="Garamond"/>
          <w:b w:val="0"/>
          <w:i w:val="0"/>
        </w:rPr>
        <w:t xml:space="preserve"> the first </w:t>
      </w:r>
      <w:r w:rsidR="00962CEB">
        <w:rPr>
          <w:rStyle w:val="Subhead2slChar"/>
          <w:rFonts w:ascii="Garamond" w:hAnsi="Garamond"/>
          <w:b w:val="0"/>
          <w:i w:val="0"/>
        </w:rPr>
        <w:t>10</w:t>
      </w:r>
      <w:r w:rsidR="00AA7F73">
        <w:rPr>
          <w:rStyle w:val="Subhead2slChar"/>
          <w:rFonts w:ascii="Garamond" w:hAnsi="Garamond"/>
          <w:b w:val="0"/>
          <w:i w:val="0"/>
        </w:rPr>
        <w:t xml:space="preserve"> </w:t>
      </w:r>
      <w:r w:rsidR="00945786">
        <w:rPr>
          <w:rStyle w:val="Subhead2slChar"/>
          <w:rFonts w:ascii="Garamond" w:hAnsi="Garamond"/>
          <w:b w:val="0"/>
          <w:i w:val="0"/>
        </w:rPr>
        <w:t>a</w:t>
      </w:r>
      <w:r>
        <w:rPr>
          <w:rStyle w:val="Subhead2slChar"/>
          <w:rFonts w:ascii="Garamond" w:hAnsi="Garamond"/>
          <w:b w:val="0"/>
          <w:i w:val="0"/>
        </w:rPr>
        <w:t xml:space="preserve">mendments to the Constitution of the United States. These amendments let Americans know what their rights are. </w:t>
      </w:r>
    </w:p>
    <w:p w14:paraId="43E5FA0F" w14:textId="01B1F3F7" w:rsidR="00C969C8" w:rsidRPr="003D441F" w:rsidRDefault="00C852C6" w:rsidP="003D441F">
      <w:pPr>
        <w:tabs>
          <w:tab w:val="clear" w:pos="360"/>
        </w:tabs>
        <w:spacing w:after="120" w:line="276" w:lineRule="auto"/>
        <w:jc w:val="left"/>
        <w:rPr>
          <w:rStyle w:val="Subhead2slChar"/>
          <w:rFonts w:ascii="Garamond" w:eastAsiaTheme="minorHAnsi" w:hAnsi="Garamond" w:cstheme="minorBidi"/>
          <w:b w:val="0"/>
          <w:i w:val="0"/>
        </w:rPr>
      </w:pPr>
      <w:r>
        <w:rPr>
          <w:rStyle w:val="Subhead2slChar"/>
          <w:rFonts w:ascii="Garamond" w:hAnsi="Garamond"/>
          <w:b w:val="0"/>
          <w:i w:val="0"/>
        </w:rPr>
        <w:t>The First Amendment</w:t>
      </w:r>
      <w:r w:rsidR="003D441F">
        <w:rPr>
          <w:rStyle w:val="Subhead2slChar"/>
          <w:rFonts w:ascii="Garamond" w:hAnsi="Garamond"/>
          <w:b w:val="0"/>
          <w:i w:val="0"/>
        </w:rPr>
        <w:t xml:space="preserve"> states: “</w:t>
      </w:r>
      <w:r w:rsidR="003D441F" w:rsidRPr="00AD3896">
        <w:rPr>
          <w:rFonts w:ascii="Garamond" w:eastAsiaTheme="minorHAnsi" w:hAnsi="Garamond" w:cstheme="minorBidi"/>
          <w:szCs w:val="24"/>
        </w:rPr>
        <w:t>Congress shall make no law …</w:t>
      </w:r>
      <w:r w:rsidR="003D441F" w:rsidRPr="00AD3896">
        <w:rPr>
          <w:rFonts w:ascii="Garamond" w:eastAsiaTheme="minorHAnsi" w:hAnsi="Garamond" w:cstheme="minorBidi"/>
          <w:b/>
          <w:bCs/>
          <w:szCs w:val="24"/>
        </w:rPr>
        <w:t xml:space="preserve"> </w:t>
      </w:r>
      <w:r w:rsidR="003D441F" w:rsidRPr="00962CEB">
        <w:rPr>
          <w:rFonts w:ascii="Garamond" w:eastAsiaTheme="minorHAnsi" w:hAnsi="Garamond" w:cstheme="minorBidi"/>
          <w:b/>
          <w:bCs/>
          <w:szCs w:val="24"/>
          <w:u w:val="single"/>
        </w:rPr>
        <w:t>abridging</w:t>
      </w:r>
      <w:r w:rsidR="003D441F" w:rsidRPr="00AD3896">
        <w:rPr>
          <w:rFonts w:ascii="Garamond" w:eastAsiaTheme="minorHAnsi" w:hAnsi="Garamond" w:cstheme="minorBidi"/>
          <w:szCs w:val="24"/>
        </w:rPr>
        <w:t xml:space="preserve"> the freedom of speech….</w:t>
      </w:r>
      <w:r w:rsidR="003D441F">
        <w:rPr>
          <w:rFonts w:ascii="Garamond" w:eastAsiaTheme="minorHAnsi" w:hAnsi="Garamond" w:cstheme="minorBidi"/>
          <w:szCs w:val="24"/>
        </w:rPr>
        <w:t>” It</w:t>
      </w:r>
      <w:r>
        <w:rPr>
          <w:rStyle w:val="Subhead2slChar"/>
          <w:rFonts w:ascii="Garamond" w:hAnsi="Garamond"/>
          <w:b w:val="0"/>
          <w:i w:val="0"/>
        </w:rPr>
        <w:t xml:space="preserve"> makes sure that all Americans have a right to free speech. Under the protection of this amendment, Americans </w:t>
      </w:r>
      <w:proofErr w:type="gramStart"/>
      <w:r>
        <w:rPr>
          <w:rStyle w:val="Subhead2slChar"/>
          <w:rFonts w:ascii="Garamond" w:hAnsi="Garamond"/>
          <w:b w:val="0"/>
          <w:i w:val="0"/>
        </w:rPr>
        <w:t>are able to</w:t>
      </w:r>
      <w:proofErr w:type="gramEnd"/>
      <w:r>
        <w:rPr>
          <w:rStyle w:val="Subhead2slChar"/>
          <w:rFonts w:ascii="Garamond" w:hAnsi="Garamond"/>
          <w:b w:val="0"/>
          <w:i w:val="0"/>
        </w:rPr>
        <w:t xml:space="preserve"> express their ideas and beliefs.</w:t>
      </w:r>
      <w:r w:rsidR="009C0178">
        <w:rPr>
          <w:rStyle w:val="Subhead2slChar"/>
          <w:rFonts w:ascii="Garamond" w:hAnsi="Garamond"/>
          <w:b w:val="0"/>
          <w:i w:val="0"/>
        </w:rPr>
        <w:t xml:space="preserve"> </w:t>
      </w:r>
      <w:r w:rsidR="009C0178" w:rsidRPr="00962CEB">
        <w:rPr>
          <w:rStyle w:val="Subhead2slChar"/>
          <w:rFonts w:ascii="Garamond" w:hAnsi="Garamond"/>
          <w:bCs/>
          <w:i w:val="0"/>
          <w:u w:val="single"/>
        </w:rPr>
        <w:t>Symbolic speech</w:t>
      </w:r>
      <w:r w:rsidR="009C0178">
        <w:rPr>
          <w:rStyle w:val="Subhead2slChar"/>
          <w:rFonts w:ascii="Garamond" w:hAnsi="Garamond"/>
          <w:b w:val="0"/>
          <w:i w:val="0"/>
        </w:rPr>
        <w:t xml:space="preserve"> is the expression of those ideas through actions instead of spoken words and is also protected by the Constitution. </w:t>
      </w:r>
    </w:p>
    <w:p w14:paraId="05E34415" w14:textId="18AB01A7" w:rsidR="00654022" w:rsidRPr="006552CD" w:rsidRDefault="00654022" w:rsidP="00AD7D69">
      <w:pPr>
        <w:pStyle w:val="Basiccopysl"/>
        <w:rPr>
          <w:rStyle w:val="Subhead2slChar"/>
          <w:rFonts w:ascii="Garamond" w:hAnsi="Garamond"/>
          <w:b w:val="0"/>
          <w:i w:val="0"/>
        </w:rPr>
      </w:pPr>
      <w:r>
        <w:rPr>
          <w:rStyle w:val="Subhead2slChar"/>
          <w:rFonts w:ascii="Garamond" w:hAnsi="Garamond"/>
          <w:b w:val="0"/>
          <w:i w:val="0"/>
        </w:rPr>
        <w:t xml:space="preserve">There are some forms of speech that aren’t protected under the First Amendment. These include </w:t>
      </w:r>
      <w:r w:rsidRPr="00962CEB">
        <w:rPr>
          <w:rStyle w:val="Subhead2slChar"/>
          <w:rFonts w:ascii="Garamond" w:hAnsi="Garamond"/>
          <w:bCs/>
          <w:i w:val="0"/>
          <w:u w:val="single"/>
        </w:rPr>
        <w:t>obscene</w:t>
      </w:r>
      <w:r>
        <w:rPr>
          <w:rStyle w:val="Subhead2slChar"/>
          <w:rFonts w:ascii="Garamond" w:hAnsi="Garamond"/>
          <w:b w:val="0"/>
          <w:i w:val="0"/>
        </w:rPr>
        <w:t xml:space="preserve"> material, true threats,</w:t>
      </w:r>
      <w:r w:rsidR="009C0178">
        <w:rPr>
          <w:rStyle w:val="Subhead2slChar"/>
          <w:rFonts w:ascii="Garamond" w:hAnsi="Garamond"/>
          <w:b w:val="0"/>
          <w:i w:val="0"/>
        </w:rPr>
        <w:t xml:space="preserve"> fighting words,</w:t>
      </w:r>
      <w:r>
        <w:rPr>
          <w:rStyle w:val="Subhead2slChar"/>
          <w:rFonts w:ascii="Garamond" w:hAnsi="Garamond"/>
          <w:b w:val="0"/>
          <w:i w:val="0"/>
        </w:rPr>
        <w:t xml:space="preserve"> </w:t>
      </w:r>
      <w:r w:rsidRPr="00962CEB">
        <w:rPr>
          <w:rStyle w:val="Subhead2slChar"/>
          <w:rFonts w:ascii="Garamond" w:hAnsi="Garamond"/>
          <w:bCs/>
          <w:i w:val="0"/>
          <w:u w:val="single"/>
        </w:rPr>
        <w:t>defamation</w:t>
      </w:r>
      <w:r>
        <w:rPr>
          <w:rStyle w:val="Subhead2slChar"/>
          <w:rFonts w:ascii="Garamond" w:hAnsi="Garamond"/>
          <w:b w:val="0"/>
          <w:i w:val="0"/>
        </w:rPr>
        <w:t xml:space="preserve">, and </w:t>
      </w:r>
      <w:r w:rsidRPr="00962CEB">
        <w:rPr>
          <w:rStyle w:val="Subhead2slChar"/>
          <w:rFonts w:ascii="Garamond" w:hAnsi="Garamond"/>
          <w:bCs/>
          <w:i w:val="0"/>
          <w:u w:val="single"/>
        </w:rPr>
        <w:t>plagiarism</w:t>
      </w:r>
      <w:r>
        <w:rPr>
          <w:rStyle w:val="Subhead2slChar"/>
          <w:rFonts w:ascii="Garamond" w:hAnsi="Garamond"/>
          <w:b w:val="0"/>
          <w:i w:val="0"/>
        </w:rPr>
        <w:t xml:space="preserve">. </w:t>
      </w:r>
    </w:p>
    <w:p w14:paraId="2BE91D4C" w14:textId="6CD429D0" w:rsidR="00AD7D69" w:rsidRPr="00FA5EA1" w:rsidRDefault="00AD7D69" w:rsidP="00AD7D69">
      <w:pPr>
        <w:pStyle w:val="Basiccopysl"/>
      </w:pPr>
      <w:r w:rsidRPr="00FA5EA1">
        <w:t>During the Republican National Convention in 1984, Gregory Lee Johnson participated in a group political demonstration</w:t>
      </w:r>
      <w:r w:rsidR="00006EEB">
        <w:t xml:space="preserve"> on the steps of </w:t>
      </w:r>
      <w:r w:rsidR="007A6243">
        <w:t>Dallas City Hall</w:t>
      </w:r>
      <w:r w:rsidRPr="00FA5EA1">
        <w:t>. The demonstrators were opposed to nuclear weapons. One demonstrator took an American flag from a flagpole and gave it to Johnson</w:t>
      </w:r>
      <w:r w:rsidR="003D441F">
        <w:t xml:space="preserve">, who </w:t>
      </w:r>
      <w:r w:rsidRPr="00FA5EA1">
        <w:t xml:space="preserve">set fire to the flag. While the flag burned, protesters chanted “America, the red, white, and blue, we spit on you.” There were no injuries or threats of injury during the demonstration. </w:t>
      </w:r>
    </w:p>
    <w:p w14:paraId="2915AE66" w14:textId="0460F45B" w:rsidR="00AD7D69" w:rsidRPr="00FA5EA1" w:rsidRDefault="00AD7D69" w:rsidP="00AD7D69">
      <w:pPr>
        <w:pStyle w:val="Basiccopysl"/>
      </w:pPr>
      <w:r w:rsidRPr="00FA5EA1">
        <w:t xml:space="preserve">Johnson was arrested and charged with violating a Texas state law that banned the </w:t>
      </w:r>
      <w:r w:rsidRPr="00DE130C">
        <w:rPr>
          <w:b/>
          <w:bCs/>
          <w:u w:val="single"/>
        </w:rPr>
        <w:t>desecration</w:t>
      </w:r>
      <w:r w:rsidRPr="00FA5EA1">
        <w:t xml:space="preserve"> of the American flag in a way that would seriously offend one or more </w:t>
      </w:r>
      <w:r w:rsidR="00C969C8">
        <w:t>persons observing the action</w:t>
      </w:r>
      <w:r w:rsidRPr="00FA5EA1">
        <w:t>. Several people were offended by the flag burning and said so in court. Johnson was convicted, but he appealed</w:t>
      </w:r>
      <w:r w:rsidR="006552CD">
        <w:t>. He</w:t>
      </w:r>
      <w:r w:rsidRPr="00FA5EA1">
        <w:t xml:space="preserve"> sa</w:t>
      </w:r>
      <w:r w:rsidR="006552CD">
        <w:t xml:space="preserve">id </w:t>
      </w:r>
      <w:r w:rsidRPr="00FA5EA1">
        <w:t xml:space="preserve">that the Texas law violated the First Amendment, which protects free speech. </w:t>
      </w:r>
    </w:p>
    <w:p w14:paraId="29B469EB" w14:textId="2F4F921C" w:rsidR="006552CD" w:rsidRDefault="003D441F" w:rsidP="00EC21FE">
      <w:pPr>
        <w:pStyle w:val="Subhead2sl"/>
        <w:spacing w:before="360"/>
      </w:pPr>
      <w:r>
        <w:t>Constitutional Question</w:t>
      </w:r>
    </w:p>
    <w:p w14:paraId="4BB8E744" w14:textId="0C09F02D" w:rsidR="0023065E" w:rsidRDefault="00AD7D69" w:rsidP="00AD7D69">
      <w:pPr>
        <w:pStyle w:val="Basiccopysl"/>
      </w:pPr>
      <w:r w:rsidRPr="00FA5EA1">
        <w:t xml:space="preserve">Does a law banning </w:t>
      </w:r>
      <w:r w:rsidR="001B7B07">
        <w:t>the desecration</w:t>
      </w:r>
      <w:r w:rsidRPr="00FA5EA1">
        <w:t xml:space="preserve"> of the </w:t>
      </w:r>
      <w:r w:rsidR="001B7B07">
        <w:t xml:space="preserve">American </w:t>
      </w:r>
      <w:r w:rsidRPr="00FA5EA1">
        <w:t>flag violate the First Amendment?</w:t>
      </w:r>
    </w:p>
    <w:p w14:paraId="638146D0" w14:textId="0502252F" w:rsidR="009A1A64" w:rsidRPr="00FA5EA1" w:rsidRDefault="009A1A64" w:rsidP="00EC21FE">
      <w:pPr>
        <w:pStyle w:val="Subhead2sl"/>
        <w:spacing w:before="360"/>
      </w:pPr>
      <w:r w:rsidRPr="00F155B2">
        <w:t>Arguments</w:t>
      </w:r>
      <w:r>
        <w:t xml:space="preserve"> for Texas (petitioner)</w:t>
      </w:r>
    </w:p>
    <w:p w14:paraId="71868622" w14:textId="77777777" w:rsidR="009A1A64" w:rsidRPr="008B6C20" w:rsidRDefault="009A1A64" w:rsidP="009A1A64">
      <w:pPr>
        <w:pStyle w:val="Bulletsl"/>
      </w:pPr>
      <w:r w:rsidRPr="008B6C20">
        <w:t xml:space="preserve">For 200 years, the American flag has </w:t>
      </w:r>
      <w:r>
        <w:t>been</w:t>
      </w:r>
      <w:r w:rsidRPr="008B6C20">
        <w:t xml:space="preserve"> </w:t>
      </w:r>
      <w:r>
        <w:t>regarded as</w:t>
      </w:r>
      <w:r w:rsidRPr="008B6C20">
        <w:t xml:space="preserve"> the symbol of the nation. </w:t>
      </w:r>
    </w:p>
    <w:p w14:paraId="50D4A7C2" w14:textId="3ABA4C1B" w:rsidR="009A1A64" w:rsidRDefault="009A1A64" w:rsidP="009A1A64">
      <w:pPr>
        <w:pStyle w:val="Bulletsl"/>
      </w:pPr>
      <w:r w:rsidRPr="008B6C20">
        <w:t xml:space="preserve">The flag symbolizes more than national unity. It has strong significance for war veterans and their families. It symbolizes </w:t>
      </w:r>
      <w:r w:rsidR="00E11C22">
        <w:t>the</w:t>
      </w:r>
      <w:r w:rsidRPr="008B6C20">
        <w:t xml:space="preserve"> shared values of freedom, equal opportunity, and religious tolerance. It is in the government’s interest to protect this important American symbol. </w:t>
      </w:r>
    </w:p>
    <w:p w14:paraId="09349C6A" w14:textId="4AB9820D" w:rsidR="009A1A64" w:rsidRDefault="009A1A64" w:rsidP="009A1A64">
      <w:pPr>
        <w:pStyle w:val="Bulletsl"/>
      </w:pPr>
      <w:r w:rsidRPr="008B6C20">
        <w:t xml:space="preserve">Texas did not punish Johnson’s message, just the </w:t>
      </w:r>
      <w:r>
        <w:t>way he chose</w:t>
      </w:r>
      <w:r w:rsidRPr="008B6C20">
        <w:t xml:space="preserve"> to </w:t>
      </w:r>
      <w:r w:rsidRPr="003E7C53">
        <w:rPr>
          <w:b/>
          <w:bCs/>
          <w:u w:val="single"/>
        </w:rPr>
        <w:t>convey</w:t>
      </w:r>
      <w:r w:rsidRPr="008B6C20">
        <w:t xml:space="preserve"> it.</w:t>
      </w:r>
    </w:p>
    <w:p w14:paraId="4261474E" w14:textId="40129CAB" w:rsidR="009A1A64" w:rsidRDefault="009A1A64" w:rsidP="009A1A64">
      <w:pPr>
        <w:pStyle w:val="Bulletsl"/>
      </w:pPr>
      <w:r w:rsidRPr="008B6C20">
        <w:t xml:space="preserve">Even if the action of flag burning can be interpreted as speech, we don’t have to allow all speech. There must be reasonable limits. There are other ways that Johnson could have expressed his views. </w:t>
      </w:r>
    </w:p>
    <w:p w14:paraId="670F3CED" w14:textId="3B91C5FD" w:rsidR="00621B7C" w:rsidRPr="00FA5EA1" w:rsidRDefault="00621B7C" w:rsidP="00EC21FE">
      <w:pPr>
        <w:pStyle w:val="Subhead2sl"/>
        <w:spacing w:before="360"/>
      </w:pPr>
      <w:r w:rsidRPr="00F155B2">
        <w:lastRenderedPageBreak/>
        <w:t>Arguments</w:t>
      </w:r>
      <w:r>
        <w:t xml:space="preserve"> for Johnson (</w:t>
      </w:r>
      <w:r w:rsidR="009A1A64">
        <w:t>respondent</w:t>
      </w:r>
      <w:r>
        <w:t>)</w:t>
      </w:r>
    </w:p>
    <w:p w14:paraId="4EA1345A" w14:textId="434668A4" w:rsidR="00621B7C" w:rsidRPr="008B6C20" w:rsidRDefault="00621B7C" w:rsidP="00621B7C">
      <w:pPr>
        <w:pStyle w:val="Bulletsl"/>
      </w:pPr>
      <w:r w:rsidRPr="008B6C20">
        <w:t xml:space="preserve">The government may not prohibit expression </w:t>
      </w:r>
      <w:r w:rsidR="008E31A3">
        <w:t>just</w:t>
      </w:r>
      <w:r w:rsidRPr="008B6C20">
        <w:t xml:space="preserve"> because society finds the ideas presented offensive. </w:t>
      </w:r>
    </w:p>
    <w:p w14:paraId="19623BE3" w14:textId="18EBFCDD" w:rsidR="00621B7C" w:rsidRPr="008B6C20" w:rsidRDefault="00621B7C" w:rsidP="00621B7C">
      <w:pPr>
        <w:pStyle w:val="Bulletsl"/>
      </w:pPr>
      <w:r w:rsidRPr="008B6C20">
        <w:t>The Supreme Court has long recognized that speech can be more than the spoken or written word. Actions are symbolic speech when the actor intends to</w:t>
      </w:r>
      <w:r w:rsidRPr="008E31A3">
        <w:rPr>
          <w:b/>
          <w:bCs/>
        </w:rPr>
        <w:t xml:space="preserve"> </w:t>
      </w:r>
      <w:r w:rsidRPr="003E7C53">
        <w:t>convey</w:t>
      </w:r>
      <w:r w:rsidRPr="008B6C20">
        <w:t xml:space="preserve"> a particular message</w:t>
      </w:r>
      <w:r w:rsidR="008E31A3">
        <w:t xml:space="preserve"> that would most likely be understood by those watching. </w:t>
      </w:r>
    </w:p>
    <w:p w14:paraId="68A0291D" w14:textId="77777777" w:rsidR="00621B7C" w:rsidRPr="008B6C20" w:rsidRDefault="00621B7C" w:rsidP="00621B7C">
      <w:pPr>
        <w:pStyle w:val="Bulletsl"/>
      </w:pPr>
      <w:r w:rsidRPr="008B6C20">
        <w:t xml:space="preserve">Johnson’s actions did not incite violence or disrupt the peace. </w:t>
      </w:r>
    </w:p>
    <w:p w14:paraId="63561978" w14:textId="7A4D9A7C" w:rsidR="00621B7C" w:rsidRDefault="00AD0A57" w:rsidP="00621B7C">
      <w:pPr>
        <w:pStyle w:val="Bulletsl"/>
      </w:pPr>
      <w:r>
        <w:t>It is</w:t>
      </w:r>
      <w:r w:rsidR="00621B7C" w:rsidRPr="008B6C20">
        <w:t xml:space="preserve"> important for the government to preserve the flag as a symbol</w:t>
      </w:r>
      <w:r>
        <w:t>. However, it is</w:t>
      </w:r>
      <w:r w:rsidR="00621B7C" w:rsidRPr="008B6C20">
        <w:t xml:space="preserve"> more important to ensure Americans’ rights to protest when they disagree with the government. </w:t>
      </w:r>
    </w:p>
    <w:p w14:paraId="34097898" w14:textId="66F699C1" w:rsidR="00621B7C" w:rsidRDefault="00654022" w:rsidP="00EC21FE">
      <w:pPr>
        <w:pStyle w:val="Subhead2sl"/>
        <w:spacing w:before="360"/>
      </w:pPr>
      <w:r>
        <w:t>Decision</w:t>
      </w:r>
    </w:p>
    <w:p w14:paraId="5CDEECB2" w14:textId="6C87D5C1" w:rsidR="006552CD" w:rsidRDefault="005C6A98" w:rsidP="00B83E96">
      <w:pPr>
        <w:pStyle w:val="Basiccopysl"/>
      </w:pPr>
      <w:r>
        <w:t>The court ruled in favor of Johnson, 5</w:t>
      </w:r>
      <w:r w:rsidR="00EC21FE">
        <w:t>-</w:t>
      </w:r>
      <w:r>
        <w:t>4. Justice Brenna</w:t>
      </w:r>
      <w:r w:rsidR="005D2196">
        <w:t>n</w:t>
      </w:r>
      <w:r>
        <w:t xml:space="preserve"> wrote the opinion for the majority. The opinion </w:t>
      </w:r>
      <w:r w:rsidR="00DF25A9">
        <w:t xml:space="preserve">stated </w:t>
      </w:r>
      <w:r>
        <w:t xml:space="preserve">that Johnson’s act of burning the American flag was protected by the First Amendment, because it was </w:t>
      </w:r>
      <w:r w:rsidRPr="00EC21FE">
        <w:rPr>
          <w:b/>
          <w:bCs/>
          <w:u w:val="single"/>
        </w:rPr>
        <w:t>expressive conduct</w:t>
      </w:r>
      <w:r w:rsidRPr="00EC21FE">
        <w:t>.</w:t>
      </w:r>
      <w:r w:rsidR="0079616D">
        <w:t xml:space="preserve"> </w:t>
      </w:r>
      <w:r w:rsidR="00AD0A57" w:rsidRPr="00AD0A57">
        <w:t xml:space="preserve">The justices </w:t>
      </w:r>
      <w:r w:rsidR="00AD0A57">
        <w:t>stated</w:t>
      </w:r>
      <w:r w:rsidR="00AD0A57" w:rsidRPr="00AD0A57">
        <w:t xml:space="preserve"> that </w:t>
      </w:r>
      <w:r w:rsidR="00AD0A57">
        <w:t>“</w:t>
      </w:r>
      <w:r w:rsidR="00AD0A57" w:rsidRPr="00AD0A57">
        <w:t>the government may not prohibit the expression of an idea simply because society finds the idea itself offensive or disagreeable.”</w:t>
      </w:r>
    </w:p>
    <w:p w14:paraId="31E33F23" w14:textId="447A6C54" w:rsidR="00B83E96" w:rsidRDefault="00B83E96" w:rsidP="00B83E96">
      <w:pPr>
        <w:pStyle w:val="Basiccopysl"/>
      </w:pPr>
      <w:r>
        <w:t xml:space="preserve">The Court also found that states did not have the authority to decide which actions were acceptable to perform on a certain symbol, just because they disapproved of the actions. </w:t>
      </w:r>
    </w:p>
    <w:p w14:paraId="1B50670A" w14:textId="3235B01A" w:rsidR="00B83E96" w:rsidRDefault="00AD0A57" w:rsidP="00B83E96">
      <w:pPr>
        <w:pStyle w:val="Basiccopysl"/>
      </w:pPr>
      <w:r>
        <w:t xml:space="preserve">In the main </w:t>
      </w:r>
      <w:r w:rsidRPr="00EC21FE">
        <w:rPr>
          <w:b/>
          <w:bCs/>
          <w:u w:val="single"/>
        </w:rPr>
        <w:t>dissent</w:t>
      </w:r>
      <w:r>
        <w:t xml:space="preserve">, Chief Justice Rehnquist wrote that the American flag is unique because it has been a symbol of the nation. Because of this, the government is justified in banning flag burning in the way that Johnson did. </w:t>
      </w:r>
      <w:r w:rsidR="00382D08">
        <w:t xml:space="preserve">He said that flag is not just another “idea” or “point of view.” </w:t>
      </w:r>
    </w:p>
    <w:p w14:paraId="3D88E616" w14:textId="38E0DAC7" w:rsidR="00382D08" w:rsidRDefault="00382D08" w:rsidP="00B83E96">
      <w:pPr>
        <w:pStyle w:val="Basiccopysl"/>
      </w:pPr>
      <w:r>
        <w:t xml:space="preserve">He also stated that Johnson was not punished for his ideas or his expressions. He was punished more so for the fact </w:t>
      </w:r>
      <w:proofErr w:type="gramStart"/>
      <w:r>
        <w:t>the</w:t>
      </w:r>
      <w:proofErr w:type="gramEnd"/>
      <w:r>
        <w:t xml:space="preserve"> was using this </w:t>
      </w:r>
      <w:proofErr w:type="gramStart"/>
      <w:r>
        <w:t>particular symbol</w:t>
      </w:r>
      <w:proofErr w:type="gramEnd"/>
      <w:r>
        <w:t xml:space="preserve"> that is so significant to the nation. </w:t>
      </w:r>
    </w:p>
    <w:p w14:paraId="52666406" w14:textId="75997ED5" w:rsidR="00D10F9E" w:rsidRDefault="00D10F9E" w:rsidP="00C50C88">
      <w:pPr>
        <w:pStyle w:val="Subhead2sl"/>
        <w:spacing w:before="480"/>
      </w:pPr>
      <w:r>
        <w:t>Impact</w:t>
      </w:r>
    </w:p>
    <w:p w14:paraId="2684FC48" w14:textId="433FE094" w:rsidR="00D10F9E" w:rsidRDefault="00D10F9E" w:rsidP="00D10F9E">
      <w:pPr>
        <w:pStyle w:val="Basiccopysl"/>
        <w:spacing w:line="276" w:lineRule="auto"/>
        <w:rPr>
          <w:rFonts w:cs="Arial"/>
          <w:color w:val="1D1C1D"/>
          <w:shd w:val="clear" w:color="auto" w:fill="FFFFFF" w:themeFill="background1"/>
        </w:rPr>
      </w:pPr>
      <w:r w:rsidRPr="00D10F9E">
        <w:rPr>
          <w:rFonts w:cs="Arial"/>
          <w:color w:val="1D1C1D"/>
          <w:shd w:val="clear" w:color="auto" w:fill="FFFFFF" w:themeFill="background1"/>
        </w:rPr>
        <w:t xml:space="preserve">The Supreme Court’s decision in </w:t>
      </w:r>
      <w:r w:rsidRPr="00D10F9E">
        <w:rPr>
          <w:rFonts w:cs="Arial"/>
          <w:i/>
          <w:iCs/>
          <w:color w:val="1D1C1D"/>
          <w:shd w:val="clear" w:color="auto" w:fill="FFFFFF" w:themeFill="background1"/>
        </w:rPr>
        <w:t>Texas v. Johnson</w:t>
      </w:r>
      <w:r w:rsidRPr="00D10F9E">
        <w:rPr>
          <w:rFonts w:cs="Arial"/>
          <w:color w:val="1D1C1D"/>
          <w:shd w:val="clear" w:color="auto" w:fill="FFFFFF" w:themeFill="background1"/>
        </w:rPr>
        <w:t xml:space="preserve"> struck down flag burning bans that were in place in 48 states, including Texas. In response to this case, Congress passed the Flag Protection Act in 1989, which was a federal law banning the </w:t>
      </w:r>
      <w:r w:rsidRPr="004721D3">
        <w:rPr>
          <w:rFonts w:cs="Arial"/>
          <w:color w:val="1D1C1D"/>
          <w:shd w:val="clear" w:color="auto" w:fill="FFFFFF" w:themeFill="background1"/>
        </w:rPr>
        <w:t xml:space="preserve">desecration </w:t>
      </w:r>
      <w:r w:rsidRPr="00D10F9E">
        <w:rPr>
          <w:rFonts w:cs="Arial"/>
          <w:color w:val="1D1C1D"/>
          <w:shd w:val="clear" w:color="auto" w:fill="FFFFFF" w:themeFill="background1"/>
        </w:rPr>
        <w:t xml:space="preserve">of the flag. Once again, Johnson decided to protest this law. He </w:t>
      </w:r>
      <w:r>
        <w:rPr>
          <w:rFonts w:cs="Arial"/>
          <w:color w:val="1D1C1D"/>
          <w:shd w:val="clear" w:color="auto" w:fill="FFFFFF" w:themeFill="background1"/>
        </w:rPr>
        <w:t xml:space="preserve">and three others burned </w:t>
      </w:r>
      <w:r w:rsidRPr="00D10F9E">
        <w:rPr>
          <w:rFonts w:cs="Arial"/>
          <w:color w:val="1D1C1D"/>
          <w:shd w:val="clear" w:color="auto" w:fill="FFFFFF" w:themeFill="background1"/>
        </w:rPr>
        <w:t>a flag on the steps of the U</w:t>
      </w:r>
      <w:r w:rsidR="00874F8A">
        <w:rPr>
          <w:rFonts w:cs="Arial"/>
          <w:color w:val="1D1C1D"/>
          <w:shd w:val="clear" w:color="auto" w:fill="FFFFFF" w:themeFill="background1"/>
        </w:rPr>
        <w:t>.</w:t>
      </w:r>
      <w:r w:rsidRPr="00D10F9E">
        <w:rPr>
          <w:rFonts w:cs="Arial"/>
          <w:color w:val="1D1C1D"/>
          <w:shd w:val="clear" w:color="auto" w:fill="FFFFFF" w:themeFill="background1"/>
        </w:rPr>
        <w:t>S</w:t>
      </w:r>
      <w:r w:rsidR="00874F8A">
        <w:rPr>
          <w:rFonts w:cs="Arial"/>
          <w:color w:val="1D1C1D"/>
          <w:shd w:val="clear" w:color="auto" w:fill="FFFFFF" w:themeFill="background1"/>
        </w:rPr>
        <w:t>.</w:t>
      </w:r>
      <w:r w:rsidRPr="00D10F9E">
        <w:rPr>
          <w:rFonts w:cs="Arial"/>
          <w:color w:val="1D1C1D"/>
          <w:shd w:val="clear" w:color="auto" w:fill="FFFFFF" w:themeFill="background1"/>
        </w:rPr>
        <w:t xml:space="preserve"> Capitol. They were all arrested, but the government decided not to prosecute Johnson</w:t>
      </w:r>
      <w:r>
        <w:rPr>
          <w:rFonts w:cs="Arial"/>
          <w:color w:val="1D1C1D"/>
          <w:shd w:val="clear" w:color="auto" w:fill="FFFFFF" w:themeFill="background1"/>
        </w:rPr>
        <w:t xml:space="preserve">. </w:t>
      </w:r>
      <w:r w:rsidRPr="00D10F9E">
        <w:rPr>
          <w:rFonts w:cs="Arial"/>
          <w:color w:val="1D1C1D"/>
          <w:shd w:val="clear" w:color="auto" w:fill="FFFFFF" w:themeFill="background1"/>
        </w:rPr>
        <w:t xml:space="preserve">However, </w:t>
      </w:r>
      <w:r>
        <w:rPr>
          <w:rFonts w:cs="Arial"/>
          <w:color w:val="1D1C1D"/>
          <w:shd w:val="clear" w:color="auto" w:fill="FFFFFF" w:themeFill="background1"/>
        </w:rPr>
        <w:t>the other</w:t>
      </w:r>
      <w:r w:rsidR="00D54610">
        <w:rPr>
          <w:rFonts w:cs="Arial"/>
          <w:color w:val="1D1C1D"/>
          <w:shd w:val="clear" w:color="auto" w:fill="FFFFFF" w:themeFill="background1"/>
        </w:rPr>
        <w:t xml:space="preserve"> protesters</w:t>
      </w:r>
      <w:r w:rsidRPr="00D10F9E">
        <w:rPr>
          <w:rFonts w:cs="Arial"/>
          <w:color w:val="1D1C1D"/>
          <w:shd w:val="clear" w:color="auto" w:fill="FFFFFF" w:themeFill="background1"/>
        </w:rPr>
        <w:t xml:space="preserve"> were charged and convicted of violat</w:t>
      </w:r>
      <w:r>
        <w:rPr>
          <w:rFonts w:cs="Arial"/>
          <w:color w:val="1D1C1D"/>
          <w:shd w:val="clear" w:color="auto" w:fill="FFFFFF" w:themeFill="background1"/>
        </w:rPr>
        <w:t>ing</w:t>
      </w:r>
      <w:r w:rsidRPr="00D10F9E">
        <w:rPr>
          <w:rFonts w:cs="Arial"/>
          <w:color w:val="1D1C1D"/>
          <w:shd w:val="clear" w:color="auto" w:fill="FFFFFF" w:themeFill="background1"/>
        </w:rPr>
        <w:t xml:space="preserve"> the Flag Protection Act. Their </w:t>
      </w:r>
      <w:r>
        <w:rPr>
          <w:rFonts w:cs="Arial"/>
          <w:color w:val="1D1C1D"/>
          <w:shd w:val="clear" w:color="auto" w:fill="FFFFFF" w:themeFill="background1"/>
        </w:rPr>
        <w:t>case</w:t>
      </w:r>
      <w:r w:rsidRPr="00D10F9E">
        <w:rPr>
          <w:rFonts w:cs="Arial"/>
          <w:color w:val="1D1C1D"/>
          <w:shd w:val="clear" w:color="auto" w:fill="FFFFFF" w:themeFill="background1"/>
        </w:rPr>
        <w:t xml:space="preserve">, </w:t>
      </w:r>
      <w:r w:rsidRPr="00D10F9E">
        <w:rPr>
          <w:rFonts w:cs="Arial"/>
          <w:i/>
          <w:iCs/>
          <w:color w:val="1D1C1D"/>
          <w:shd w:val="clear" w:color="auto" w:fill="FFFFFF" w:themeFill="background1"/>
        </w:rPr>
        <w:t>United States v. Eichman</w:t>
      </w:r>
      <w:r w:rsidR="00D54610">
        <w:rPr>
          <w:rFonts w:cs="Arial"/>
          <w:i/>
          <w:iCs/>
          <w:color w:val="1D1C1D"/>
          <w:shd w:val="clear" w:color="auto" w:fill="FFFFFF" w:themeFill="background1"/>
        </w:rPr>
        <w:t xml:space="preserve"> </w:t>
      </w:r>
      <w:r w:rsidR="00D54610">
        <w:rPr>
          <w:rFonts w:cs="Arial"/>
          <w:color w:val="1D1C1D"/>
          <w:shd w:val="clear" w:color="auto" w:fill="FFFFFF" w:themeFill="background1"/>
        </w:rPr>
        <w:t>(1990)</w:t>
      </w:r>
      <w:r w:rsidRPr="00D10F9E">
        <w:rPr>
          <w:rFonts w:cs="Arial"/>
          <w:color w:val="1D1C1D"/>
          <w:shd w:val="clear" w:color="auto" w:fill="FFFFFF" w:themeFill="background1"/>
        </w:rPr>
        <w:t xml:space="preserve">, </w:t>
      </w:r>
      <w:r w:rsidR="00D54610">
        <w:rPr>
          <w:rFonts w:cs="Arial"/>
          <w:color w:val="1D1C1D"/>
          <w:shd w:val="clear" w:color="auto" w:fill="FFFFFF" w:themeFill="background1"/>
        </w:rPr>
        <w:t>also was heard by</w:t>
      </w:r>
      <w:r w:rsidRPr="00D10F9E">
        <w:rPr>
          <w:rFonts w:cs="Arial"/>
          <w:color w:val="1D1C1D"/>
          <w:shd w:val="clear" w:color="auto" w:fill="FFFFFF" w:themeFill="background1"/>
        </w:rPr>
        <w:t xml:space="preserve"> the Supreme Court. The same justices </w:t>
      </w:r>
      <w:r>
        <w:rPr>
          <w:rFonts w:cs="Arial"/>
          <w:color w:val="1D1C1D"/>
          <w:shd w:val="clear" w:color="auto" w:fill="FFFFFF" w:themeFill="background1"/>
        </w:rPr>
        <w:t>who</w:t>
      </w:r>
      <w:r w:rsidRPr="00D10F9E">
        <w:rPr>
          <w:rFonts w:cs="Arial"/>
          <w:color w:val="1D1C1D"/>
          <w:shd w:val="clear" w:color="auto" w:fill="FFFFFF" w:themeFill="background1"/>
        </w:rPr>
        <w:t xml:space="preserve"> overturned the Texas law in </w:t>
      </w:r>
      <w:r w:rsidRPr="00D10F9E">
        <w:rPr>
          <w:rFonts w:cs="Arial"/>
          <w:i/>
          <w:iCs/>
          <w:color w:val="1D1C1D"/>
          <w:shd w:val="clear" w:color="auto" w:fill="FFFFFF" w:themeFill="background1"/>
        </w:rPr>
        <w:t>Texas v. Johnson</w:t>
      </w:r>
      <w:r w:rsidRPr="00D10F9E">
        <w:rPr>
          <w:rFonts w:cs="Arial"/>
          <w:color w:val="1D1C1D"/>
          <w:shd w:val="clear" w:color="auto" w:fill="FFFFFF" w:themeFill="background1"/>
        </w:rPr>
        <w:t xml:space="preserve"> once again made up the majority to strike down the Flag Protection Act as </w:t>
      </w:r>
      <w:r w:rsidRPr="002D51E9">
        <w:rPr>
          <w:rFonts w:cs="Arial"/>
          <w:b/>
          <w:bCs/>
          <w:color w:val="1D1C1D"/>
          <w:u w:val="single"/>
          <w:shd w:val="clear" w:color="auto" w:fill="FFFFFF" w:themeFill="background1"/>
        </w:rPr>
        <w:t>unconstitutional</w:t>
      </w:r>
      <w:r w:rsidRPr="00D10F9E">
        <w:rPr>
          <w:rFonts w:cs="Arial"/>
          <w:color w:val="1D1C1D"/>
          <w:shd w:val="clear" w:color="auto" w:fill="FFFFFF" w:themeFill="background1"/>
        </w:rPr>
        <w:t>.</w:t>
      </w:r>
    </w:p>
    <w:p w14:paraId="34E140DF" w14:textId="446D69D4" w:rsidR="00382D08" w:rsidRDefault="00D10F9E" w:rsidP="00D10F9E">
      <w:pPr>
        <w:pStyle w:val="Basiccopysl"/>
        <w:spacing w:line="276" w:lineRule="auto"/>
      </w:pPr>
      <w:r w:rsidRPr="00D10F9E">
        <w:rPr>
          <w:rFonts w:cs="Arial"/>
          <w:color w:val="1D1C1D"/>
          <w:shd w:val="clear" w:color="auto" w:fill="FFFFFF" w:themeFill="background1"/>
        </w:rPr>
        <w:t xml:space="preserve">Flag burning is still a very controversial topic. </w:t>
      </w:r>
      <w:r w:rsidR="00A273C8">
        <w:rPr>
          <w:rFonts w:cs="Arial"/>
          <w:color w:val="1D1C1D"/>
          <w:shd w:val="clear" w:color="auto" w:fill="FFFFFF" w:themeFill="background1"/>
        </w:rPr>
        <w:t xml:space="preserve">Because of the decision in </w:t>
      </w:r>
      <w:r w:rsidR="00A273C8" w:rsidRPr="00194BDA">
        <w:rPr>
          <w:rFonts w:cs="Arial"/>
          <w:i/>
          <w:iCs/>
          <w:color w:val="1D1C1D"/>
          <w:shd w:val="clear" w:color="auto" w:fill="FFFFFF" w:themeFill="background1"/>
        </w:rPr>
        <w:t>Texas v. Johnson</w:t>
      </w:r>
      <w:r w:rsidR="00A273C8">
        <w:rPr>
          <w:rFonts w:cs="Arial"/>
          <w:color w:val="1D1C1D"/>
          <w:shd w:val="clear" w:color="auto" w:fill="FFFFFF" w:themeFill="background1"/>
        </w:rPr>
        <w:t xml:space="preserve">, the only way to outlaw flag desecration would be to enact a constitutional amendment. </w:t>
      </w:r>
      <w:r w:rsidRPr="00D10F9E">
        <w:rPr>
          <w:rFonts w:cs="Arial"/>
          <w:color w:val="1D1C1D"/>
          <w:shd w:val="clear" w:color="auto" w:fill="FFFFFF" w:themeFill="background1"/>
        </w:rPr>
        <w:t>Congress has considered a constitutional amendment banning the desecration of the</w:t>
      </w:r>
      <w:r w:rsidR="00D54610">
        <w:rPr>
          <w:rFonts w:cs="Arial"/>
          <w:color w:val="1D1C1D"/>
          <w:shd w:val="clear" w:color="auto" w:fill="FFFFFF" w:themeFill="background1"/>
        </w:rPr>
        <w:t xml:space="preserve"> flag</w:t>
      </w:r>
      <w:r>
        <w:rPr>
          <w:rFonts w:cs="Arial"/>
          <w:color w:val="1D1C1D"/>
          <w:shd w:val="clear" w:color="auto" w:fill="FFFFFF" w:themeFill="background1"/>
        </w:rPr>
        <w:t xml:space="preserve"> many</w:t>
      </w:r>
      <w:r w:rsidRPr="00D10F9E">
        <w:rPr>
          <w:rFonts w:cs="Arial"/>
          <w:color w:val="1D1C1D"/>
          <w:shd w:val="clear" w:color="auto" w:fill="FFFFFF" w:themeFill="background1"/>
        </w:rPr>
        <w:t xml:space="preserve"> several times, but it has never successfully gained the support </w:t>
      </w:r>
      <w:r w:rsidR="00D0796C">
        <w:rPr>
          <w:rFonts w:cs="Arial"/>
          <w:color w:val="1D1C1D"/>
          <w:shd w:val="clear" w:color="auto" w:fill="FFFFFF" w:themeFill="background1"/>
        </w:rPr>
        <w:t xml:space="preserve">necessary </w:t>
      </w:r>
      <w:r w:rsidR="005A3A98">
        <w:rPr>
          <w:rFonts w:cs="Arial"/>
          <w:color w:val="1D1C1D"/>
          <w:shd w:val="clear" w:color="auto" w:fill="FFFFFF" w:themeFill="background1"/>
        </w:rPr>
        <w:t xml:space="preserve">to </w:t>
      </w:r>
      <w:r w:rsidR="00001077">
        <w:rPr>
          <w:rFonts w:cs="Arial"/>
          <w:color w:val="1D1C1D"/>
          <w:shd w:val="clear" w:color="auto" w:fill="FFFFFF" w:themeFill="background1"/>
        </w:rPr>
        <w:t>ratif</w:t>
      </w:r>
      <w:r w:rsidR="005A3A98">
        <w:rPr>
          <w:rFonts w:cs="Arial"/>
          <w:color w:val="1D1C1D"/>
          <w:shd w:val="clear" w:color="auto" w:fill="FFFFFF" w:themeFill="background1"/>
        </w:rPr>
        <w:t xml:space="preserve">y </w:t>
      </w:r>
      <w:r w:rsidR="00001077">
        <w:rPr>
          <w:rFonts w:cs="Arial"/>
          <w:color w:val="1D1C1D"/>
          <w:shd w:val="clear" w:color="auto" w:fill="FFFFFF" w:themeFill="background1"/>
        </w:rPr>
        <w:t xml:space="preserve">an amendment to the Constitution. </w:t>
      </w:r>
    </w:p>
    <w:p w14:paraId="24105CDB" w14:textId="3E8CE47C" w:rsidR="008C5EE2" w:rsidRPr="005A3A98" w:rsidRDefault="008C5EE2" w:rsidP="005A3A98">
      <w:pPr>
        <w:pStyle w:val="Subhead2sl"/>
        <w:spacing w:before="480"/>
      </w:pPr>
      <w:r>
        <w:lastRenderedPageBreak/>
        <w:t>Glossary</w:t>
      </w:r>
    </w:p>
    <w:p w14:paraId="6447E81D" w14:textId="68C46287" w:rsidR="00AD3896" w:rsidRPr="008E31A3" w:rsidRDefault="00AD3896" w:rsidP="653FA196">
      <w:pPr>
        <w:pStyle w:val="Bulletsl"/>
        <w:spacing w:line="276" w:lineRule="auto"/>
        <w:jc w:val="left"/>
        <w:rPr>
          <w:rStyle w:val="Glossarytermsl"/>
        </w:rPr>
      </w:pPr>
      <w:r w:rsidRPr="653FA196">
        <w:rPr>
          <w:rStyle w:val="Glossarytermsl"/>
        </w:rPr>
        <w:t>Abridging:</w:t>
      </w:r>
      <w:r w:rsidRPr="653FA196">
        <w:rPr>
          <w:rStyle w:val="Glossarytermsl"/>
          <w:u w:val="none"/>
        </w:rPr>
        <w:t xml:space="preserve"> </w:t>
      </w:r>
      <w:r w:rsidRPr="653FA196">
        <w:rPr>
          <w:rStyle w:val="Glossarytermsl"/>
          <w:b w:val="0"/>
          <w:u w:val="none"/>
        </w:rPr>
        <w:t>reducing or diminishing.</w:t>
      </w:r>
    </w:p>
    <w:p w14:paraId="5104C1C3" w14:textId="7D0D44B6" w:rsidR="008E31A3" w:rsidRPr="00AD3896" w:rsidRDefault="008E31A3" w:rsidP="653FA196">
      <w:pPr>
        <w:pStyle w:val="Bulletsl"/>
        <w:spacing w:line="276" w:lineRule="auto"/>
        <w:jc w:val="left"/>
        <w:rPr>
          <w:b/>
          <w:bCs/>
          <w:u w:val="single"/>
        </w:rPr>
      </w:pPr>
      <w:r w:rsidRPr="653FA196">
        <w:rPr>
          <w:rStyle w:val="Glossarytermsl"/>
        </w:rPr>
        <w:t>Convey:</w:t>
      </w:r>
      <w:r w:rsidRPr="653FA196">
        <w:rPr>
          <w:b/>
          <w:bCs/>
        </w:rPr>
        <w:t xml:space="preserve"> </w:t>
      </w:r>
      <w:r>
        <w:t>to communicate an idea through words or actions.</w:t>
      </w:r>
    </w:p>
    <w:p w14:paraId="01469CF7" w14:textId="056FDA6B" w:rsidR="005C6A98" w:rsidRPr="005C6A98" w:rsidRDefault="005C6A98" w:rsidP="653FA196">
      <w:pPr>
        <w:pStyle w:val="Bulletsl"/>
        <w:spacing w:line="276" w:lineRule="auto"/>
        <w:jc w:val="left"/>
        <w:rPr>
          <w:b/>
          <w:bCs/>
          <w:u w:val="single"/>
        </w:rPr>
      </w:pPr>
      <w:r w:rsidRPr="653FA196">
        <w:rPr>
          <w:b/>
          <w:bCs/>
          <w:u w:val="single"/>
        </w:rPr>
        <w:t>Defamation:</w:t>
      </w:r>
      <w:r w:rsidR="00DF25A9" w:rsidRPr="653FA196">
        <w:rPr>
          <w:b/>
          <w:bCs/>
        </w:rPr>
        <w:t xml:space="preserve"> </w:t>
      </w:r>
      <w:r w:rsidR="00DF25A9">
        <w:t xml:space="preserve">saying or writing something that would hurt another person’s reputation. The statement about that person </w:t>
      </w:r>
      <w:proofErr w:type="gramStart"/>
      <w:r w:rsidR="00DF25A9">
        <w:t>has to</w:t>
      </w:r>
      <w:proofErr w:type="gramEnd"/>
      <w:r w:rsidR="00DF25A9">
        <w:t xml:space="preserve"> claim to be a fact instead of an opinion. Defamation usually implies that the statement is not true. </w:t>
      </w:r>
    </w:p>
    <w:p w14:paraId="6C7032FB" w14:textId="5669838F" w:rsidR="006552CD" w:rsidRDefault="006552CD" w:rsidP="653FA196">
      <w:pPr>
        <w:pStyle w:val="Bulletsl"/>
        <w:spacing w:line="276" w:lineRule="auto"/>
        <w:jc w:val="left"/>
      </w:pPr>
      <w:r w:rsidRPr="653FA196">
        <w:rPr>
          <w:b/>
          <w:bCs/>
          <w:u w:val="single"/>
        </w:rPr>
        <w:t>Desecration:</w:t>
      </w:r>
      <w:r>
        <w:t xml:space="preserve"> to violate; to damage or disrespect something that is sacred</w:t>
      </w:r>
      <w:r w:rsidR="008E31A3">
        <w:t>.</w:t>
      </w:r>
    </w:p>
    <w:p w14:paraId="28E8F232" w14:textId="038E4242" w:rsidR="005D2196" w:rsidRDefault="005D2196" w:rsidP="653FA196">
      <w:pPr>
        <w:pStyle w:val="Bulletsl"/>
        <w:spacing w:line="276" w:lineRule="auto"/>
        <w:jc w:val="left"/>
      </w:pPr>
      <w:r w:rsidRPr="653FA196">
        <w:rPr>
          <w:b/>
          <w:bCs/>
          <w:u w:val="single"/>
        </w:rPr>
        <w:t>Expressive conduct:</w:t>
      </w:r>
      <w:r>
        <w:t xml:space="preserve"> actions that convey a particular message </w:t>
      </w:r>
    </w:p>
    <w:p w14:paraId="339E5CD2" w14:textId="57EFD963" w:rsidR="00543B2F" w:rsidRPr="005C6A98" w:rsidRDefault="00543B2F" w:rsidP="653FA196">
      <w:pPr>
        <w:pStyle w:val="Bulletsl"/>
        <w:spacing w:line="276" w:lineRule="auto"/>
        <w:jc w:val="left"/>
        <w:rPr>
          <w:b/>
          <w:bCs/>
          <w:u w:val="single"/>
        </w:rPr>
      </w:pPr>
      <w:r w:rsidRPr="653FA196">
        <w:rPr>
          <w:b/>
          <w:bCs/>
          <w:u w:val="single"/>
        </w:rPr>
        <w:t>Obscene</w:t>
      </w:r>
      <w:r w:rsidR="005C6A98" w:rsidRPr="653FA196">
        <w:rPr>
          <w:b/>
          <w:bCs/>
          <w:u w:val="single"/>
        </w:rPr>
        <w:t>:</w:t>
      </w:r>
      <w:r w:rsidR="00DF25A9" w:rsidRPr="653FA196">
        <w:rPr>
          <w:b/>
          <w:bCs/>
        </w:rPr>
        <w:t xml:space="preserve"> </w:t>
      </w:r>
      <w:r w:rsidR="00DF25A9">
        <w:t xml:space="preserve">offensive or indecent; usually </w:t>
      </w:r>
      <w:r w:rsidR="008E31A3">
        <w:t xml:space="preserve">relating to sexual matters. </w:t>
      </w:r>
      <w:r w:rsidR="00DF25A9">
        <w:t xml:space="preserve"> </w:t>
      </w:r>
    </w:p>
    <w:p w14:paraId="561214D1" w14:textId="263DD90B" w:rsidR="00543B2F" w:rsidRPr="002D51E9" w:rsidRDefault="00543B2F" w:rsidP="653FA196">
      <w:pPr>
        <w:pStyle w:val="Bulletsl"/>
        <w:spacing w:line="276" w:lineRule="auto"/>
        <w:jc w:val="left"/>
        <w:rPr>
          <w:b/>
          <w:bCs/>
          <w:u w:val="single"/>
        </w:rPr>
      </w:pPr>
      <w:r w:rsidRPr="653FA196">
        <w:rPr>
          <w:b/>
          <w:bCs/>
          <w:u w:val="single"/>
        </w:rPr>
        <w:t>Plagiarism</w:t>
      </w:r>
      <w:r w:rsidR="005C6A98" w:rsidRPr="653FA196">
        <w:rPr>
          <w:b/>
          <w:bCs/>
          <w:u w:val="single"/>
        </w:rPr>
        <w:t>:</w:t>
      </w:r>
      <w:r w:rsidR="00DF25A9">
        <w:t xml:space="preserve"> the act of taking someone else’s work or ideas and passing them off as one’s own. </w:t>
      </w:r>
    </w:p>
    <w:p w14:paraId="50B8AFF3" w14:textId="77777777" w:rsidR="002D51E9" w:rsidRPr="002D51E9" w:rsidRDefault="002D51E9" w:rsidP="653FA196">
      <w:pPr>
        <w:pStyle w:val="Bulletsl"/>
        <w:spacing w:line="276" w:lineRule="auto"/>
        <w:jc w:val="left"/>
        <w:rPr>
          <w:rStyle w:val="Glossarytermsl"/>
        </w:rPr>
      </w:pPr>
      <w:r w:rsidRPr="653FA196">
        <w:rPr>
          <w:rStyle w:val="Glossarytermsl"/>
        </w:rPr>
        <w:t>Symbolic speech:</w:t>
      </w:r>
      <w:r w:rsidRPr="653FA196">
        <w:rPr>
          <w:rStyle w:val="Glossarytermsl"/>
          <w:u w:val="none"/>
        </w:rPr>
        <w:t xml:space="preserve"> </w:t>
      </w:r>
      <w:r w:rsidRPr="653FA196">
        <w:rPr>
          <w:rStyle w:val="Glossarytermsl"/>
          <w:b w:val="0"/>
          <w:u w:val="none"/>
        </w:rPr>
        <w:t>non-verbal actions that convey a message (e.g., burning the flag, sit-ins, and wearing political buttons).</w:t>
      </w:r>
    </w:p>
    <w:p w14:paraId="46236968" w14:textId="264B3BBA" w:rsidR="002D51E9" w:rsidRPr="002D51E9" w:rsidRDefault="002D51E9" w:rsidP="653FA196">
      <w:pPr>
        <w:pStyle w:val="Bulletsl"/>
        <w:spacing w:after="480" w:line="276" w:lineRule="auto"/>
        <w:jc w:val="left"/>
        <w:rPr>
          <w:rStyle w:val="Glossarytermsl"/>
        </w:rPr>
      </w:pPr>
      <w:r w:rsidRPr="653FA196">
        <w:rPr>
          <w:b/>
          <w:bCs/>
          <w:u w:val="single"/>
        </w:rPr>
        <w:t>Unconstitutional:</w:t>
      </w:r>
      <w:r>
        <w:t xml:space="preserve"> not allowed by or contained in the Constitution. If a law is unconstitutional, it will be struck down, meaning it is no longer a law.</w:t>
      </w:r>
    </w:p>
    <w:tbl>
      <w:tblPr>
        <w:tblStyle w:val="TableGrid"/>
        <w:tblW w:w="0" w:type="auto"/>
        <w:tblLook w:val="04A0" w:firstRow="1" w:lastRow="0" w:firstColumn="1" w:lastColumn="0" w:noHBand="0" w:noVBand="1"/>
      </w:tblPr>
      <w:tblGrid>
        <w:gridCol w:w="9350"/>
      </w:tblGrid>
      <w:tr w:rsidR="00622906" w14:paraId="428BDDD3" w14:textId="77777777" w:rsidTr="00A6023E">
        <w:tc>
          <w:tcPr>
            <w:tcW w:w="9350" w:type="dxa"/>
            <w:shd w:val="clear" w:color="auto" w:fill="F2F2F2" w:themeFill="background1" w:themeFillShade="F2"/>
          </w:tcPr>
          <w:p w14:paraId="1F2AA86B" w14:textId="0475DDCB" w:rsidR="00622906" w:rsidRPr="00092241" w:rsidRDefault="00622906" w:rsidP="00A6023E">
            <w:pPr>
              <w:pStyle w:val="Basiccopysl"/>
              <w:spacing w:before="120"/>
              <w:rPr>
                <w:b/>
                <w:bCs/>
                <w:sz w:val="22"/>
                <w:szCs w:val="22"/>
              </w:rPr>
            </w:pPr>
            <w:r w:rsidRPr="007A5AB1">
              <w:rPr>
                <w:rFonts w:eastAsiaTheme="minorHAnsi" w:cstheme="minorBidi"/>
              </w:rPr>
              <w:t xml:space="preserve">Additional information about </w:t>
            </w:r>
            <w:r w:rsidRPr="00F1246A">
              <w:rPr>
                <w:rFonts w:eastAsiaTheme="minorHAnsi" w:cstheme="minorBidi"/>
                <w:i/>
                <w:iCs/>
              </w:rPr>
              <w:t>Texas v. Johnson,</w:t>
            </w:r>
            <w:r w:rsidRPr="007A5AB1">
              <w:rPr>
                <w:rFonts w:eastAsiaTheme="minorHAnsi" w:cstheme="minorBidi"/>
              </w:rPr>
              <w:t xml:space="preserve"> including background at three reading levels, opinion quotes and summaries, teaching activities, and additional resources, can be found at </w:t>
            </w:r>
            <w:hyperlink r:id="rId10" w:history="1">
              <w:r w:rsidRPr="007A5AB1">
                <w:rPr>
                  <w:rStyle w:val="Hyperlink"/>
                  <w:rFonts w:eastAsiaTheme="minorHAnsi" w:cstheme="minorBidi"/>
                  <w:color w:val="auto"/>
                </w:rPr>
                <w:t>https://www.landmarkcases.org/</w:t>
              </w:r>
            </w:hyperlink>
            <w:r w:rsidRPr="007A5AB1">
              <w:rPr>
                <w:rFonts w:eastAsiaTheme="minorHAnsi" w:cstheme="minorBidi"/>
              </w:rPr>
              <w:t>.</w:t>
            </w:r>
          </w:p>
        </w:tc>
      </w:tr>
    </w:tbl>
    <w:p w14:paraId="0AC9B009" w14:textId="77777777" w:rsidR="00622906" w:rsidRPr="00092241" w:rsidRDefault="00622906" w:rsidP="00622906"/>
    <w:p w14:paraId="02F5BAA1" w14:textId="4E5906FA" w:rsidR="00622906" w:rsidRPr="00622906" w:rsidRDefault="00622906" w:rsidP="00622906">
      <w:pPr>
        <w:tabs>
          <w:tab w:val="clear" w:pos="360"/>
          <w:tab w:val="left" w:pos="1380"/>
        </w:tabs>
      </w:pPr>
    </w:p>
    <w:sectPr w:rsidR="00622906" w:rsidRPr="00622906" w:rsidSect="00D81E51">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33CA" w14:textId="77777777" w:rsidR="00D81E51" w:rsidRDefault="00D81E51" w:rsidP="0078549D">
      <w:r>
        <w:separator/>
      </w:r>
    </w:p>
  </w:endnote>
  <w:endnote w:type="continuationSeparator" w:id="0">
    <w:p w14:paraId="58B4AB5B" w14:textId="77777777" w:rsidR="00D81E51" w:rsidRDefault="00D81E51"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18"/>
      </w:rPr>
    </w:sdtEndPr>
    <w:sdtContent>
      <w:p w14:paraId="66FF5667" w14:textId="33640FA7" w:rsidR="0078549D" w:rsidRPr="006C303F" w:rsidRDefault="00D95DC2">
        <w:pPr>
          <w:pStyle w:val="Footer"/>
          <w:rPr>
            <w:rFonts w:ascii="Garamond" w:hAnsi="Garamond"/>
            <w:sz w:val="22"/>
            <w:szCs w:val="18"/>
          </w:rPr>
        </w:pPr>
        <w:r w:rsidRPr="006C303F">
          <w:rPr>
            <w:rFonts w:ascii="Garamond" w:hAnsi="Garamond" w:cstheme="minorHAnsi"/>
            <w:sz w:val="22"/>
            <w:szCs w:val="18"/>
          </w:rPr>
          <w:t>©</w:t>
        </w:r>
        <w:r w:rsidRPr="006C303F">
          <w:rPr>
            <w:rFonts w:ascii="Garamond" w:hAnsi="Garamond"/>
            <w:sz w:val="22"/>
            <w:szCs w:val="18"/>
          </w:rPr>
          <w:t xml:space="preserve"> 20</w:t>
        </w:r>
        <w:r w:rsidR="00D114FA">
          <w:rPr>
            <w:rFonts w:ascii="Garamond" w:hAnsi="Garamond"/>
            <w:sz w:val="22"/>
            <w:szCs w:val="18"/>
          </w:rPr>
          <w:t>19</w:t>
        </w:r>
        <w:r w:rsidRPr="006C303F">
          <w:rPr>
            <w:rFonts w:ascii="Garamond" w:hAnsi="Garamond"/>
            <w:sz w:val="22"/>
            <w:szCs w:val="18"/>
          </w:rPr>
          <w:t xml:space="preserve"> Street Law, Inc.</w:t>
        </w:r>
        <w:r w:rsidRPr="006C303F">
          <w:rPr>
            <w:rFonts w:ascii="Garamond" w:hAnsi="Garamond"/>
            <w:sz w:val="22"/>
            <w:szCs w:val="18"/>
          </w:rPr>
          <w:tab/>
        </w:r>
        <w:r w:rsidRPr="006C303F">
          <w:rPr>
            <w:rFonts w:ascii="Garamond" w:hAnsi="Garamond"/>
            <w:sz w:val="22"/>
            <w:szCs w:val="18"/>
          </w:rPr>
          <w:tab/>
          <w:t xml:space="preserve"> </w:t>
        </w:r>
        <w:r w:rsidRPr="006C303F">
          <w:rPr>
            <w:rFonts w:ascii="Garamond" w:hAnsi="Garamond"/>
            <w:sz w:val="22"/>
            <w:szCs w:val="18"/>
          </w:rPr>
          <w:fldChar w:fldCharType="begin"/>
        </w:r>
        <w:r w:rsidRPr="006C303F">
          <w:rPr>
            <w:rFonts w:ascii="Garamond" w:hAnsi="Garamond"/>
            <w:sz w:val="22"/>
            <w:szCs w:val="18"/>
          </w:rPr>
          <w:instrText xml:space="preserve"> PAGE   \* MERGEFORMAT </w:instrText>
        </w:r>
        <w:r w:rsidRPr="006C303F">
          <w:rPr>
            <w:rFonts w:ascii="Garamond" w:hAnsi="Garamond"/>
            <w:sz w:val="22"/>
            <w:szCs w:val="18"/>
          </w:rPr>
          <w:fldChar w:fldCharType="separate"/>
        </w:r>
        <w:r w:rsidRPr="006C303F">
          <w:rPr>
            <w:rFonts w:ascii="Garamond" w:hAnsi="Garamond"/>
            <w:sz w:val="22"/>
            <w:szCs w:val="18"/>
          </w:rPr>
          <w:t>2</w:t>
        </w:r>
        <w:r w:rsidRPr="006C303F">
          <w:rPr>
            <w:rFonts w:ascii="Garamond" w:hAnsi="Garamond"/>
            <w:noProof/>
            <w:sz w:val="22"/>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18"/>
      </w:rPr>
    </w:sdtEndPr>
    <w:sdtContent>
      <w:p w14:paraId="402A969F" w14:textId="174514D3" w:rsidR="003E3C3A" w:rsidRPr="006C303F" w:rsidRDefault="004468FE">
        <w:pPr>
          <w:pStyle w:val="Footer"/>
          <w:rPr>
            <w:rFonts w:ascii="Garamond" w:hAnsi="Garamond"/>
            <w:sz w:val="22"/>
            <w:szCs w:val="18"/>
          </w:rPr>
        </w:pPr>
        <w:r w:rsidRPr="006C303F">
          <w:rPr>
            <w:rFonts w:ascii="Garamond" w:hAnsi="Garamond" w:cstheme="minorHAnsi"/>
            <w:sz w:val="22"/>
            <w:szCs w:val="18"/>
          </w:rPr>
          <w:t>©</w:t>
        </w:r>
        <w:r w:rsidRPr="006C303F">
          <w:rPr>
            <w:rFonts w:ascii="Garamond" w:hAnsi="Garamond"/>
            <w:sz w:val="22"/>
            <w:szCs w:val="18"/>
          </w:rPr>
          <w:t xml:space="preserve"> 2019 Street Law, Inc.</w:t>
        </w:r>
        <w:r w:rsidRPr="006C303F">
          <w:rPr>
            <w:rFonts w:ascii="Garamond" w:hAnsi="Garamond"/>
            <w:sz w:val="22"/>
            <w:szCs w:val="18"/>
          </w:rPr>
          <w:tab/>
        </w:r>
        <w:r w:rsidRPr="006C303F">
          <w:rPr>
            <w:rFonts w:ascii="Garamond" w:hAnsi="Garamond"/>
            <w:sz w:val="22"/>
            <w:szCs w:val="18"/>
          </w:rPr>
          <w:tab/>
          <w:t xml:space="preserve"> Last updated: 08/24/2020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AC4D" w14:textId="77777777" w:rsidR="00D81E51" w:rsidRDefault="00D81E51" w:rsidP="0078549D">
      <w:r>
        <w:separator/>
      </w:r>
    </w:p>
  </w:footnote>
  <w:footnote w:type="continuationSeparator" w:id="0">
    <w:p w14:paraId="147B5A6B" w14:textId="77777777" w:rsidR="00D81E51" w:rsidRDefault="00D81E51" w:rsidP="007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6415552"/>
  <w:bookmarkStart w:id="1" w:name="_Hlk156477696"/>
  <w:bookmarkStart w:id="2" w:name="_Hlk156477697"/>
  <w:p w14:paraId="29F76588" w14:textId="336845EA" w:rsidR="00F1246A" w:rsidRPr="00F1246A" w:rsidRDefault="00F1246A" w:rsidP="00F1246A">
    <w:pPr>
      <w:jc w:val="right"/>
      <w:rPr>
        <w:rFonts w:ascii="Garamond" w:hAnsi="Garamond" w:cs="Calibri"/>
      </w:rPr>
    </w:pPr>
    <w:r w:rsidRPr="00F1246A">
      <w:rPr>
        <w:rFonts w:ascii="Garamond" w:hAnsi="Garamond" w:cs="Calibri"/>
        <w:i/>
        <w:iCs/>
        <w:noProof/>
        <w:sz w:val="22"/>
      </w:rPr>
      <mc:AlternateContent>
        <mc:Choice Requires="wps">
          <w:drawing>
            <wp:anchor distT="0" distB="0" distL="114300" distR="114300" simplePos="0" relativeHeight="251662848" behindDoc="0" locked="0" layoutInCell="1" allowOverlap="1" wp14:anchorId="12FEE2CF" wp14:editId="574FCEDA">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9A189" w14:textId="77777777" w:rsidR="00F1246A" w:rsidRDefault="00F1246A" w:rsidP="00F1246A">
                          <w:r>
                            <w:rPr>
                              <w:noProof/>
                            </w:rPr>
                            <w:drawing>
                              <wp:inline distT="0" distB="0" distL="0" distR="0" wp14:anchorId="2826C057" wp14:editId="71AD8C97">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FEE2CF"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1029A189" w14:textId="77777777" w:rsidR="00F1246A" w:rsidRDefault="00F1246A" w:rsidP="00F1246A">
                    <w:r>
                      <w:rPr>
                        <w:noProof/>
                      </w:rPr>
                      <w:drawing>
                        <wp:inline distT="0" distB="0" distL="0" distR="0" wp14:anchorId="2826C057" wp14:editId="71AD8C97">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F1246A">
      <w:rPr>
        <w:rFonts w:ascii="Garamond" w:hAnsi="Garamond" w:cs="Calibri"/>
        <w:i/>
        <w:iCs/>
        <w:sz w:val="22"/>
      </w:rPr>
      <w:t xml:space="preserve">Texas v. Johnson </w:t>
    </w:r>
    <w:r w:rsidRPr="00F1246A">
      <w:rPr>
        <w:rFonts w:ascii="Garamond" w:hAnsi="Garamond" w:cs="Calibri"/>
        <w:sz w:val="22"/>
      </w:rPr>
      <w:t>(1989)</w:t>
    </w:r>
    <w:bookmarkEnd w:id="0"/>
    <w:bookmarkEnd w:id="1"/>
    <w:bookmarkEnd w:id="2"/>
  </w:p>
  <w:p w14:paraId="6E70C1A0" w14:textId="210D23F8" w:rsidR="0078549D" w:rsidRPr="00F1246A" w:rsidRDefault="0078549D" w:rsidP="00F1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56415537"/>
  <w:p w14:paraId="412A6DDB" w14:textId="77777777" w:rsidR="00F1246A" w:rsidRPr="00F1246A" w:rsidRDefault="00F1246A" w:rsidP="00F1246A">
    <w:pPr>
      <w:jc w:val="right"/>
      <w:rPr>
        <w:rFonts w:ascii="Garamond" w:hAnsi="Garamond" w:cs="Calibri"/>
      </w:rPr>
    </w:pPr>
    <w:r w:rsidRPr="00F1246A">
      <w:rPr>
        <w:rFonts w:ascii="Garamond" w:hAnsi="Garamond" w:cs="Calibri"/>
        <w:noProof/>
        <w:sz w:val="22"/>
      </w:rPr>
      <mc:AlternateContent>
        <mc:Choice Requires="wps">
          <w:drawing>
            <wp:anchor distT="0" distB="0" distL="114300" distR="114300" simplePos="0" relativeHeight="251660800" behindDoc="0" locked="0" layoutInCell="1" allowOverlap="1" wp14:anchorId="13C540CE" wp14:editId="1153D4F0">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5FDDE" w14:textId="77777777" w:rsidR="00F1246A" w:rsidRDefault="00F1246A" w:rsidP="00F1246A">
                          <w:r>
                            <w:rPr>
                              <w:noProof/>
                            </w:rPr>
                            <w:drawing>
                              <wp:inline distT="0" distB="0" distL="0" distR="0" wp14:anchorId="0F18DB0F" wp14:editId="479884C6">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C540CE"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03F5FDDE" w14:textId="77777777" w:rsidR="00F1246A" w:rsidRDefault="00F1246A" w:rsidP="00F1246A">
                    <w:r>
                      <w:rPr>
                        <w:noProof/>
                      </w:rPr>
                      <w:drawing>
                        <wp:inline distT="0" distB="0" distL="0" distR="0" wp14:anchorId="0F18DB0F" wp14:editId="479884C6">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F1246A">
      <w:rPr>
        <w:rFonts w:ascii="Garamond" w:hAnsi="Garamond" w:cs="Calibri"/>
        <w:sz w:val="22"/>
      </w:rPr>
      <w:t>Street Law, Inc. Case Summary</w:t>
    </w:r>
  </w:p>
  <w:bookmarkEnd w:id="3"/>
  <w:p w14:paraId="1DC2EA15" w14:textId="3CE12622" w:rsidR="00E9574E" w:rsidRPr="003E3C3A" w:rsidRDefault="00E9574E" w:rsidP="003E3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E7C05200"/>
    <w:lvl w:ilvl="0" w:tplc="2C16BF22">
      <w:start w:val="1"/>
      <w:numFmt w:val="decimal"/>
      <w:pStyle w:val="Numberedlists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93953"/>
    <w:multiLevelType w:val="hybridMultilevel"/>
    <w:tmpl w:val="BB84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B0844"/>
    <w:multiLevelType w:val="hybridMultilevel"/>
    <w:tmpl w:val="156AEFC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31640D0D"/>
    <w:multiLevelType w:val="hybridMultilevel"/>
    <w:tmpl w:val="63124868"/>
    <w:lvl w:ilvl="0" w:tplc="4320ADBA">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3243A"/>
    <w:multiLevelType w:val="hybridMultilevel"/>
    <w:tmpl w:val="E88CD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918B8"/>
    <w:multiLevelType w:val="hybridMultilevel"/>
    <w:tmpl w:val="FA2E7E5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2" w15:restartNumberingAfterBreak="0">
    <w:nsid w:val="65FC44D1"/>
    <w:multiLevelType w:val="hybridMultilevel"/>
    <w:tmpl w:val="75EC823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B031BEB"/>
    <w:multiLevelType w:val="hybridMultilevel"/>
    <w:tmpl w:val="5D5E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C7254"/>
    <w:multiLevelType w:val="hybridMultilevel"/>
    <w:tmpl w:val="927C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814194">
    <w:abstractNumId w:val="6"/>
  </w:num>
  <w:num w:numId="2" w16cid:durableId="176313644">
    <w:abstractNumId w:val="1"/>
  </w:num>
  <w:num w:numId="3" w16cid:durableId="1930120115">
    <w:abstractNumId w:val="0"/>
  </w:num>
  <w:num w:numId="4" w16cid:durableId="141580760">
    <w:abstractNumId w:val="3"/>
  </w:num>
  <w:num w:numId="5" w16cid:durableId="702168874">
    <w:abstractNumId w:val="8"/>
  </w:num>
  <w:num w:numId="6" w16cid:durableId="205265886">
    <w:abstractNumId w:val="4"/>
  </w:num>
  <w:num w:numId="7" w16cid:durableId="1183933132">
    <w:abstractNumId w:val="8"/>
    <w:lvlOverride w:ilvl="0">
      <w:startOverride w:val="1"/>
    </w:lvlOverride>
  </w:num>
  <w:num w:numId="8" w16cid:durableId="1214463137">
    <w:abstractNumId w:val="8"/>
    <w:lvlOverride w:ilvl="0">
      <w:startOverride w:val="1"/>
    </w:lvlOverride>
  </w:num>
  <w:num w:numId="9" w16cid:durableId="1055154376">
    <w:abstractNumId w:val="8"/>
    <w:lvlOverride w:ilvl="0">
      <w:startOverride w:val="1"/>
    </w:lvlOverride>
  </w:num>
  <w:num w:numId="10" w16cid:durableId="1512993103">
    <w:abstractNumId w:val="8"/>
    <w:lvlOverride w:ilvl="0">
      <w:startOverride w:val="1"/>
    </w:lvlOverride>
  </w:num>
  <w:num w:numId="11" w16cid:durableId="1410468371">
    <w:abstractNumId w:val="9"/>
  </w:num>
  <w:num w:numId="12" w16cid:durableId="1687824237">
    <w:abstractNumId w:val="5"/>
  </w:num>
  <w:num w:numId="13" w16cid:durableId="2141534028">
    <w:abstractNumId w:val="12"/>
  </w:num>
  <w:num w:numId="14" w16cid:durableId="1451974910">
    <w:abstractNumId w:val="1"/>
    <w:lvlOverride w:ilvl="0">
      <w:startOverride w:val="1"/>
    </w:lvlOverride>
  </w:num>
  <w:num w:numId="15" w16cid:durableId="1203783608">
    <w:abstractNumId w:val="1"/>
  </w:num>
  <w:num w:numId="16" w16cid:durableId="709035105">
    <w:abstractNumId w:val="1"/>
  </w:num>
  <w:num w:numId="17" w16cid:durableId="7830437">
    <w:abstractNumId w:val="1"/>
  </w:num>
  <w:num w:numId="18" w16cid:durableId="206796686">
    <w:abstractNumId w:val="1"/>
  </w:num>
  <w:num w:numId="19" w16cid:durableId="1456020119">
    <w:abstractNumId w:val="1"/>
  </w:num>
  <w:num w:numId="20" w16cid:durableId="575283544">
    <w:abstractNumId w:val="1"/>
  </w:num>
  <w:num w:numId="21" w16cid:durableId="404842484">
    <w:abstractNumId w:val="1"/>
  </w:num>
  <w:num w:numId="22" w16cid:durableId="1285692263">
    <w:abstractNumId w:val="1"/>
  </w:num>
  <w:num w:numId="23" w16cid:durableId="1245528468">
    <w:abstractNumId w:val="1"/>
  </w:num>
  <w:num w:numId="24" w16cid:durableId="232282097">
    <w:abstractNumId w:val="1"/>
  </w:num>
  <w:num w:numId="25" w16cid:durableId="902562328">
    <w:abstractNumId w:val="1"/>
  </w:num>
  <w:num w:numId="26" w16cid:durableId="60755566">
    <w:abstractNumId w:val="1"/>
  </w:num>
  <w:num w:numId="27" w16cid:durableId="193887333">
    <w:abstractNumId w:val="1"/>
  </w:num>
  <w:num w:numId="28" w16cid:durableId="1694500220">
    <w:abstractNumId w:val="1"/>
  </w:num>
  <w:num w:numId="29" w16cid:durableId="499004244">
    <w:abstractNumId w:val="1"/>
  </w:num>
  <w:num w:numId="30" w16cid:durableId="481970803">
    <w:abstractNumId w:val="1"/>
  </w:num>
  <w:num w:numId="31" w16cid:durableId="694814791">
    <w:abstractNumId w:val="1"/>
  </w:num>
  <w:num w:numId="32" w16cid:durableId="520557572">
    <w:abstractNumId w:val="1"/>
  </w:num>
  <w:num w:numId="33" w16cid:durableId="953171259">
    <w:abstractNumId w:val="1"/>
  </w:num>
  <w:num w:numId="34" w16cid:durableId="491215128">
    <w:abstractNumId w:val="1"/>
  </w:num>
  <w:num w:numId="35" w16cid:durableId="706682306">
    <w:abstractNumId w:val="1"/>
  </w:num>
  <w:num w:numId="36" w16cid:durableId="1298992208">
    <w:abstractNumId w:val="1"/>
    <w:lvlOverride w:ilvl="0">
      <w:startOverride w:val="1"/>
    </w:lvlOverride>
  </w:num>
  <w:num w:numId="37" w16cid:durableId="415830533">
    <w:abstractNumId w:val="1"/>
    <w:lvlOverride w:ilvl="0">
      <w:startOverride w:val="1"/>
    </w:lvlOverride>
  </w:num>
  <w:num w:numId="38" w16cid:durableId="1123308027">
    <w:abstractNumId w:val="7"/>
  </w:num>
  <w:num w:numId="39" w16cid:durableId="82070003">
    <w:abstractNumId w:val="1"/>
    <w:lvlOverride w:ilvl="0">
      <w:startOverride w:val="1"/>
    </w:lvlOverride>
  </w:num>
  <w:num w:numId="40" w16cid:durableId="385225846">
    <w:abstractNumId w:val="14"/>
  </w:num>
  <w:num w:numId="41" w16cid:durableId="171453578">
    <w:abstractNumId w:val="13"/>
  </w:num>
  <w:num w:numId="42" w16cid:durableId="1070470010">
    <w:abstractNumId w:val="10"/>
  </w:num>
  <w:num w:numId="43" w16cid:durableId="2045907784">
    <w:abstractNumId w:val="2"/>
  </w:num>
  <w:num w:numId="44" w16cid:durableId="1792823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6A"/>
    <w:rsid w:val="00001077"/>
    <w:rsid w:val="000066B2"/>
    <w:rsid w:val="00006EEB"/>
    <w:rsid w:val="00026E5B"/>
    <w:rsid w:val="00041A52"/>
    <w:rsid w:val="00046630"/>
    <w:rsid w:val="000C4903"/>
    <w:rsid w:val="000E239D"/>
    <w:rsid w:val="001551B2"/>
    <w:rsid w:val="001570C6"/>
    <w:rsid w:val="00161C2E"/>
    <w:rsid w:val="00170B98"/>
    <w:rsid w:val="00194BDA"/>
    <w:rsid w:val="001B7B07"/>
    <w:rsid w:val="001F460C"/>
    <w:rsid w:val="0023065E"/>
    <w:rsid w:val="002661E7"/>
    <w:rsid w:val="002700DA"/>
    <w:rsid w:val="00290061"/>
    <w:rsid w:val="002B4D38"/>
    <w:rsid w:val="002C68A3"/>
    <w:rsid w:val="002D51E9"/>
    <w:rsid w:val="00304C79"/>
    <w:rsid w:val="00306349"/>
    <w:rsid w:val="00310F79"/>
    <w:rsid w:val="00317735"/>
    <w:rsid w:val="00375090"/>
    <w:rsid w:val="00382D08"/>
    <w:rsid w:val="00396AEB"/>
    <w:rsid w:val="003D441F"/>
    <w:rsid w:val="003E3C3A"/>
    <w:rsid w:val="003E7C53"/>
    <w:rsid w:val="004468FE"/>
    <w:rsid w:val="004721D3"/>
    <w:rsid w:val="00473F62"/>
    <w:rsid w:val="0047538E"/>
    <w:rsid w:val="00486E9C"/>
    <w:rsid w:val="004B560A"/>
    <w:rsid w:val="005311FB"/>
    <w:rsid w:val="00543B2F"/>
    <w:rsid w:val="00553F5C"/>
    <w:rsid w:val="005A0330"/>
    <w:rsid w:val="005A3A98"/>
    <w:rsid w:val="005C5269"/>
    <w:rsid w:val="005C6A98"/>
    <w:rsid w:val="005D2196"/>
    <w:rsid w:val="00621B7C"/>
    <w:rsid w:val="00622906"/>
    <w:rsid w:val="00654022"/>
    <w:rsid w:val="006552CD"/>
    <w:rsid w:val="00660861"/>
    <w:rsid w:val="006C1AD2"/>
    <w:rsid w:val="006C303F"/>
    <w:rsid w:val="0078549D"/>
    <w:rsid w:val="00793928"/>
    <w:rsid w:val="0079616D"/>
    <w:rsid w:val="007A5AB1"/>
    <w:rsid w:val="007A6243"/>
    <w:rsid w:val="007C0D84"/>
    <w:rsid w:val="007D1FEF"/>
    <w:rsid w:val="007D7B79"/>
    <w:rsid w:val="007F700D"/>
    <w:rsid w:val="00815CB0"/>
    <w:rsid w:val="0081706F"/>
    <w:rsid w:val="00874F8A"/>
    <w:rsid w:val="00895096"/>
    <w:rsid w:val="008C5EE2"/>
    <w:rsid w:val="008E31A3"/>
    <w:rsid w:val="008F6A97"/>
    <w:rsid w:val="00914B92"/>
    <w:rsid w:val="00945786"/>
    <w:rsid w:val="00962CEB"/>
    <w:rsid w:val="009A1A64"/>
    <w:rsid w:val="009C0178"/>
    <w:rsid w:val="009D6B03"/>
    <w:rsid w:val="00A10F6E"/>
    <w:rsid w:val="00A273C8"/>
    <w:rsid w:val="00AA7F73"/>
    <w:rsid w:val="00AD0A57"/>
    <w:rsid w:val="00AD3896"/>
    <w:rsid w:val="00AD7D69"/>
    <w:rsid w:val="00AE0C77"/>
    <w:rsid w:val="00AF30A7"/>
    <w:rsid w:val="00B62487"/>
    <w:rsid w:val="00B6548A"/>
    <w:rsid w:val="00B83E96"/>
    <w:rsid w:val="00BA7345"/>
    <w:rsid w:val="00BE4A01"/>
    <w:rsid w:val="00BF7D10"/>
    <w:rsid w:val="00C2603E"/>
    <w:rsid w:val="00C30920"/>
    <w:rsid w:val="00C32343"/>
    <w:rsid w:val="00C50C88"/>
    <w:rsid w:val="00C741C0"/>
    <w:rsid w:val="00C852C6"/>
    <w:rsid w:val="00C8696A"/>
    <w:rsid w:val="00C91EAD"/>
    <w:rsid w:val="00C969C8"/>
    <w:rsid w:val="00D0796C"/>
    <w:rsid w:val="00D10F9E"/>
    <w:rsid w:val="00D11317"/>
    <w:rsid w:val="00D114FA"/>
    <w:rsid w:val="00D44B55"/>
    <w:rsid w:val="00D54610"/>
    <w:rsid w:val="00D81E51"/>
    <w:rsid w:val="00D95DC2"/>
    <w:rsid w:val="00DC3D86"/>
    <w:rsid w:val="00DE130C"/>
    <w:rsid w:val="00DE3D18"/>
    <w:rsid w:val="00DF25A9"/>
    <w:rsid w:val="00DF4211"/>
    <w:rsid w:val="00E11C22"/>
    <w:rsid w:val="00E6711C"/>
    <w:rsid w:val="00E9574E"/>
    <w:rsid w:val="00EB48E0"/>
    <w:rsid w:val="00EC21FE"/>
    <w:rsid w:val="00EC3F27"/>
    <w:rsid w:val="00F1246A"/>
    <w:rsid w:val="00F46355"/>
    <w:rsid w:val="00FC5BD8"/>
    <w:rsid w:val="00FD2659"/>
    <w:rsid w:val="653FA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8FDA2"/>
  <w15:docId w15:val="{44F3A028-C175-4A32-844D-449F5F46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6A"/>
    <w:pPr>
      <w:tabs>
        <w:tab w:val="left" w:pos="360"/>
      </w:tabs>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C8696A"/>
    <w:pPr>
      <w:spacing w:after="120" w:line="266" w:lineRule="auto"/>
      <w:jc w:val="left"/>
    </w:pPr>
    <w:rPr>
      <w:rFonts w:ascii="Garamond" w:hAnsi="Garamond"/>
      <w:szCs w:val="24"/>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szCs w:val="24"/>
    </w:rPr>
  </w:style>
  <w:style w:type="character" w:customStyle="1" w:styleId="BasiccopyslChar">
    <w:name w:val="Basic copy_sl Char"/>
    <w:basedOn w:val="DefaultParagraphFont"/>
    <w:link w:val="Basiccopysl"/>
    <w:rsid w:val="00C8696A"/>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pPr>
    <w:rPr>
      <w:rFonts w:ascii="Garamond" w:hAnsi="Garamond"/>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eastAsia="Times New Roman" w:hAnsi="Garamond" w:cs="Times New Roman"/>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customStyle="1" w:styleId="Boldheading">
    <w:name w:val="Bold heading"/>
    <w:basedOn w:val="Normal"/>
    <w:rsid w:val="00C8696A"/>
    <w:pPr>
      <w:keepNext/>
      <w:spacing w:before="240"/>
    </w:pPr>
    <w:rPr>
      <w:b/>
    </w:rPr>
  </w:style>
  <w:style w:type="paragraph" w:styleId="BodyTextIndent">
    <w:name w:val="Body Text Indent"/>
    <w:basedOn w:val="Normal"/>
    <w:link w:val="BodyTextIndentChar"/>
    <w:rsid w:val="00C8696A"/>
    <w:pPr>
      <w:ind w:left="720"/>
    </w:pPr>
    <w:rPr>
      <w:spacing w:val="-2"/>
    </w:rPr>
  </w:style>
  <w:style w:type="character" w:customStyle="1" w:styleId="BodyTextIndentChar">
    <w:name w:val="Body Text Indent Char"/>
    <w:basedOn w:val="DefaultParagraphFont"/>
    <w:link w:val="BodyTextIndent"/>
    <w:rsid w:val="00C8696A"/>
    <w:rPr>
      <w:rFonts w:ascii="Times New Roman" w:eastAsia="Times New Roman" w:hAnsi="Times New Roman" w:cs="Times New Roman"/>
      <w:spacing w:val="-2"/>
      <w:sz w:val="24"/>
      <w:szCs w:val="20"/>
    </w:rPr>
  </w:style>
  <w:style w:type="paragraph" w:styleId="BodyTextIndent2">
    <w:name w:val="Body Text Indent 2"/>
    <w:basedOn w:val="Normal"/>
    <w:link w:val="BodyTextIndent2Char"/>
    <w:uiPriority w:val="99"/>
    <w:semiHidden/>
    <w:unhideWhenUsed/>
    <w:rsid w:val="00C8696A"/>
    <w:pPr>
      <w:spacing w:after="120" w:line="480" w:lineRule="auto"/>
      <w:ind w:left="360"/>
    </w:pPr>
  </w:style>
  <w:style w:type="character" w:customStyle="1" w:styleId="BodyTextIndent2Char">
    <w:name w:val="Body Text Indent 2 Char"/>
    <w:basedOn w:val="DefaultParagraphFont"/>
    <w:link w:val="BodyTextIndent2"/>
    <w:uiPriority w:val="99"/>
    <w:semiHidden/>
    <w:rsid w:val="00C8696A"/>
    <w:rPr>
      <w:rFonts w:ascii="Times New Roman" w:eastAsia="Times New Roman" w:hAnsi="Times New Roman" w:cs="Times New Roman"/>
      <w:sz w:val="24"/>
      <w:szCs w:val="20"/>
    </w:rPr>
  </w:style>
  <w:style w:type="paragraph" w:styleId="ListParagraph">
    <w:name w:val="List Paragraph"/>
    <w:basedOn w:val="Normal"/>
    <w:uiPriority w:val="34"/>
    <w:qFormat/>
    <w:rsid w:val="00AD7D69"/>
    <w:pPr>
      <w:tabs>
        <w:tab w:val="clear" w:pos="360"/>
      </w:tabs>
      <w:spacing w:after="200" w:line="276" w:lineRule="auto"/>
      <w:ind w:left="720"/>
      <w:contextualSpacing/>
      <w:jc w:val="left"/>
    </w:pPr>
    <w:rPr>
      <w:rFonts w:ascii="Garamond" w:eastAsiaTheme="minorHAnsi" w:hAnsi="Garamond" w:cstheme="minorBidi"/>
      <w:szCs w:val="22"/>
    </w:rPr>
  </w:style>
  <w:style w:type="paragraph" w:styleId="NormalWeb">
    <w:name w:val="Normal (Web)"/>
    <w:basedOn w:val="Normal"/>
    <w:uiPriority w:val="99"/>
    <w:semiHidden/>
    <w:unhideWhenUsed/>
    <w:rsid w:val="00AD7D69"/>
    <w:pPr>
      <w:tabs>
        <w:tab w:val="clear" w:pos="360"/>
      </w:tabs>
      <w:spacing w:before="100" w:beforeAutospacing="1" w:after="100" w:afterAutospacing="1"/>
      <w:jc w:val="left"/>
    </w:pPr>
    <w:rPr>
      <w:szCs w:val="24"/>
    </w:rPr>
  </w:style>
  <w:style w:type="paragraph" w:customStyle="1" w:styleId="Glossarybulletssl">
    <w:name w:val="Glossary bullets_sl"/>
    <w:qFormat/>
    <w:rsid w:val="00AD3896"/>
    <w:pPr>
      <w:numPr>
        <w:numId w:val="44"/>
      </w:numPr>
      <w:spacing w:after="120" w:line="360" w:lineRule="auto"/>
    </w:pPr>
    <w:rPr>
      <w:rFonts w:ascii="Garamond" w:hAnsi="Garamond"/>
      <w:sz w:val="24"/>
      <w:szCs w:val="24"/>
    </w:rPr>
  </w:style>
  <w:style w:type="character" w:customStyle="1" w:styleId="Glossarytermsl">
    <w:name w:val="Glossary term_sl"/>
    <w:uiPriority w:val="1"/>
    <w:qFormat/>
    <w:rsid w:val="00AD3896"/>
    <w:rPr>
      <w:rFonts w:ascii="Garamond" w:hAnsi="Garamond" w:hint="default"/>
      <w:b/>
      <w:bCs w:val="0"/>
      <w:sz w:val="24"/>
      <w:u w:val="single"/>
    </w:rPr>
  </w:style>
  <w:style w:type="paragraph" w:customStyle="1" w:styleId="Argueddecideddatessl">
    <w:name w:val="Argued/decided dates_sl"/>
    <w:basedOn w:val="Basiccopysl"/>
    <w:qFormat/>
    <w:rsid w:val="005C6A98"/>
    <w:pPr>
      <w:tabs>
        <w:tab w:val="clear" w:pos="360"/>
      </w:tabs>
      <w:spacing w:after="0" w:line="276" w:lineRule="auto"/>
      <w:jc w:val="center"/>
    </w:pPr>
    <w:rPr>
      <w:rFonts w:eastAsiaTheme="minorHAnsi" w:cstheme="minorBidi"/>
      <w:b/>
    </w:rPr>
  </w:style>
  <w:style w:type="character" w:styleId="CommentReference">
    <w:name w:val="annotation reference"/>
    <w:basedOn w:val="DefaultParagraphFont"/>
    <w:uiPriority w:val="99"/>
    <w:semiHidden/>
    <w:unhideWhenUsed/>
    <w:rsid w:val="008F6A97"/>
    <w:rPr>
      <w:sz w:val="16"/>
      <w:szCs w:val="16"/>
    </w:rPr>
  </w:style>
  <w:style w:type="paragraph" w:styleId="CommentText">
    <w:name w:val="annotation text"/>
    <w:basedOn w:val="Normal"/>
    <w:link w:val="CommentTextChar"/>
    <w:uiPriority w:val="99"/>
    <w:semiHidden/>
    <w:unhideWhenUsed/>
    <w:rsid w:val="008F6A97"/>
    <w:rPr>
      <w:sz w:val="20"/>
    </w:rPr>
  </w:style>
  <w:style w:type="character" w:customStyle="1" w:styleId="CommentTextChar">
    <w:name w:val="Comment Text Char"/>
    <w:basedOn w:val="DefaultParagraphFont"/>
    <w:link w:val="CommentText"/>
    <w:uiPriority w:val="99"/>
    <w:semiHidden/>
    <w:rsid w:val="008F6A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A97"/>
    <w:rPr>
      <w:b/>
      <w:bCs/>
    </w:rPr>
  </w:style>
  <w:style w:type="character" w:customStyle="1" w:styleId="CommentSubjectChar">
    <w:name w:val="Comment Subject Char"/>
    <w:basedOn w:val="CommentTextChar"/>
    <w:link w:val="CommentSubject"/>
    <w:uiPriority w:val="99"/>
    <w:semiHidden/>
    <w:rsid w:val="008F6A97"/>
    <w:rPr>
      <w:rFonts w:ascii="Times New Roman" w:eastAsia="Times New Roman" w:hAnsi="Times New Roman" w:cs="Times New Roman"/>
      <w:b/>
      <w:bCs/>
      <w:sz w:val="20"/>
      <w:szCs w:val="20"/>
    </w:rPr>
  </w:style>
  <w:style w:type="table" w:styleId="TableGrid">
    <w:name w:val="Table Grid"/>
    <w:basedOn w:val="TableNormal"/>
    <w:uiPriority w:val="59"/>
    <w:rsid w:val="00622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andmarkcas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HARED\STYLE%20GUIDE%20+%20TOOLS\1%20-%20Templates\2015__Basic%20template%20with%20branded%20header%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Props1.xml><?xml version="1.0" encoding="utf-8"?>
<ds:datastoreItem xmlns:ds="http://schemas.openxmlformats.org/officeDocument/2006/customXml" ds:itemID="{BE8E0375-3E46-4D25-BE1C-B5AEA89D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7363E-B774-4882-8767-EB8071817735}">
  <ds:schemaRefs>
    <ds:schemaRef ds:uri="http://schemas.microsoft.com/sharepoint/v3/contenttype/forms"/>
  </ds:schemaRefs>
</ds:datastoreItem>
</file>

<file path=customXml/itemProps3.xml><?xml version="1.0" encoding="utf-8"?>
<ds:datastoreItem xmlns:ds="http://schemas.openxmlformats.org/officeDocument/2006/customXml" ds:itemID="{1B4F8A63-3B5A-45B1-AA8C-D6DC9DF3A3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2015__Basic template with branded header + page number</Template>
  <TotalTime>8</TotalTime>
  <Pages>3</Pages>
  <Words>968</Words>
  <Characters>5523</Characters>
  <Application>Microsoft Office Word</Application>
  <DocSecurity>0</DocSecurity>
  <Lines>46</Lines>
  <Paragraphs>12</Paragraphs>
  <ScaleCrop>false</ScaleCrop>
  <Company>Microsoft</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dcterms:created xsi:type="dcterms:W3CDTF">2020-10-22T16:41:00Z</dcterms:created>
  <dcterms:modified xsi:type="dcterms:W3CDTF">2024-01-19T14:28:00Z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