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7159" w:rsidR="00240910" w:rsidP="00240910" w:rsidRDefault="00240910" w14:paraId="0E24760B" w14:textId="77777777">
      <w:pPr>
        <w:pStyle w:val="Heading1"/>
      </w:pPr>
      <w:bookmarkStart w:name="_Toc80619879" w:id="0"/>
      <w:r w:rsidRPr="00F52825">
        <w:t>Roe v. Wade</w:t>
      </w:r>
      <w:r w:rsidRPr="00497159">
        <w:t xml:space="preserve"> </w:t>
      </w:r>
      <w:r w:rsidRPr="00CC30C5">
        <w:rPr>
          <w:i w:val="0"/>
          <w:iCs w:val="0"/>
        </w:rPr>
        <w:t>(1973)</w:t>
      </w:r>
      <w:bookmarkEnd w:id="0"/>
    </w:p>
    <w:p w:rsidR="00240910" w:rsidP="00240910" w:rsidRDefault="00240910" w14:paraId="27D13CF2" w14:textId="77777777">
      <w:pPr>
        <w:pStyle w:val="Basiccopysl"/>
        <w:spacing w:line="276" w:lineRule="auto"/>
        <w:jc w:val="center"/>
        <w:rPr>
          <w:b/>
        </w:rPr>
      </w:pPr>
      <w:r w:rsidRPr="00497159">
        <w:rPr>
          <w:b/>
        </w:rPr>
        <w:t>Argued:</w:t>
      </w:r>
      <w:r>
        <w:t xml:space="preserve"> December 13, 1971</w:t>
      </w:r>
    </w:p>
    <w:p w:rsidR="00240910" w:rsidP="00240910" w:rsidRDefault="00240910" w14:paraId="211BC531" w14:textId="77777777">
      <w:pPr>
        <w:pStyle w:val="Basiccopysl"/>
        <w:spacing w:line="276" w:lineRule="auto"/>
        <w:jc w:val="center"/>
      </w:pPr>
      <w:r w:rsidRPr="00497159">
        <w:rPr>
          <w:b/>
        </w:rPr>
        <w:t>Reargued:</w:t>
      </w:r>
      <w:r>
        <w:t xml:space="preserve"> October 11, 1972</w:t>
      </w:r>
    </w:p>
    <w:p w:rsidR="00240910" w:rsidP="00240910" w:rsidRDefault="00240910" w14:paraId="4168A1E5" w14:textId="77777777">
      <w:pPr>
        <w:pStyle w:val="Basiccopysl"/>
        <w:spacing w:line="276" w:lineRule="auto"/>
        <w:jc w:val="center"/>
        <w:rPr>
          <w:b/>
        </w:rPr>
      </w:pPr>
      <w:r w:rsidRPr="00497159">
        <w:rPr>
          <w:b/>
        </w:rPr>
        <w:t>Decided:</w:t>
      </w:r>
      <w:r>
        <w:t xml:space="preserve"> January 22, 1973</w:t>
      </w:r>
    </w:p>
    <w:p w:rsidRPr="00497159" w:rsidR="00240910" w:rsidP="00240910" w:rsidRDefault="00240910" w14:paraId="6617B7C3" w14:textId="77777777">
      <w:pPr>
        <w:pStyle w:val="Subhead2sl"/>
      </w:pPr>
      <w:r w:rsidRPr="00497159">
        <w:t>Background</w:t>
      </w:r>
    </w:p>
    <w:p w:rsidR="00240910" w:rsidP="00240910" w:rsidRDefault="00240910" w14:paraId="36F1B16C" w14:textId="60EB8A00">
      <w:pPr>
        <w:pStyle w:val="Basiccopysl"/>
        <w:spacing w:line="276" w:lineRule="auto"/>
      </w:pPr>
      <w:r w:rsidR="00240910">
        <w:rPr/>
        <w:t xml:space="preserve">The </w:t>
      </w:r>
      <w:r w:rsidR="00974491">
        <w:rPr/>
        <w:t xml:space="preserve">U.S. </w:t>
      </w:r>
      <w:r w:rsidR="00240910">
        <w:rPr/>
        <w:t xml:space="preserve">Constitution does not explicitly guarantee a </w:t>
      </w:r>
      <w:r w:rsidR="00240910">
        <w:rPr/>
        <w:t>right to privacy</w:t>
      </w:r>
      <w:r w:rsidR="00240910">
        <w:rPr/>
        <w:t xml:space="preserve">. The word “privacy” does not appear in the Constitution. </w:t>
      </w:r>
      <w:r w:rsidR="00240910">
        <w:rPr/>
        <w:t xml:space="preserve">However, </w:t>
      </w:r>
      <w:r w:rsidR="00240910">
        <w:rPr/>
        <w:t xml:space="preserve">the Bill of Rights includes protections for specific aspects of privacy, such as the Fourth Amendment’s “right of the people to be secure in their persons, houses, papers and effects” from unreasonable government searches and seizures and the Fifth Amendment’s right to be free of compelled self-incrimination in criminal cases. In early </w:t>
      </w:r>
      <w:r w:rsidR="00240910">
        <w:rPr/>
        <w:t>rulings about privacy, the Supreme Court connect</w:t>
      </w:r>
      <w:r w:rsidR="00240910">
        <w:rPr/>
        <w:t>ed</w:t>
      </w:r>
      <w:r w:rsidR="00240910">
        <w:rPr/>
        <w:t xml:space="preserve"> the right to privacy to </w:t>
      </w:r>
      <w:r w:rsidR="00240910">
        <w:rPr/>
        <w:t xml:space="preserve">particular </w:t>
      </w:r>
      <w:r w:rsidR="00240910">
        <w:rPr/>
        <w:t>location</w:t>
      </w:r>
      <w:r w:rsidR="00240910">
        <w:rPr/>
        <w:t>s</w:t>
      </w:r>
      <w:r w:rsidR="00240910">
        <w:rPr/>
        <w:t>, with emphasis on a person’s home</w:t>
      </w:r>
      <w:r w:rsidR="00240910">
        <w:rPr/>
        <w:t xml:space="preserve"> as a private space where the government could not intrude without a warrant</w:t>
      </w:r>
      <w:r w:rsidR="00240910">
        <w:rPr/>
        <w:t>.</w:t>
      </w:r>
      <w:r w:rsidR="00240910">
        <w:rPr/>
        <w:t xml:space="preserve"> </w:t>
      </w:r>
      <w:r w:rsidR="00240910">
        <w:rPr/>
        <w:t>During the 21</w:t>
      </w:r>
      <w:r w:rsidRPr="7F707213" w:rsidR="00240910">
        <w:rPr>
          <w:vertAlign w:val="superscript"/>
        </w:rPr>
        <w:t>st</w:t>
      </w:r>
      <w:r w:rsidR="00240910">
        <w:rPr/>
        <w:t xml:space="preserve"> century, the Court began interpreting the Constitution, including the Due Process Clause of the 14</w:t>
      </w:r>
      <w:r w:rsidRPr="7F707213" w:rsidR="00240910">
        <w:rPr>
          <w:vertAlign w:val="superscript"/>
        </w:rPr>
        <w:t>th</w:t>
      </w:r>
      <w:r w:rsidR="00240910">
        <w:rPr/>
        <w:t xml:space="preserve"> Amendment, as providing a broader right to privacy protecting people as well as places.</w:t>
      </w:r>
      <w:r w:rsidR="00240910">
        <w:rPr/>
        <w:t xml:space="preserve"> Over </w:t>
      </w:r>
      <w:r w:rsidR="00974491">
        <w:rPr/>
        <w:t>time,</w:t>
      </w:r>
      <w:r w:rsidR="00240910">
        <w:rPr/>
        <w:t xml:space="preserve"> the Court interpreted this right to privacy to include decisions about child rearing, marriage, and birth control. This is a case about whether that constitutionally protected right to privacy includes the right to obtain an abortion. </w:t>
      </w:r>
    </w:p>
    <w:p w:rsidR="00240910" w:rsidP="00240910" w:rsidRDefault="00240910" w14:paraId="71304031" w14:textId="5DF79C82">
      <w:pPr>
        <w:pStyle w:val="Basiccopysl"/>
        <w:spacing w:line="276" w:lineRule="auto"/>
      </w:pPr>
      <w:r w:rsidR="00240910">
        <w:rPr/>
        <w:t xml:space="preserve">In the </w:t>
      </w:r>
      <w:r w:rsidR="00240910">
        <w:rPr/>
        <w:t>19</w:t>
      </w:r>
      <w:r w:rsidRPr="7F707213" w:rsidR="00240910">
        <w:rPr>
          <w:vertAlign w:val="superscript"/>
        </w:rPr>
        <w:t>th</w:t>
      </w:r>
      <w:r w:rsidR="00240910">
        <w:rPr/>
        <w:t xml:space="preserve"> </w:t>
      </w:r>
      <w:r w:rsidR="00240910">
        <w:rPr/>
        <w:t xml:space="preserve">and </w:t>
      </w:r>
      <w:r w:rsidR="00240910">
        <w:rPr/>
        <w:t>early 20</w:t>
      </w:r>
      <w:r w:rsidRPr="7F707213" w:rsidR="00240910">
        <w:rPr>
          <w:vertAlign w:val="superscript"/>
        </w:rPr>
        <w:t>th</w:t>
      </w:r>
      <w:r w:rsidR="00240910">
        <w:rPr/>
        <w:t xml:space="preserve"> centur</w:t>
      </w:r>
      <w:r w:rsidR="00240910">
        <w:rPr/>
        <w:t>ies</w:t>
      </w:r>
      <w:r w:rsidR="00240910">
        <w:rPr/>
        <w:t xml:space="preserve">, </w:t>
      </w:r>
      <w:r w:rsidR="00974491">
        <w:rPr/>
        <w:t>many</w:t>
      </w:r>
      <w:r w:rsidR="00974491">
        <w:rPr/>
        <w:t xml:space="preserve"> </w:t>
      </w:r>
      <w:r w:rsidR="00240910">
        <w:rPr/>
        <w:t xml:space="preserve">states adopted laws </w:t>
      </w:r>
      <w:r w:rsidR="00240910">
        <w:rPr/>
        <w:t xml:space="preserve">banning or </w:t>
      </w:r>
      <w:r w:rsidR="00240910">
        <w:rPr/>
        <w:t xml:space="preserve">strictly regulating </w:t>
      </w:r>
      <w:r w:rsidR="00240910">
        <w:rPr/>
        <w:t>abortion. </w:t>
      </w:r>
      <w:r w:rsidR="00974491">
        <w:rPr/>
        <w:t xml:space="preserve">Because </w:t>
      </w:r>
      <w:r w:rsidR="00974491">
        <w:rPr/>
        <w:t>m</w:t>
      </w:r>
      <w:r w:rsidR="00240910">
        <w:rPr/>
        <w:t xml:space="preserve">any people felt that abortion was morally or religiously wrong, </w:t>
      </w:r>
      <w:r w:rsidR="00974491">
        <w:rPr/>
        <w:t>most</w:t>
      </w:r>
      <w:r w:rsidR="00240910">
        <w:rPr/>
        <w:t xml:space="preserve"> states outlawed abortion except in cases where the </w:t>
      </w:r>
      <w:r w:rsidR="00974491">
        <w:rPr/>
        <w:t xml:space="preserve">pregnant person’s </w:t>
      </w:r>
      <w:r w:rsidR="00240910">
        <w:rPr/>
        <w:t>life was in jeopardy. But i</w:t>
      </w:r>
      <w:r w:rsidR="00240910">
        <w:rPr/>
        <w:t xml:space="preserve">llegal abortions were widespread and often dangerous </w:t>
      </w:r>
      <w:r w:rsidR="00240910">
        <w:rPr/>
        <w:t>because they were performed in unsanitary conditions.</w:t>
      </w:r>
      <w:r w:rsidR="00240910">
        <w:rPr/>
        <w:t xml:space="preserve"> Wealthier </w:t>
      </w:r>
      <w:r w:rsidR="00974491">
        <w:rPr/>
        <w:t>people</w:t>
      </w:r>
      <w:r w:rsidR="00974491">
        <w:rPr/>
        <w:t xml:space="preserve"> </w:t>
      </w:r>
      <w:r w:rsidR="00240910">
        <w:rPr/>
        <w:t xml:space="preserve">could travel to states or other countries with looser laws to obtain abortions, while poorer </w:t>
      </w:r>
      <w:r w:rsidR="00974491">
        <w:rPr/>
        <w:t>people</w:t>
      </w:r>
      <w:r w:rsidR="00974491">
        <w:rPr/>
        <w:t xml:space="preserve"> </w:t>
      </w:r>
      <w:r w:rsidR="00240910">
        <w:rPr/>
        <w:t xml:space="preserve">often did not have that </w:t>
      </w:r>
      <w:r w:rsidR="00240910">
        <w:rPr/>
        <w:t>option</w:t>
      </w:r>
      <w:r w:rsidR="00240910">
        <w:rPr/>
        <w:t xml:space="preserve">. In the 1960s, a movement to make abortion legal gained ground. The movement advocated for changes in state laws (and four states did repeal their bans) and brought cases in courts challenging the abortion bans as unconstitutional. </w:t>
      </w:r>
    </w:p>
    <w:p w:rsidRPr="00EB0390" w:rsidR="00240910" w:rsidP="00240910" w:rsidRDefault="00240910" w14:paraId="631B8E56" w14:textId="77777777">
      <w:pPr>
        <w:pStyle w:val="Subhead2sl"/>
        <w:rPr>
          <w:rFonts w:eastAsia="Times New Roman" w:cs="Calibri"/>
          <w:color w:val="222222"/>
        </w:rPr>
      </w:pPr>
      <w:r w:rsidRPr="00EB0390">
        <w:t>Facts</w:t>
      </w:r>
    </w:p>
    <w:p w:rsidRPr="00E5000B" w:rsidR="00240910" w:rsidP="00240910" w:rsidRDefault="00240910" w14:paraId="333060DE" w14:textId="5064AFF2">
      <w:pPr>
        <w:pStyle w:val="Basiccopysl"/>
        <w:spacing w:line="276" w:lineRule="auto"/>
      </w:pPr>
      <w:r w:rsidR="00240910">
        <w:rPr/>
        <w:t>In 1969, a resident of Texas known as Jane Roe (</w:t>
      </w:r>
      <w:r w:rsidR="00240910">
        <w:rPr/>
        <w:t>a pseudonym used to protect her identity</w:t>
      </w:r>
      <w:r w:rsidR="00240910">
        <w:rPr/>
        <w:t xml:space="preserve">) wanted to </w:t>
      </w:r>
      <w:r w:rsidR="00240910">
        <w:rPr/>
        <w:t>terminate</w:t>
      </w:r>
      <w:r w:rsidR="00240910">
        <w:rPr/>
        <w:t xml:space="preserve"> her pregnancy. </w:t>
      </w:r>
      <w:r w:rsidR="00240910">
        <w:rPr/>
        <w:t>Texas law made it a felony</w:t>
      </w:r>
      <w:r w:rsidR="00240910">
        <w:rPr/>
        <w:t xml:space="preserve"> (serious crime)</w:t>
      </w:r>
      <w:r w:rsidR="00240910">
        <w:rPr/>
        <w:t xml:space="preserve"> to abort a fetus unless “on medical advice for the purpose of s</w:t>
      </w:r>
      <w:r w:rsidR="00240910">
        <w:rPr/>
        <w:t>aving the life of the mother.” </w:t>
      </w:r>
      <w:r w:rsidR="00240910">
        <w:rPr/>
        <w:t>Roe</w:t>
      </w:r>
      <w:r w:rsidR="00240910">
        <w:rPr/>
        <w:t xml:space="preserve"> and her attorneys</w:t>
      </w:r>
      <w:r w:rsidR="00240910">
        <w:rPr/>
        <w:t xml:space="preserve"> filed </w:t>
      </w:r>
      <w:r w:rsidR="00240910">
        <w:rPr/>
        <w:t>a law</w:t>
      </w:r>
      <w:r w:rsidR="00240910">
        <w:rPr/>
        <w:t xml:space="preserve">suit </w:t>
      </w:r>
      <w:r w:rsidR="00240910">
        <w:rPr/>
        <w:t xml:space="preserve">on behalf of her and all other </w:t>
      </w:r>
      <w:r w:rsidR="00974491">
        <w:rPr/>
        <w:t>people</w:t>
      </w:r>
      <w:r w:rsidR="00974491">
        <w:rPr/>
        <w:t xml:space="preserve"> </w:t>
      </w:r>
      <w:r w:rsidR="00240910">
        <w:rPr/>
        <w:t xml:space="preserve">who were or might </w:t>
      </w:r>
      <w:r w:rsidR="00240910">
        <w:rPr/>
        <w:t>become</w:t>
      </w:r>
      <w:r w:rsidR="00240910">
        <w:rPr/>
        <w:t xml:space="preserve"> pregnant and </w:t>
      </w:r>
      <w:r w:rsidR="00240910">
        <w:rPr/>
        <w:t>seek</w:t>
      </w:r>
      <w:r w:rsidR="00240910">
        <w:rPr/>
        <w:t xml:space="preserve"> abortions. The lawsuit was filed against Henry</w:t>
      </w:r>
      <w:r w:rsidR="00240910">
        <w:rPr/>
        <w:t xml:space="preserve"> Wade, the district attorney of Dallas County, Texas</w:t>
      </w:r>
      <w:r w:rsidR="00240910">
        <w:rPr/>
        <w:t>, and claimed that the state law violated the U.S. Constitution</w:t>
      </w:r>
      <w:r w:rsidR="00240910">
        <w:rPr/>
        <w:t>.</w:t>
      </w:r>
    </w:p>
    <w:p w:rsidRPr="00E34DD4" w:rsidR="00240910" w:rsidP="00240910" w:rsidRDefault="00240910" w14:paraId="62010681" w14:textId="77777777">
      <w:pPr>
        <w:pStyle w:val="Basiccopysl"/>
        <w:spacing w:line="276" w:lineRule="auto"/>
      </w:pPr>
      <w:r w:rsidRPr="00E5000B">
        <w:t xml:space="preserve">A three-judge federal </w:t>
      </w:r>
      <w:r>
        <w:t>D</w:t>
      </w:r>
      <w:r w:rsidRPr="00E5000B">
        <w:t xml:space="preserve">istrict </w:t>
      </w:r>
      <w:r>
        <w:t>C</w:t>
      </w:r>
      <w:r w:rsidRPr="00E5000B">
        <w:t>ourt ruled the Texas abortion law unconstitutional</w:t>
      </w:r>
      <w:r>
        <w:t xml:space="preserve"> under the Ninth Amendment</w:t>
      </w:r>
      <w:r w:rsidRPr="00E5000B">
        <w:t xml:space="preserve">, </w:t>
      </w:r>
      <w:r>
        <w:t xml:space="preserve">which states that </w:t>
      </w:r>
      <w:r w:rsidRPr="001602D3">
        <w:rPr>
          <w:rFonts w:cs="Arial"/>
          <w:shd w:val="clear" w:color="auto" w:fill="FFFFFF"/>
        </w:rPr>
        <w:t>“</w:t>
      </w:r>
      <w:r>
        <w:rPr>
          <w:rFonts w:cs="Arial"/>
          <w:shd w:val="clear" w:color="auto" w:fill="FFFFFF"/>
        </w:rPr>
        <w:t>[t]</w:t>
      </w:r>
      <w:r w:rsidRPr="001602D3">
        <w:rPr>
          <w:rFonts w:cs="Arial"/>
          <w:shd w:val="clear" w:color="auto" w:fill="FFFFFF"/>
        </w:rPr>
        <w:t xml:space="preserve">he enumeration in the Constitution, of certain rights, shall not be </w:t>
      </w:r>
      <w:r w:rsidRPr="001602D3">
        <w:rPr>
          <w:rFonts w:cs="Arial"/>
          <w:shd w:val="clear" w:color="auto" w:fill="FFFFFF"/>
        </w:rPr>
        <w:t>construed to deny or disparage others retained by the people.”</w:t>
      </w:r>
      <w:r>
        <w:rPr>
          <w:rFonts w:cs="Arial"/>
          <w:shd w:val="clear" w:color="auto" w:fill="FFFFFF"/>
        </w:rPr>
        <w:t xml:space="preserve"> In particular, the District Court concluded that “[t]</w:t>
      </w:r>
      <w:r w:rsidRPr="00E33238">
        <w:rPr>
          <w:rFonts w:cs="Arial"/>
          <w:shd w:val="clear" w:color="auto" w:fill="FFFFFF"/>
          <w:lang w:val="en"/>
        </w:rPr>
        <w:t>he fundamental right of single women and married persons to choose whether to have children is protected by the Ninth Amendment,</w:t>
      </w:r>
      <w:r>
        <w:rPr>
          <w:rFonts w:cs="Arial"/>
          <w:shd w:val="clear" w:color="auto" w:fill="FFFFFF"/>
          <w:lang w:val="en"/>
        </w:rPr>
        <w:t xml:space="preserve">” which applies to the states </w:t>
      </w:r>
      <w:r w:rsidRPr="00E33238">
        <w:rPr>
          <w:rFonts w:cs="Arial"/>
          <w:shd w:val="clear" w:color="auto" w:fill="FFFFFF"/>
          <w:lang w:val="en"/>
        </w:rPr>
        <w:t xml:space="preserve">through the </w:t>
      </w:r>
      <w:r>
        <w:rPr>
          <w:rFonts w:cs="Arial"/>
          <w:shd w:val="clear" w:color="auto" w:fill="FFFFFF"/>
          <w:lang w:val="en"/>
        </w:rPr>
        <w:t>14</w:t>
      </w:r>
      <w:r w:rsidRPr="001B7A82">
        <w:rPr>
          <w:rFonts w:cs="Arial"/>
          <w:shd w:val="clear" w:color="auto" w:fill="FFFFFF"/>
          <w:vertAlign w:val="superscript"/>
          <w:lang w:val="en"/>
        </w:rPr>
        <w:t>th</w:t>
      </w:r>
      <w:r w:rsidRPr="00E33238">
        <w:rPr>
          <w:rFonts w:cs="Arial"/>
          <w:shd w:val="clear" w:color="auto" w:fill="FFFFFF"/>
          <w:lang w:val="en"/>
        </w:rPr>
        <w:t xml:space="preserve"> Amendment.</w:t>
      </w:r>
      <w:r>
        <w:rPr>
          <w:rFonts w:cs="Arial"/>
          <w:shd w:val="clear" w:color="auto" w:fill="FFFFFF"/>
          <w:lang w:val="en"/>
        </w:rPr>
        <w:t xml:space="preserve"> </w:t>
      </w:r>
      <w:r>
        <w:t>T</w:t>
      </w:r>
      <w:r w:rsidRPr="00E5000B">
        <w:t>he case was then appealed directly to the U.S. Supreme Court</w:t>
      </w:r>
      <w:r>
        <w:t>, which agreed to hear it.</w:t>
      </w:r>
    </w:p>
    <w:p w:rsidRPr="001602D3" w:rsidR="00240910" w:rsidP="00240910" w:rsidRDefault="00240910" w14:paraId="5C63653E" w14:textId="77777777">
      <w:pPr>
        <w:pStyle w:val="Subhead2sl"/>
        <w:rPr>
          <w:rFonts w:eastAsia="Times New Roman" w:cs="Calibri"/>
          <w:color w:val="222222"/>
        </w:rPr>
      </w:pPr>
      <w:r w:rsidRPr="001602D3">
        <w:t>Issue</w:t>
      </w:r>
    </w:p>
    <w:p w:rsidR="00240910" w:rsidP="7F707213" w:rsidRDefault="00240910" w14:paraId="6C2FE851" w14:textId="06179505">
      <w:pPr>
        <w:pStyle w:val="Basiccopysl"/>
        <w:spacing w:line="276" w:lineRule="auto"/>
        <w:rPr>
          <w:b w:val="1"/>
          <w:bCs w:val="1"/>
          <w:i w:val="1"/>
          <w:iCs w:val="1"/>
        </w:rPr>
      </w:pPr>
      <w:r w:rsidR="00240910">
        <w:rPr/>
        <w:t xml:space="preserve">Does </w:t>
      </w:r>
      <w:r w:rsidR="00240910">
        <w:rPr/>
        <w:t xml:space="preserve">the U.S. Constitution protect the right of a </w:t>
      </w:r>
      <w:r w:rsidR="00974491">
        <w:rPr/>
        <w:t>person</w:t>
      </w:r>
      <w:r w:rsidR="00974491">
        <w:rPr/>
        <w:t xml:space="preserve"> </w:t>
      </w:r>
      <w:r w:rsidR="00240910">
        <w:rPr/>
        <w:t xml:space="preserve">to obtain an abortion? </w:t>
      </w:r>
    </w:p>
    <w:p w:rsidRPr="00497159" w:rsidR="00240910" w:rsidP="7F707213" w:rsidRDefault="00240910" w14:paraId="04F061BE" w14:textId="77777777" w14:noSpellErr="1">
      <w:pPr>
        <w:pStyle w:val="Subhead2sl"/>
        <w:spacing w:before="360"/>
      </w:pPr>
      <w:r w:rsidR="00240910">
        <w:rPr/>
        <w:t xml:space="preserve">Constitutional Amendments and </w:t>
      </w:r>
      <w:r w:rsidR="00240910">
        <w:rPr/>
        <w:t xml:space="preserve">Supreme Court </w:t>
      </w:r>
      <w:r w:rsidR="00240910">
        <w:rPr/>
        <w:t>Precedents</w:t>
      </w:r>
    </w:p>
    <w:p w:rsidRPr="00497159" w:rsidR="00240910" w:rsidP="00240910" w:rsidRDefault="00240910" w14:paraId="14E2624F" w14:textId="77777777">
      <w:pPr>
        <w:pStyle w:val="Bulletsl"/>
        <w:spacing w:before="240" w:line="276" w:lineRule="auto"/>
        <w:rPr>
          <w:b/>
        </w:rPr>
      </w:pPr>
      <w:r w:rsidRPr="00497159">
        <w:rPr>
          <w:b/>
        </w:rPr>
        <w:t xml:space="preserve">Ninth Amendment to the U.S. Constitution </w:t>
      </w:r>
    </w:p>
    <w:p w:rsidRPr="001602D3" w:rsidR="00240910" w:rsidP="00240910" w:rsidRDefault="00240910" w14:paraId="4BE23196" w14:textId="77777777">
      <w:pPr>
        <w:pStyle w:val="Basiccopysl"/>
        <w:spacing w:line="276" w:lineRule="auto"/>
        <w:ind w:left="720"/>
      </w:pPr>
      <w:r w:rsidRPr="001602D3">
        <w:rPr>
          <w:shd w:val="clear" w:color="auto" w:fill="FFFFFF"/>
        </w:rPr>
        <w:t>“The enumeration in the Constitution, of certain rights, shall not be construed to deny or disparage others retained by the people.”</w:t>
      </w:r>
    </w:p>
    <w:p w:rsidRPr="00497159" w:rsidR="00240910" w:rsidP="00240910" w:rsidRDefault="00240910" w14:paraId="3F952CDF" w14:textId="77777777">
      <w:pPr>
        <w:pStyle w:val="Bulletsl"/>
        <w:spacing w:before="240" w:line="276" w:lineRule="auto"/>
        <w:rPr>
          <w:b/>
        </w:rPr>
      </w:pPr>
      <w:r>
        <w:rPr>
          <w:b/>
        </w:rPr>
        <w:t>14</w:t>
      </w:r>
      <w:r w:rsidRPr="00497159">
        <w:rPr>
          <w:b/>
          <w:vertAlign w:val="superscript"/>
        </w:rPr>
        <w:t>th</w:t>
      </w:r>
      <w:r>
        <w:rPr>
          <w:b/>
        </w:rPr>
        <w:t xml:space="preserve"> Amendment to the </w:t>
      </w:r>
      <w:r w:rsidRPr="00497159">
        <w:rPr>
          <w:b/>
        </w:rPr>
        <w:t>U.S. Constitution</w:t>
      </w:r>
    </w:p>
    <w:p w:rsidRPr="00497159" w:rsidR="00240910" w:rsidP="00240910" w:rsidRDefault="00240910" w14:paraId="58E737A2" w14:textId="77777777">
      <w:pPr>
        <w:pStyle w:val="Basiccopysl"/>
        <w:spacing w:line="276" w:lineRule="auto"/>
        <w:ind w:left="720"/>
        <w:rPr>
          <w:shd w:val="clear" w:color="auto" w:fill="FFFFFF"/>
        </w:rPr>
      </w:pPr>
      <w:r w:rsidRPr="00497159">
        <w:rPr>
          <w:shd w:val="clear" w:color="auto" w:fill="FFFFFF"/>
        </w:rPr>
        <w:t xml:space="preserve">“No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w:t>
      </w:r>
    </w:p>
    <w:p w:rsidRPr="00DD5CCF" w:rsidR="00240910" w:rsidP="00240910" w:rsidRDefault="00240910" w14:paraId="394E2CC6" w14:textId="77777777">
      <w:pPr>
        <w:pStyle w:val="Bulletsl"/>
        <w:spacing w:before="240" w:line="276" w:lineRule="auto"/>
        <w:rPr>
          <w:bCs/>
        </w:rPr>
      </w:pPr>
      <w:r w:rsidRPr="00DD5CCF">
        <w:rPr>
          <w:bCs/>
          <w:i/>
        </w:rPr>
        <w:t>Griswold v. Connecticut</w:t>
      </w:r>
      <w:r w:rsidRPr="00DD5CCF">
        <w:rPr>
          <w:bCs/>
        </w:rPr>
        <w:t xml:space="preserve"> (1965)</w:t>
      </w:r>
    </w:p>
    <w:p w:rsidRPr="00497159" w:rsidR="00240910" w:rsidP="00240910" w:rsidRDefault="00240910" w14:paraId="0718897D" w14:textId="77777777">
      <w:pPr>
        <w:pStyle w:val="Basiccopysl"/>
        <w:spacing w:line="276" w:lineRule="auto"/>
        <w:ind w:left="720"/>
        <w:rPr>
          <w:shd w:val="clear" w:color="auto" w:fill="FFFFFF"/>
        </w:rPr>
      </w:pPr>
      <w:r w:rsidRPr="00497159">
        <w:rPr>
          <w:shd w:val="clear" w:color="auto" w:fill="FFFFFF"/>
        </w:rPr>
        <w:t xml:space="preserve">A married couple sought advice about contraception from </w:t>
      </w:r>
      <w:r>
        <w:rPr>
          <w:shd w:val="clear" w:color="auto" w:fill="FFFFFF"/>
        </w:rPr>
        <w:t xml:space="preserve">a </w:t>
      </w:r>
      <w:r w:rsidRPr="00497159">
        <w:rPr>
          <w:shd w:val="clear" w:color="auto" w:fill="FFFFFF"/>
        </w:rPr>
        <w:t>Planned Parenthood employee</w:t>
      </w:r>
      <w:r>
        <w:rPr>
          <w:shd w:val="clear" w:color="auto" w:fill="FFFFFF"/>
        </w:rPr>
        <w:t xml:space="preserve"> named </w:t>
      </w:r>
      <w:r w:rsidRPr="00497159">
        <w:rPr>
          <w:shd w:val="clear" w:color="auto" w:fill="FFFFFF"/>
        </w:rPr>
        <w:t>Griswold. Connecticut law criminalized provi</w:t>
      </w:r>
      <w:r>
        <w:rPr>
          <w:shd w:val="clear" w:color="auto" w:fill="FFFFFF"/>
        </w:rPr>
        <w:t xml:space="preserve">ding </w:t>
      </w:r>
      <w:r w:rsidRPr="00497159">
        <w:rPr>
          <w:shd w:val="clear" w:color="auto" w:fill="FFFFFF"/>
        </w:rPr>
        <w:t>counseling to married people for the purpose of preventing conception. The Supreme Court ruled that the Connecticut law violated the Constitution because it invaded the privacy of married couples to make decisions about their families. The Court identified privacy as an important value, fundamental to the American way of life and to the other basic rights outlined in the Bill of Rights (including the First, Third, Fourth, and Ninth Amendments). Seven years later, the Court decided a case that extended access to contraception to unmarried persons, as well.</w:t>
      </w:r>
    </w:p>
    <w:p w:rsidRPr="00DD5CCF" w:rsidR="00240910" w:rsidP="00240910" w:rsidRDefault="00240910" w14:paraId="535F46EB" w14:textId="77777777">
      <w:pPr>
        <w:pStyle w:val="Bulletsl"/>
        <w:spacing w:before="240" w:line="276" w:lineRule="auto"/>
        <w:rPr>
          <w:bCs/>
          <w:i/>
        </w:rPr>
      </w:pPr>
      <w:r w:rsidRPr="00DD5CCF">
        <w:rPr>
          <w:bCs/>
          <w:i/>
        </w:rPr>
        <w:t xml:space="preserve">United States v. </w:t>
      </w:r>
      <w:proofErr w:type="spellStart"/>
      <w:r w:rsidRPr="00DD5CCF">
        <w:rPr>
          <w:bCs/>
          <w:i/>
        </w:rPr>
        <w:t>Vuitch</w:t>
      </w:r>
      <w:proofErr w:type="spellEnd"/>
      <w:r w:rsidRPr="00DD5CCF">
        <w:rPr>
          <w:bCs/>
          <w:i/>
        </w:rPr>
        <w:t xml:space="preserve"> </w:t>
      </w:r>
      <w:r w:rsidRPr="00DD5CCF">
        <w:rPr>
          <w:bCs/>
        </w:rPr>
        <w:t>(1971)</w:t>
      </w:r>
    </w:p>
    <w:p w:rsidRPr="00497159" w:rsidR="00240910" w:rsidP="00240910" w:rsidRDefault="00240910" w14:paraId="09307C4B" w14:textId="07E83599">
      <w:pPr>
        <w:pStyle w:val="Basiccopysl"/>
        <w:spacing w:line="276" w:lineRule="auto"/>
        <w:ind w:left="720"/>
        <w:rPr>
          <w:shd w:val="clear" w:color="auto" w:fill="FFFFFF"/>
        </w:rPr>
      </w:pPr>
      <w:r w:rsidRPr="00497159" w:rsidR="00240910">
        <w:rPr>
          <w:shd w:val="clear" w:color="auto" w:fill="FFFFFF"/>
        </w:rPr>
        <w:t xml:space="preserve">Washington, DC, had a law that prohibited abortions unless a </w:t>
      </w:r>
      <w:r w:rsidR="00974491">
        <w:rPr>
          <w:shd w:val="clear" w:color="auto" w:fill="FFFFFF"/>
        </w:rPr>
        <w:t xml:space="preserve">person’s </w:t>
      </w:r>
      <w:r w:rsidRPr="00497159" w:rsidR="00240910">
        <w:rPr>
          <w:shd w:val="clear" w:color="auto" w:fill="FFFFFF"/>
        </w:rPr>
        <w:t>life or health was endangered</w:t>
      </w:r>
      <w:r w:rsidR="00240910">
        <w:rPr>
          <w:shd w:val="clear" w:color="auto" w:fill="FFFFFF"/>
        </w:rPr>
        <w:t xml:space="preserve"> by </w:t>
      </w:r>
      <w:r w:rsidR="00240910">
        <w:rPr>
          <w:shd w:val="clear" w:color="auto" w:fill="FFFFFF"/>
        </w:rPr>
        <w:t xml:space="preserve">the pregnancy</w:t>
      </w:r>
      <w:r w:rsidRPr="00497159" w:rsidR="00240910">
        <w:rPr>
          <w:shd w:val="clear" w:color="auto" w:fill="FFFFFF"/>
        </w:rPr>
        <w:t xml:space="preserve">. Dr. </w:t>
      </w:r>
      <w:r w:rsidRPr="00497159" w:rsidR="00240910">
        <w:rPr>
          <w:shd w:val="clear" w:color="auto" w:fill="FFFFFF"/>
        </w:rPr>
        <w:t>Vuitch</w:t>
      </w:r>
      <w:r w:rsidRPr="00497159" w:rsidR="00240910">
        <w:rPr>
          <w:shd w:val="clear" w:color="auto" w:fill="FFFFFF"/>
        </w:rPr>
        <w:t xml:space="preserve"> was arrested for violating that law, and he argued that only a doctor (not a prosecutor) could </w:t>
      </w:r>
      <w:r w:rsidRPr="00497159" w:rsidR="00240910">
        <w:rPr>
          <w:shd w:val="clear" w:color="auto" w:fill="FFFFFF"/>
        </w:rPr>
        <w:t xml:space="preserve">determine</w:t>
      </w:r>
      <w:r w:rsidRPr="00497159" w:rsidR="00240910">
        <w:rPr>
          <w:shd w:val="clear" w:color="auto" w:fill="FFFFFF"/>
        </w:rPr>
        <w:t xml:space="preserve"> whether an abortion was necessary to protect a </w:t>
      </w:r>
      <w:r w:rsidR="00974491">
        <w:rPr>
          <w:shd w:val="clear" w:color="auto" w:fill="FFFFFF"/>
        </w:rPr>
        <w:t>person’s</w:t>
      </w:r>
      <w:r w:rsidRPr="00497159" w:rsidR="00974491">
        <w:rPr>
          <w:shd w:val="clear" w:color="auto" w:fill="FFFFFF"/>
        </w:rPr>
        <w:t xml:space="preserve"> </w:t>
      </w:r>
      <w:r w:rsidRPr="00497159" w:rsidR="00240910">
        <w:rPr>
          <w:shd w:val="clear" w:color="auto" w:fill="FFFFFF"/>
        </w:rPr>
        <w:t>life or health. The Supreme Court did not overturn the D</w:t>
      </w:r>
      <w:r w:rsidR="00974491">
        <w:rPr>
          <w:shd w:val="clear" w:color="auto" w:fill="FFFFFF"/>
        </w:rPr>
        <w:t>istrict of Columbi</w:t>
      </w:r>
      <w:r w:rsidR="00974491">
        <w:rPr>
          <w:shd w:val="clear" w:color="auto" w:fill="FFFFFF"/>
        </w:rPr>
        <w:t>a</w:t>
      </w:r>
      <w:r w:rsidRPr="00497159" w:rsidR="00240910">
        <w:rPr>
          <w:shd w:val="clear" w:color="auto" w:fill="FFFFFF"/>
        </w:rPr>
        <w:t xml:space="preserve"> law</w:t>
      </w:r>
      <w:r w:rsidR="00240910">
        <w:rPr>
          <w:shd w:val="clear" w:color="auto" w:fill="FFFFFF"/>
        </w:rPr>
        <w:t>. Instead</w:t>
      </w:r>
      <w:r w:rsidR="00974491">
        <w:rPr>
          <w:shd w:val="clear" w:color="auto" w:fill="FFFFFF"/>
        </w:rPr>
        <w:t>,</w:t>
      </w:r>
      <w:r w:rsidR="00240910">
        <w:rPr>
          <w:shd w:val="clear" w:color="auto" w:fill="FFFFFF"/>
        </w:rPr>
        <w:t xml:space="preserve"> it r</w:t>
      </w:r>
      <w:r w:rsidRPr="00497159" w:rsidR="00240910">
        <w:rPr>
          <w:shd w:val="clear" w:color="auto" w:fill="FFFFFF"/>
        </w:rPr>
        <w:t xml:space="preserve">uled that “health” should include both psychological and physical well-being. </w:t>
      </w:r>
    </w:p>
    <w:p w:rsidRPr="00497159" w:rsidR="00240910" w:rsidP="00240910" w:rsidRDefault="00240910" w14:paraId="241CF156" w14:textId="77777777">
      <w:pPr>
        <w:pStyle w:val="Subhead2sl"/>
      </w:pPr>
      <w:r w:rsidRPr="00497159">
        <w:t xml:space="preserve">Arguments for Roe </w:t>
      </w:r>
    </w:p>
    <w:p w:rsidRPr="003D5F0D" w:rsidR="00240910" w:rsidP="00240910" w:rsidRDefault="00240910" w14:paraId="05632A8A" w14:textId="57431F42">
      <w:pPr>
        <w:pStyle w:val="Bulletsl"/>
        <w:spacing w:line="276" w:lineRule="auto"/>
        <w:rPr/>
      </w:pPr>
      <w:r w:rsidR="00240910">
        <w:rPr/>
        <w:t xml:space="preserve">A </w:t>
      </w:r>
      <w:r w:rsidR="001B021E">
        <w:rPr/>
        <w:t>person</w:t>
      </w:r>
      <w:r w:rsidR="001B021E">
        <w:rPr/>
        <w:t xml:space="preserve">’s </w:t>
      </w:r>
      <w:r w:rsidR="00240910">
        <w:rPr/>
        <w:t>right to privacy is implicitly guaranteed in the First, Fourth, Fifth, Ninth, and 14</w:t>
      </w:r>
      <w:r w:rsidRPr="7F707213" w:rsidR="00240910">
        <w:rPr>
          <w:vertAlign w:val="superscript"/>
        </w:rPr>
        <w:t>th</w:t>
      </w:r>
      <w:r w:rsidR="00240910">
        <w:rPr/>
        <w:t xml:space="preserve"> Amendments. As the Court ruled in </w:t>
      </w:r>
      <w:r w:rsidRPr="7F707213" w:rsidR="00240910">
        <w:rPr>
          <w:i w:val="1"/>
          <w:iCs w:val="1"/>
        </w:rPr>
        <w:t>Griswold</w:t>
      </w:r>
      <w:r w:rsidR="00240910">
        <w:rPr/>
        <w:t>, there are certain matters—including the decision about whether to have a child—that are individual decisions protected by the Constitution.</w:t>
      </w:r>
    </w:p>
    <w:p w:rsidRPr="003D5F0D" w:rsidR="00240910" w:rsidP="00240910" w:rsidRDefault="00240910" w14:paraId="4863AFBF" w14:textId="5731F903">
      <w:pPr>
        <w:pStyle w:val="Bulletsl"/>
        <w:spacing w:line="276" w:lineRule="auto"/>
        <w:rPr/>
      </w:pPr>
      <w:r w:rsidR="00240910">
        <w:rPr/>
        <w:t>U</w:t>
      </w:r>
      <w:r w:rsidR="00240910">
        <w:rPr/>
        <w:t xml:space="preserve">nwanted pregnancies </w:t>
      </w:r>
      <w:r w:rsidR="00240910">
        <w:rPr/>
        <w:t xml:space="preserve">can have </w:t>
      </w:r>
      <w:r w:rsidR="00240910">
        <w:rPr/>
        <w:t xml:space="preserve">a major impact on </w:t>
      </w:r>
      <w:r w:rsidR="001B021E">
        <w:rPr/>
        <w:t>people</w:t>
      </w:r>
      <w:r w:rsidR="001B021E">
        <w:rPr/>
        <w:t xml:space="preserve">’s </w:t>
      </w:r>
      <w:r w:rsidR="00240910">
        <w:rPr/>
        <w:t xml:space="preserve">lives. </w:t>
      </w:r>
      <w:r w:rsidR="00240910">
        <w:rPr/>
        <w:t xml:space="preserve">In the 1970s, </w:t>
      </w:r>
      <w:r w:rsidR="001B021E">
        <w:rPr/>
        <w:t xml:space="preserve">a person </w:t>
      </w:r>
      <w:r w:rsidR="001B021E">
        <w:rPr/>
        <w:t>c</w:t>
      </w:r>
      <w:r w:rsidR="00240910">
        <w:rPr/>
        <w:t>ould be asked to leave their job</w:t>
      </w:r>
      <w:r w:rsidR="00240910">
        <w:rPr/>
        <w:t xml:space="preserve"> if they became pregnant, and most employers did not </w:t>
      </w:r>
      <w:r w:rsidR="00240910">
        <w:rPr/>
        <w:t>provide</w:t>
      </w:r>
      <w:r w:rsidR="00240910">
        <w:rPr/>
        <w:t xml:space="preserve"> </w:t>
      </w:r>
      <w:r w:rsidR="001B021E">
        <w:rPr/>
        <w:t>parental</w:t>
      </w:r>
      <w:r w:rsidR="001B021E">
        <w:rPr/>
        <w:t xml:space="preserve"> </w:t>
      </w:r>
      <w:r w:rsidR="00240910">
        <w:rPr/>
        <w:t xml:space="preserve">leave. </w:t>
      </w:r>
      <w:r w:rsidR="001B021E">
        <w:rPr/>
        <w:t xml:space="preserve">A person </w:t>
      </w:r>
      <w:r w:rsidR="00240910">
        <w:rPr/>
        <w:t>could be endangering their career</w:t>
      </w:r>
      <w:r w:rsidR="00240910">
        <w:rPr/>
        <w:t xml:space="preserve"> or finances in addition to their psychological and physical health by being forced to carry a pregnancy to term. </w:t>
      </w:r>
    </w:p>
    <w:p w:rsidRPr="003D5F0D" w:rsidR="00240910" w:rsidP="00240910" w:rsidRDefault="00240910" w14:paraId="335A1465" w14:textId="5FF5D704">
      <w:pPr>
        <w:pStyle w:val="Bulletsl"/>
        <w:spacing w:line="276" w:lineRule="auto"/>
        <w:rPr/>
      </w:pPr>
      <w:r w:rsidR="001B021E">
        <w:rPr/>
        <w:t>People</w:t>
      </w:r>
      <w:r w:rsidR="001B021E">
        <w:rPr/>
        <w:t xml:space="preserve"> </w:t>
      </w:r>
      <w:r w:rsidR="00240910">
        <w:rPr/>
        <w:t>in Texas who wish</w:t>
      </w:r>
      <w:r w:rsidR="001B021E">
        <w:rPr/>
        <w:t>ed</w:t>
      </w:r>
      <w:r w:rsidR="00240910">
        <w:rPr/>
        <w:t xml:space="preserve"> to have an abortion </w:t>
      </w:r>
      <w:r w:rsidR="001B021E">
        <w:rPr/>
        <w:t xml:space="preserve">had to </w:t>
      </w:r>
      <w:r w:rsidR="00240910">
        <w:rPr/>
        <w:t xml:space="preserve">either travel to another state where abortion is legal or undergo an illegal abortion where conditions could be unsafe. Travel is costly and inconvenient, thus making access to a safe, legal abortion more difficult for poor </w:t>
      </w:r>
      <w:r w:rsidR="001B021E">
        <w:rPr/>
        <w:t>people</w:t>
      </w:r>
      <w:r w:rsidR="00240910">
        <w:rPr/>
        <w:t xml:space="preserve">. Illegal abortions put </w:t>
      </w:r>
      <w:r w:rsidR="001B021E">
        <w:rPr/>
        <w:t xml:space="preserve">people’s </w:t>
      </w:r>
      <w:r w:rsidR="00240910">
        <w:rPr/>
        <w:t>li</w:t>
      </w:r>
      <w:r w:rsidR="001B021E">
        <w:rPr/>
        <w:t>ves</w:t>
      </w:r>
      <w:r w:rsidR="00240910">
        <w:rPr/>
        <w:t>, health, and well-being at risk.</w:t>
      </w:r>
    </w:p>
    <w:p w:rsidRPr="003D5F0D" w:rsidR="00240910" w:rsidP="00240910" w:rsidRDefault="00240910" w14:paraId="21CD30A6" w14:textId="7859A043">
      <w:pPr>
        <w:pStyle w:val="Bulletsl"/>
        <w:spacing w:line="276" w:lineRule="auto"/>
        <w:rPr/>
      </w:pPr>
      <w:r w:rsidR="00240910">
        <w:rPr/>
        <w:t>The law criminalize</w:t>
      </w:r>
      <w:r w:rsidR="001B021E">
        <w:rPr/>
        <w:t>d</w:t>
      </w:r>
      <w:r w:rsidR="00240910">
        <w:rPr/>
        <w:t xml:space="preserve"> a safe medical procedure, and it </w:t>
      </w:r>
      <w:r w:rsidR="001B021E">
        <w:rPr/>
        <w:t xml:space="preserve">was </w:t>
      </w:r>
      <w:r w:rsidR="00240910">
        <w:rPr/>
        <w:t xml:space="preserve">too vague for doctors to know what they may or may not do. Doctors must </w:t>
      </w:r>
      <w:r w:rsidR="00240910">
        <w:rPr/>
        <w:t>determine</w:t>
      </w:r>
      <w:r w:rsidR="00240910">
        <w:rPr/>
        <w:t xml:space="preserve"> that a </w:t>
      </w:r>
      <w:r w:rsidR="001B021E">
        <w:rPr/>
        <w:t>p</w:t>
      </w:r>
      <w:r w:rsidR="001B021E">
        <w:rPr/>
        <w:t xml:space="preserve">regnant person’s </w:t>
      </w:r>
      <w:r w:rsidR="00240910">
        <w:rPr/>
        <w:t xml:space="preserve">life is at risk </w:t>
      </w:r>
      <w:r w:rsidR="00240910">
        <w:rPr/>
        <w:t>in order to</w:t>
      </w:r>
      <w:r w:rsidR="00240910">
        <w:rPr/>
        <w:t xml:space="preserve"> perform a legal abortion, and their decision and professional interpretation of “at risk” could land them in jail. </w:t>
      </w:r>
    </w:p>
    <w:p w:rsidRPr="003D5F0D" w:rsidR="00240910" w:rsidP="00240910" w:rsidRDefault="00240910" w14:paraId="57D00E7E" w14:textId="727DBE44">
      <w:pPr>
        <w:pStyle w:val="Bulletsl"/>
        <w:spacing w:line="276" w:lineRule="auto"/>
        <w:rPr/>
      </w:pPr>
      <w:r w:rsidR="00240910">
        <w:rPr/>
        <w:t xml:space="preserve">An unborn fetus is not legally recognized as a person and does not have rights equal to the </w:t>
      </w:r>
      <w:r w:rsidR="001B021E">
        <w:rPr/>
        <w:t>parent</w:t>
      </w:r>
      <w:r w:rsidR="00240910">
        <w:rPr/>
        <w:t>. Abortions were more common in the 19</w:t>
      </w:r>
      <w:r w:rsidRPr="7F707213" w:rsidR="00240910">
        <w:rPr>
          <w:vertAlign w:val="superscript"/>
        </w:rPr>
        <w:t>th</w:t>
      </w:r>
      <w:r w:rsidR="00240910">
        <w:rPr/>
        <w:t xml:space="preserve"> century, so </w:t>
      </w:r>
      <w:r w:rsidR="00240910">
        <w:rPr/>
        <w:t>it is clear that the</w:t>
      </w:r>
      <w:r w:rsidR="00240910">
        <w:rPr/>
        <w:t xml:space="preserve"> framers of the 14</w:t>
      </w:r>
      <w:r w:rsidRPr="7F707213" w:rsidR="00240910">
        <w:rPr>
          <w:vertAlign w:val="superscript"/>
        </w:rPr>
        <w:t>th</w:t>
      </w:r>
      <w:r w:rsidR="00240910">
        <w:rPr/>
        <w:t xml:space="preserve"> Amendment did not intend to include fetuses in the definition of “persons.” No Supreme Court case has </w:t>
      </w:r>
      <w:r w:rsidR="00240910">
        <w:rPr/>
        <w:t>established</w:t>
      </w:r>
      <w:r w:rsidR="00240910">
        <w:rPr/>
        <w:t xml:space="preserve"> that a fetus is legally a person and, therefore, entitled to constitutional rights. </w:t>
      </w:r>
    </w:p>
    <w:p w:rsidRPr="003D5F0D" w:rsidR="00240910" w:rsidP="7F707213" w:rsidRDefault="00240910" w14:paraId="63C8EED5" w14:textId="77777777" w14:noSpellErr="1">
      <w:pPr>
        <w:pStyle w:val="Subhead2sl"/>
        <w:spacing w:before="360"/>
      </w:pPr>
      <w:r w:rsidR="00240910">
        <w:rPr/>
        <w:t xml:space="preserve">Arguments for Wade </w:t>
      </w:r>
    </w:p>
    <w:p w:rsidRPr="003D5F0D" w:rsidR="00240910" w:rsidP="00240910" w:rsidRDefault="00240910" w14:paraId="2E7F5345" w14:textId="77777777">
      <w:pPr>
        <w:pStyle w:val="Bulletsl"/>
        <w:spacing w:line="276" w:lineRule="auto"/>
      </w:pPr>
      <w:r w:rsidRPr="003D5F0D">
        <w:t>There is no right to abortion guaranteed in the Constitution. It is mentioned nowhere in the text, and there is no reason to believe that those who wrote the 14</w:t>
      </w:r>
      <w:r w:rsidRPr="001B7A82">
        <w:rPr>
          <w:vertAlign w:val="superscript"/>
        </w:rPr>
        <w:t>th</w:t>
      </w:r>
      <w:r w:rsidRPr="003D5F0D">
        <w:t xml:space="preserve"> Amendment intended to protect that right. </w:t>
      </w:r>
    </w:p>
    <w:p w:rsidRPr="003D5F0D" w:rsidR="00240910" w:rsidP="00240910" w:rsidRDefault="00240910" w14:paraId="65AA5B80" w14:textId="23564767">
      <w:pPr>
        <w:pStyle w:val="Bulletsl"/>
        <w:spacing w:line="276" w:lineRule="auto"/>
        <w:rPr/>
      </w:pPr>
      <w:r w:rsidR="00240910">
        <w:rPr/>
        <w:t xml:space="preserve">A fetus, from the date of conception, is a person and has constitutional rights. The state has an important interest in protecting its future citizens. The </w:t>
      </w:r>
      <w:r w:rsidRPr="7F707213" w:rsidR="00240910">
        <w:rPr>
          <w:rFonts w:eastAsia="Times New Roman" w:cs="Calibri"/>
          <w:color w:val="222222"/>
        </w:rPr>
        <w:t xml:space="preserve">right to life of the unborn child is superior to the right to privacy of the </w:t>
      </w:r>
      <w:r w:rsidRPr="7F707213" w:rsidR="001B021E">
        <w:rPr>
          <w:rFonts w:eastAsia="Times New Roman" w:cs="Calibri"/>
          <w:color w:val="222222"/>
        </w:rPr>
        <w:t>parents</w:t>
      </w:r>
      <w:r w:rsidRPr="7F707213" w:rsidR="00240910">
        <w:rPr>
          <w:rFonts w:eastAsia="Times New Roman" w:cs="Calibri"/>
          <w:color w:val="222222"/>
        </w:rPr>
        <w:t xml:space="preserve">. The balancing of the two interests should favor the most vulnerable, the unborn child. </w:t>
      </w:r>
    </w:p>
    <w:p w:rsidRPr="003D5F0D" w:rsidR="00240910" w:rsidP="00240910" w:rsidRDefault="00240910" w14:paraId="53852ABF" w14:textId="195B9F8B">
      <w:pPr>
        <w:pStyle w:val="Bulletsl"/>
        <w:spacing w:line="276" w:lineRule="auto"/>
        <w:rPr/>
      </w:pPr>
      <w:r w:rsidRPr="7F707213" w:rsidR="00240910">
        <w:rPr>
          <w:rFonts w:eastAsia="Times New Roman" w:cs="Calibri"/>
          <w:color w:val="222222"/>
        </w:rPr>
        <w:t xml:space="preserve">In </w:t>
      </w:r>
      <w:r w:rsidRPr="7F707213" w:rsidR="00240910">
        <w:rPr>
          <w:rFonts w:eastAsia="Times New Roman" w:cs="Calibri"/>
          <w:color w:val="222222"/>
        </w:rPr>
        <w:t>previous</w:t>
      </w:r>
      <w:r w:rsidRPr="7F707213" w:rsidR="00240910">
        <w:rPr>
          <w:rFonts w:eastAsia="Times New Roman" w:cs="Calibri"/>
          <w:color w:val="222222"/>
        </w:rPr>
        <w:t xml:space="preserve"> decisions where the Court protected individual or marital privacy, that right was not absolute. All protected rights are subject to reasonable regulation, and Texas has a strong interest in protecting life and protecting </w:t>
      </w:r>
      <w:r w:rsidRPr="7F707213" w:rsidR="009243ED">
        <w:rPr>
          <w:rFonts w:eastAsia="Times New Roman" w:cs="Calibri"/>
          <w:color w:val="222222"/>
        </w:rPr>
        <w:t>people</w:t>
      </w:r>
      <w:r w:rsidRPr="7F707213" w:rsidR="009243ED">
        <w:rPr>
          <w:rFonts w:eastAsia="Times New Roman" w:cs="Calibri"/>
          <w:color w:val="222222"/>
        </w:rPr>
        <w:t xml:space="preserve">’s </w:t>
      </w:r>
      <w:r w:rsidRPr="7F707213" w:rsidR="00240910">
        <w:rPr>
          <w:rFonts w:eastAsia="Times New Roman" w:cs="Calibri"/>
          <w:color w:val="222222"/>
        </w:rPr>
        <w:t xml:space="preserve">health, so </w:t>
      </w:r>
      <w:r w:rsidRPr="7F707213" w:rsidR="00240910">
        <w:rPr>
          <w:rFonts w:eastAsia="Times New Roman" w:cs="Calibri"/>
          <w:color w:val="222222"/>
        </w:rPr>
        <w:t>the abortion</w:t>
      </w:r>
      <w:r w:rsidRPr="7F707213" w:rsidR="00240910">
        <w:rPr>
          <w:rFonts w:eastAsia="Times New Roman" w:cs="Calibri"/>
          <w:color w:val="222222"/>
        </w:rPr>
        <w:t xml:space="preserve"> restrictions are reasonable. </w:t>
      </w:r>
    </w:p>
    <w:p w:rsidRPr="003D5F0D" w:rsidR="00240910" w:rsidP="00240910" w:rsidRDefault="00240910" w14:paraId="36C5B4C8" w14:textId="77777777">
      <w:pPr>
        <w:pStyle w:val="Bulletsl"/>
        <w:spacing w:line="276" w:lineRule="auto"/>
      </w:pPr>
      <w:r w:rsidRPr="003D5F0D">
        <w:t xml:space="preserve">Abortion is different from contraception, so the Court’s decision in </w:t>
      </w:r>
      <w:r w:rsidRPr="003D5F0D">
        <w:rPr>
          <w:i/>
        </w:rPr>
        <w:t>Griswold v. Connecticut</w:t>
      </w:r>
      <w:r w:rsidRPr="003D5F0D">
        <w:t xml:space="preserve"> does not apply here. Contraception prevents creation of life whereas abortion destroys existing life.</w:t>
      </w:r>
    </w:p>
    <w:p w:rsidRPr="003D5F0D" w:rsidR="00240910" w:rsidP="00240910" w:rsidRDefault="00240910" w14:paraId="59B53CDD" w14:textId="77777777">
      <w:pPr>
        <w:pStyle w:val="Bulletsl"/>
        <w:spacing w:line="276" w:lineRule="auto"/>
      </w:pPr>
      <w:r w:rsidRPr="003D5F0D">
        <w:t>Abortion is a policy matter best left to the state legislatures to decide. As elected officials, legislators make laws that reflect the popular will and morality of the people—as they have done here. The prohibition against abortion in Texas has existed since 1854.</w:t>
      </w:r>
    </w:p>
    <w:p w:rsidRPr="0082428A" w:rsidR="00240910" w:rsidP="00240910" w:rsidRDefault="00240910" w14:paraId="18ECCCD2" w14:textId="77777777">
      <w:pPr>
        <w:pStyle w:val="Subhead2sl"/>
      </w:pPr>
      <w:r w:rsidRPr="0082428A">
        <w:rPr>
          <w:rStyle w:val="Subhead2slChar"/>
          <w:b/>
          <w:i/>
        </w:rPr>
        <w:t>Decision</w:t>
      </w:r>
    </w:p>
    <w:p w:rsidRPr="00497159" w:rsidR="00240910" w:rsidP="00240910" w:rsidRDefault="00240910" w14:paraId="4F7A424B" w14:textId="07656E3B">
      <w:pPr>
        <w:pStyle w:val="Basiccopysl"/>
        <w:spacing w:line="276" w:lineRule="auto"/>
      </w:pPr>
      <w:r w:rsidR="00240910">
        <w:rPr/>
        <w:t>In a 7</w:t>
      </w:r>
      <w:r w:rsidR="00240910">
        <w:rPr/>
        <w:t>-</w:t>
      </w:r>
      <w:r w:rsidR="00240910">
        <w:rPr/>
        <w:t xml:space="preserve">2 decision, the U.S. Supreme Court decided in Roe’s favor. Justice Blackmun wrote the opinion of the Court, which recognized that a </w:t>
      </w:r>
      <w:r w:rsidR="009243ED">
        <w:rPr/>
        <w:t>person</w:t>
      </w:r>
      <w:r w:rsidR="009243ED">
        <w:rPr/>
        <w:t xml:space="preserve">’s </w:t>
      </w:r>
      <w:r w:rsidR="00240910">
        <w:rPr/>
        <w:t xml:space="preserve">choice </w:t>
      </w:r>
      <w:r w:rsidR="00240910">
        <w:rPr/>
        <w:t xml:space="preserve">to have an abortion is protected by the Constitution. </w:t>
      </w:r>
      <w:r w:rsidR="00240910">
        <w:rPr/>
        <w:t xml:space="preserve">Chief Justice Burger and </w:t>
      </w:r>
      <w:r w:rsidR="00240910">
        <w:rPr/>
        <w:t>Justices Stewart</w:t>
      </w:r>
      <w:r w:rsidR="00240910">
        <w:rPr/>
        <w:t xml:space="preserve"> and </w:t>
      </w:r>
      <w:r w:rsidR="00240910">
        <w:rPr/>
        <w:t>Douglas</w:t>
      </w:r>
      <w:r w:rsidR="00240910">
        <w:rPr/>
        <w:t xml:space="preserve"> </w:t>
      </w:r>
      <w:r w:rsidR="00240910">
        <w:rPr/>
        <w:t>wrote concurring opinions. Justice</w:t>
      </w:r>
      <w:r w:rsidR="00240910">
        <w:rPr/>
        <w:t>s</w:t>
      </w:r>
      <w:r w:rsidR="00240910">
        <w:rPr/>
        <w:t xml:space="preserve"> White and Rehnquist wrote dissenting opinions. </w:t>
      </w:r>
    </w:p>
    <w:p w:rsidRPr="00497159" w:rsidR="00240910" w:rsidP="00240910" w:rsidRDefault="00240910" w14:paraId="204E2551" w14:textId="77777777">
      <w:pPr>
        <w:pStyle w:val="Subhead3sl"/>
        <w:spacing w:line="276" w:lineRule="auto"/>
      </w:pPr>
      <w:r w:rsidRPr="00497159">
        <w:t>Majority</w:t>
      </w:r>
    </w:p>
    <w:p w:rsidRPr="00E5000B" w:rsidR="00240910" w:rsidP="00240910" w:rsidRDefault="00240910" w14:paraId="70FA67BE" w14:textId="4CA981C0">
      <w:pPr>
        <w:pStyle w:val="Basiccopysl"/>
        <w:spacing w:line="276" w:lineRule="auto"/>
      </w:pPr>
      <w:r w:rsidR="00240910">
        <w:rPr/>
        <w:t xml:space="preserve">The majority </w:t>
      </w:r>
      <w:r w:rsidR="00240910">
        <w:rPr/>
        <w:t xml:space="preserve">rooted </w:t>
      </w:r>
      <w:r w:rsidR="00240910">
        <w:rPr/>
        <w:t xml:space="preserve">a </w:t>
      </w:r>
      <w:r w:rsidR="009243ED">
        <w:rPr/>
        <w:t>person</w:t>
      </w:r>
      <w:r w:rsidR="009243ED">
        <w:rPr/>
        <w:t xml:space="preserve">’s </w:t>
      </w:r>
      <w:r w:rsidR="00240910">
        <w:rPr/>
        <w:t xml:space="preserve">right to decide whether to have an abortion </w:t>
      </w:r>
      <w:r w:rsidR="00240910">
        <w:rPr/>
        <w:t>in the Due Process Clause of the 14</w:t>
      </w:r>
      <w:r w:rsidRPr="7F707213" w:rsidR="00240910">
        <w:rPr>
          <w:vertAlign w:val="superscript"/>
        </w:rPr>
        <w:t>th</w:t>
      </w:r>
      <w:r w:rsidR="00240910">
        <w:rPr/>
        <w:t xml:space="preserve"> Amendment, </w:t>
      </w:r>
      <w:r w:rsidR="00240910">
        <w:rPr/>
        <w:t>which prohibits states from “</w:t>
      </w:r>
      <w:r w:rsidR="00240910">
        <w:rPr/>
        <w:t>depriv</w:t>
      </w:r>
      <w:r w:rsidR="00240910">
        <w:rPr/>
        <w:t>[</w:t>
      </w:r>
      <w:r w:rsidR="00240910">
        <w:rPr/>
        <w:t>ing</w:t>
      </w:r>
      <w:r w:rsidR="00240910">
        <w:rPr/>
        <w:t>] any person of … liberty … without due process of law</w:t>
      </w:r>
      <w:r w:rsidR="00240910">
        <w:rPr/>
        <w:t>.</w:t>
      </w:r>
      <w:r w:rsidR="00240910">
        <w:rPr/>
        <w:t xml:space="preserve">” </w:t>
      </w:r>
      <w:r w:rsidR="00240910">
        <w:rPr/>
        <w:t>According to the majority, the “liberty” protected by the 14</w:t>
      </w:r>
      <w:r w:rsidRPr="7F707213" w:rsidR="00240910">
        <w:rPr>
          <w:vertAlign w:val="superscript"/>
        </w:rPr>
        <w:t>th</w:t>
      </w:r>
      <w:r w:rsidR="00240910">
        <w:rPr/>
        <w:t xml:space="preserve"> Amendment includes </w:t>
      </w:r>
      <w:r w:rsidR="00240910">
        <w:rPr/>
        <w:t>a fundamental right to privacy.</w:t>
      </w:r>
      <w:r w:rsidR="00240910">
        <w:rPr/>
        <w:t xml:space="preserve"> The majority began by surveying the history of abortion laws and concluded that “the restrictive criminal abortion laws in effect in a majority of States today are of relatively recent vintage,” and “are not of ancient or even of common-law origin.” The Court then held that “[t]his right of privacy, whether it be founded in the Fourteenth Amendment’s concept of personal liberty and restrictions upon state action, as we feel it is, or, as the District Court determined, in the Ninth Amendment’s reservation of rights to the people, is broad enough to encompass a woman’s decision whether or not to terminate her pregnancy.” </w:t>
      </w:r>
      <w:r w:rsidR="00240910">
        <w:rPr/>
        <w:t xml:space="preserve">Further, after considerable discussion of the law’s historical lack of recognition of rights of a fetus, the </w:t>
      </w:r>
      <w:r w:rsidR="00240910">
        <w:rPr/>
        <w:t xml:space="preserve">majority </w:t>
      </w:r>
      <w:r w:rsidR="00240910">
        <w:rPr/>
        <w:t>concluded “the word ‘person,</w:t>
      </w:r>
      <w:r w:rsidR="00240910">
        <w:rPr/>
        <w:t>’</w:t>
      </w:r>
      <w:r w:rsidR="00240910">
        <w:rPr/>
        <w:t xml:space="preserve"> as used in the Fourteenth Amendment, does not include the unborn.”</w:t>
      </w:r>
      <w:r w:rsidR="00240910">
        <w:rPr/>
        <w:t xml:space="preserve"> A </w:t>
      </w:r>
      <w:r w:rsidR="009243ED">
        <w:rPr/>
        <w:t>person</w:t>
      </w:r>
      <w:r w:rsidR="009243ED">
        <w:rPr/>
        <w:t xml:space="preserve">’s </w:t>
      </w:r>
      <w:r w:rsidR="00240910">
        <w:rPr/>
        <w:t>right</w:t>
      </w:r>
      <w:r w:rsidR="00240910">
        <w:rPr/>
        <w:t xml:space="preserve"> to choose to have an abortion f</w:t>
      </w:r>
      <w:r w:rsidR="00240910">
        <w:rPr/>
        <w:t xml:space="preserve">alls </w:t>
      </w:r>
      <w:r w:rsidR="00240910">
        <w:rPr/>
        <w:t xml:space="preserve">within this fundamental right to privacy and </w:t>
      </w:r>
      <w:r w:rsidR="00240910">
        <w:rPr/>
        <w:t xml:space="preserve">is </w:t>
      </w:r>
      <w:r w:rsidR="00240910">
        <w:rPr/>
        <w:t>protected by the Constitution.</w:t>
      </w:r>
    </w:p>
    <w:p w:rsidRPr="00E5000B" w:rsidR="00240910" w:rsidP="00240910" w:rsidRDefault="00240910" w14:paraId="516AE3A0" w14:textId="7101CCFE">
      <w:pPr>
        <w:pStyle w:val="Basiccopysl"/>
        <w:spacing w:line="276" w:lineRule="auto"/>
      </w:pPr>
      <w:r w:rsidR="00240910">
        <w:rPr/>
        <w:t xml:space="preserve">While holding that “the right of personal privacy includes the abortion decision,” however, the Court also emphasized that “this right is </w:t>
      </w:r>
      <w:r w:rsidR="00240910">
        <w:rPr/>
        <w:t xml:space="preserve">not </w:t>
      </w:r>
      <w:r w:rsidR="00240910">
        <w:rPr/>
        <w:t xml:space="preserve">unqualified and must be considered against important state interests in regulation.” In particular, the Court noted, “[w]here certain ‘fundamental rights’ are involved, the Court has held that regulation limiting these rights may be justified only by a ‘compelling state interest,’ and that legislative enactments must be narrowly drawn to protect only the legitimate state interests at stake.” The Court recognized that “the State does have an important and legitimate interest in preserving and protecting the health of a pregnant woman” and “still another important and legitimate interest in protecting the potentiality of human life.” </w:t>
      </w:r>
      <w:r w:rsidR="00240910">
        <w:rPr/>
        <w:t xml:space="preserve">Striking a balance between a </w:t>
      </w:r>
      <w:r w:rsidR="009243ED">
        <w:rPr/>
        <w:t>person</w:t>
      </w:r>
      <w:r w:rsidR="009243ED">
        <w:rPr/>
        <w:t xml:space="preserve">’s </w:t>
      </w:r>
      <w:r w:rsidR="00240910">
        <w:rPr/>
        <w:t xml:space="preserve">fundamental </w:t>
      </w:r>
      <w:r w:rsidR="00240910">
        <w:rPr/>
        <w:t xml:space="preserve">right to privacy and </w:t>
      </w:r>
      <w:r w:rsidR="00240910">
        <w:rPr/>
        <w:t xml:space="preserve">these </w:t>
      </w:r>
      <w:r w:rsidR="00240910">
        <w:rPr/>
        <w:t>state interests, the Court set up a framework laying out when states could regulate and even prohibit abortions. </w:t>
      </w:r>
    </w:p>
    <w:p w:rsidRPr="001602D3" w:rsidR="00240910" w:rsidP="00240910" w:rsidRDefault="00240910" w14:paraId="0CAB57DB" w14:textId="38801599">
      <w:pPr>
        <w:pStyle w:val="Basiccopysl"/>
        <w:spacing w:line="276" w:lineRule="auto"/>
      </w:pPr>
      <w:r w:rsidR="00240910">
        <w:rPr/>
        <w:t xml:space="preserve">Under that </w:t>
      </w:r>
      <w:r w:rsidR="00240910">
        <w:rPr/>
        <w:t xml:space="preserve">framework, in the first trimester (the first three months of the pregnancy), a </w:t>
      </w:r>
      <w:r w:rsidR="009243ED">
        <w:rPr/>
        <w:t>person</w:t>
      </w:r>
      <w:r w:rsidR="009243ED">
        <w:rPr/>
        <w:t xml:space="preserve">’s </w:t>
      </w:r>
      <w:r w:rsidR="00240910">
        <w:rPr/>
        <w:t>right to privacy surrounding the choice to have an abortion outweigh</w:t>
      </w:r>
      <w:r w:rsidR="00240910">
        <w:rPr/>
        <w:t>s</w:t>
      </w:r>
      <w:r w:rsidR="00240910">
        <w:rPr/>
        <w:t xml:space="preserve"> a state’s </w:t>
      </w:r>
      <w:r w:rsidR="00240910">
        <w:rPr/>
        <w:t>interests</w:t>
      </w:r>
      <w:r w:rsidR="00240910">
        <w:rPr/>
        <w:t xml:space="preserve"> in regulating this decision.</w:t>
      </w:r>
      <w:r w:rsidR="00240910">
        <w:rPr/>
        <w:t xml:space="preserve"> During this stage, </w:t>
      </w:r>
      <w:r w:rsidR="00240910">
        <w:rPr/>
        <w:t xml:space="preserve">having an abortion does not pose a grave danger to the </w:t>
      </w:r>
      <w:r w:rsidR="009243ED">
        <w:rPr/>
        <w:t>pregnant person</w:t>
      </w:r>
      <w:r w:rsidR="009243ED">
        <w:rPr/>
        <w:t xml:space="preserve">’s </w:t>
      </w:r>
      <w:r w:rsidR="00240910">
        <w:rPr/>
        <w:t>life and health, and the fetus is still undeveloped.</w:t>
      </w:r>
      <w:r w:rsidR="00240910">
        <w:rPr/>
        <w:t xml:space="preserve"> </w:t>
      </w:r>
      <w:r w:rsidR="00240910">
        <w:rPr/>
        <w:t xml:space="preserve">The state’s interests are not yet compelling, so it cannot </w:t>
      </w:r>
      <w:r w:rsidR="00240910">
        <w:rPr/>
        <w:t>regulate or prohibit</w:t>
      </w:r>
      <w:r w:rsidR="00240910">
        <w:rPr/>
        <w:t xml:space="preserve"> </w:t>
      </w:r>
      <w:r w:rsidR="009243ED">
        <w:rPr/>
        <w:t>them</w:t>
      </w:r>
      <w:r w:rsidR="009243ED">
        <w:rPr/>
        <w:t xml:space="preserve"> </w:t>
      </w:r>
      <w:r w:rsidR="00240910">
        <w:rPr/>
        <w:t>from having an abortion.</w:t>
      </w:r>
      <w:r w:rsidR="00240910">
        <w:rPr/>
        <w:t xml:space="preserve"> </w:t>
      </w:r>
      <w:r w:rsidR="00240910">
        <w:rPr/>
        <w:t>During the second trimester, the state’s interests become more compelling as the danger of complications increases and the fetus becomes more developed.</w:t>
      </w:r>
      <w:r w:rsidR="00240910">
        <w:rPr/>
        <w:t xml:space="preserve"> </w:t>
      </w:r>
      <w:r w:rsidR="00240910">
        <w:rPr/>
        <w:t xml:space="preserve">During this stage, </w:t>
      </w:r>
      <w:r w:rsidR="00240910">
        <w:rPr/>
        <w:t xml:space="preserve">the state </w:t>
      </w:r>
      <w:r w:rsidR="00240910">
        <w:rPr/>
        <w:t>may regulate, but not prohibit</w:t>
      </w:r>
      <w:r w:rsidR="00240910">
        <w:rPr/>
        <w:t xml:space="preserve">, </w:t>
      </w:r>
      <w:r w:rsidR="00240910">
        <w:rPr/>
        <w:t xml:space="preserve">abortions, </w:t>
      </w:r>
      <w:r w:rsidR="00240910">
        <w:rPr/>
        <w:t>as long as</w:t>
      </w:r>
      <w:r w:rsidR="00240910">
        <w:rPr/>
        <w:t xml:space="preserve"> the regulations are aimed at protecting the health of the </w:t>
      </w:r>
      <w:r w:rsidR="009243ED">
        <w:rPr/>
        <w:t>pregnant person</w:t>
      </w:r>
      <w:r w:rsidR="00240910">
        <w:rPr/>
        <w:t>.</w:t>
      </w:r>
      <w:r w:rsidR="00240910">
        <w:rPr/>
        <w:t xml:space="preserve"> </w:t>
      </w:r>
      <w:r w:rsidR="00240910">
        <w:rPr/>
        <w:t xml:space="preserve">During the third </w:t>
      </w:r>
      <w:r w:rsidR="00A5746A">
        <w:rPr/>
        <w:t xml:space="preserve">(and final) </w:t>
      </w:r>
      <w:r w:rsidR="00240910">
        <w:rPr/>
        <w:t xml:space="preserve">trimester, the danger to the </w:t>
      </w:r>
      <w:r w:rsidR="009243ED">
        <w:rPr/>
        <w:t>pregnant person</w:t>
      </w:r>
      <w:r w:rsidR="009243ED">
        <w:rPr/>
        <w:t xml:space="preserve">’s </w:t>
      </w:r>
      <w:r w:rsidR="00240910">
        <w:rPr/>
        <w:t>health becomes the greatest and fetal development nears completion.</w:t>
      </w:r>
      <w:r w:rsidR="00240910">
        <w:rPr/>
        <w:t xml:space="preserve"> </w:t>
      </w:r>
      <w:r w:rsidR="00240910">
        <w:rPr/>
        <w:t>In the final trimester</w:t>
      </w:r>
      <w:r w:rsidR="00240910">
        <w:rPr/>
        <w:t>,</w:t>
      </w:r>
      <w:r w:rsidR="00240910">
        <w:rPr/>
        <w:t xml:space="preserve"> the state’s interests in protecting the health of the </w:t>
      </w:r>
      <w:r w:rsidR="009243ED">
        <w:rPr/>
        <w:t>pregnant person</w:t>
      </w:r>
      <w:r w:rsidR="009243ED">
        <w:rPr/>
        <w:t xml:space="preserve"> </w:t>
      </w:r>
      <w:r w:rsidR="00240910">
        <w:rPr/>
        <w:t xml:space="preserve">and in protecting the life of the fetus become </w:t>
      </w:r>
      <w:r w:rsidR="00240910">
        <w:rPr/>
        <w:t>their</w:t>
      </w:r>
      <w:r w:rsidR="00240910">
        <w:rPr/>
        <w:t xml:space="preserve"> most compelling.</w:t>
      </w:r>
      <w:r w:rsidR="00240910">
        <w:rPr/>
        <w:t xml:space="preserve"> </w:t>
      </w:r>
      <w:r w:rsidR="00240910">
        <w:rPr/>
        <w:t xml:space="preserve">The state may regulate or even prohibit abortions during this stage, </w:t>
      </w:r>
      <w:r w:rsidR="00240910">
        <w:rPr/>
        <w:t>as long as</w:t>
      </w:r>
      <w:r w:rsidR="00240910">
        <w:rPr/>
        <w:t xml:space="preserve"> there is an exception for abortions necessary to preserve the life and health of the </w:t>
      </w:r>
      <w:r w:rsidR="00A5746A">
        <w:rPr/>
        <w:t>pregnant person</w:t>
      </w:r>
      <w:r w:rsidR="00240910">
        <w:rPr/>
        <w:t>.</w:t>
      </w:r>
    </w:p>
    <w:p w:rsidRPr="00497159" w:rsidR="00240910" w:rsidP="00240910" w:rsidRDefault="00240910" w14:paraId="24562129" w14:textId="77777777">
      <w:pPr>
        <w:pStyle w:val="Subhead3sl"/>
        <w:spacing w:line="276" w:lineRule="auto"/>
      </w:pPr>
      <w:r w:rsidRPr="00497159">
        <w:t xml:space="preserve">Concurrences </w:t>
      </w:r>
    </w:p>
    <w:p w:rsidRPr="00E34DD4" w:rsidR="00240910" w:rsidP="00240910" w:rsidRDefault="00240910" w14:paraId="1742E901" w14:textId="77777777">
      <w:pPr>
        <w:pStyle w:val="Basiccopysl"/>
        <w:spacing w:line="276" w:lineRule="auto"/>
        <w:rPr>
          <w:rFonts w:cs="Arial"/>
          <w:color w:val="000000"/>
        </w:rPr>
      </w:pPr>
      <w:r>
        <w:t xml:space="preserve">Three justices filed concurring opinions in the case. </w:t>
      </w:r>
      <w:r w:rsidRPr="00E34DD4">
        <w:t xml:space="preserve">Justice </w:t>
      </w:r>
      <w:r>
        <w:t>Stewart emphasized that the Court was basing its holding on the so-called “substantive” component of the Due Process Clause of the 14</w:t>
      </w:r>
      <w:r w:rsidRPr="001B7A82">
        <w:rPr>
          <w:vertAlign w:val="superscript"/>
        </w:rPr>
        <w:t>th</w:t>
      </w:r>
      <w:r>
        <w:t xml:space="preserve"> Amendment. Justice Douglas rejected Justice Stewart’s invocation of “substantive” due process, but he agreed that the constitutional right at issue was based in the term “liberty” in the Due Process Clause of the 14</w:t>
      </w:r>
      <w:r w:rsidRPr="001B7A82">
        <w:rPr>
          <w:vertAlign w:val="superscript"/>
        </w:rPr>
        <w:t>th</w:t>
      </w:r>
      <w:r>
        <w:t xml:space="preserve"> Amendment. Chief Justice Burger underscored that “the Court today rejects any claim that the Constitution requires abortions on demand.” </w:t>
      </w:r>
    </w:p>
    <w:p w:rsidRPr="00E34DD4" w:rsidR="00240910" w:rsidP="00240910" w:rsidRDefault="00240910" w14:paraId="7CF18D4C" w14:textId="77777777">
      <w:pPr>
        <w:pStyle w:val="Subhead3sl"/>
        <w:spacing w:line="276" w:lineRule="auto"/>
      </w:pPr>
      <w:r w:rsidRPr="00E34DD4">
        <w:t>Dissent</w:t>
      </w:r>
      <w:r>
        <w:t>s</w:t>
      </w:r>
    </w:p>
    <w:p w:rsidR="00240910" w:rsidP="00240910" w:rsidRDefault="00240910" w14:paraId="59C696D1" w14:textId="77777777">
      <w:pPr>
        <w:pStyle w:val="Basiccopysl"/>
        <w:spacing w:line="276" w:lineRule="auto"/>
        <w:rPr>
          <w:rFonts w:eastAsia="Times New Roman" w:cs="Calibri"/>
          <w:color w:val="222222"/>
        </w:rPr>
      </w:pPr>
      <w:r>
        <w:rPr>
          <w:rFonts w:eastAsia="Times New Roman" w:cs="Calibri"/>
          <w:color w:val="222222"/>
        </w:rPr>
        <w:t xml:space="preserve">Two justices filed dissenting opinions. In his dissenting opinion, </w:t>
      </w:r>
      <w:r>
        <w:t xml:space="preserve">Justice White, joined by Justice Rehnquist, argued that he found “nothing in the language or history of the Constitution to support” the right to an abortion. He characterized the decision as “an extravagant and improvident exercise of the power of judicial review that the Constitution extends to this Court,” and noted that the decision prevents the people and the legislatures of the states from “weighing the relative importance of the continued existence and development of the fetus, on the one hand, against a spectrum of possible impacts on the mother, on the other hand.” Justice Rehnquist filed a separate </w:t>
      </w:r>
      <w:r w:rsidRPr="00E5000B">
        <w:rPr>
          <w:rFonts w:eastAsia="Times New Roman" w:cs="Calibri"/>
          <w:color w:val="222222"/>
        </w:rPr>
        <w:t>dissenting opinion, argu</w:t>
      </w:r>
      <w:r>
        <w:rPr>
          <w:rFonts w:eastAsia="Times New Roman" w:cs="Calibri"/>
          <w:color w:val="222222"/>
        </w:rPr>
        <w:t>ing</w:t>
      </w:r>
      <w:r w:rsidRPr="00E5000B">
        <w:rPr>
          <w:rFonts w:eastAsia="Times New Roman" w:cs="Calibri"/>
          <w:color w:val="222222"/>
        </w:rPr>
        <w:t xml:space="preserve"> that </w:t>
      </w:r>
      <w:r>
        <w:rPr>
          <w:rFonts w:eastAsia="Times New Roman" w:cs="Calibri"/>
          <w:color w:val="222222"/>
        </w:rPr>
        <w:t>abortion did not fit within the right of “privacy” recognized in the Court’s previous cases and characterizing the decision as “</w:t>
      </w:r>
      <w:proofErr w:type="spellStart"/>
      <w:r>
        <w:rPr>
          <w:rFonts w:eastAsia="Times New Roman" w:cs="Calibri"/>
          <w:color w:val="222222"/>
        </w:rPr>
        <w:t>partak</w:t>
      </w:r>
      <w:proofErr w:type="spellEnd"/>
      <w:r>
        <w:rPr>
          <w:rFonts w:eastAsia="Times New Roman" w:cs="Calibri"/>
          <w:color w:val="222222"/>
        </w:rPr>
        <w:t>[</w:t>
      </w:r>
      <w:proofErr w:type="spellStart"/>
      <w:r>
        <w:rPr>
          <w:rFonts w:eastAsia="Times New Roman" w:cs="Calibri"/>
          <w:color w:val="222222"/>
        </w:rPr>
        <w:t>ing</w:t>
      </w:r>
      <w:proofErr w:type="spellEnd"/>
      <w:r>
        <w:rPr>
          <w:rFonts w:eastAsia="Times New Roman" w:cs="Calibri"/>
          <w:color w:val="222222"/>
        </w:rPr>
        <w:t xml:space="preserve">] more of judicial legislation than … a determination of the intent of the drafters </w:t>
      </w:r>
      <w:r w:rsidRPr="00E5000B">
        <w:rPr>
          <w:rFonts w:eastAsia="Times New Roman" w:cs="Calibri"/>
          <w:color w:val="222222"/>
        </w:rPr>
        <w:t>of the Fourteenth Amendment</w:t>
      </w:r>
      <w:r>
        <w:rPr>
          <w:rFonts w:eastAsia="Times New Roman" w:cs="Calibri"/>
          <w:color w:val="222222"/>
        </w:rPr>
        <w:t>.”</w:t>
      </w:r>
    </w:p>
    <w:p w:rsidRPr="007F1413" w:rsidR="00240910" w:rsidP="00240910" w:rsidRDefault="00240910" w14:paraId="3294B3A8" w14:textId="77777777">
      <w:pPr>
        <w:pStyle w:val="Basiccopysl"/>
        <w:spacing w:before="360" w:line="276" w:lineRule="auto"/>
        <w:rPr>
          <w:rFonts w:ascii="Gill Sans MT" w:hAnsi="Gill Sans MT" w:eastAsia="Times New Roman" w:cs="Calibri"/>
          <w:b/>
          <w:bCs/>
          <w:i/>
          <w:iCs/>
          <w:color w:val="222222"/>
        </w:rPr>
      </w:pPr>
      <w:r w:rsidRPr="007F1413">
        <w:rPr>
          <w:rFonts w:ascii="Gill Sans MT" w:hAnsi="Gill Sans MT" w:eastAsia="Times New Roman" w:cs="Calibri"/>
          <w:b/>
          <w:bCs/>
          <w:i/>
          <w:iCs/>
          <w:color w:val="222222"/>
        </w:rPr>
        <w:t>Impact</w:t>
      </w:r>
    </w:p>
    <w:p w:rsidRPr="00974491" w:rsidR="00240910" w:rsidP="00974491" w:rsidRDefault="00240910" w14:paraId="0DBD04CF" w14:textId="77777777">
      <w:pPr>
        <w:spacing w:after="120" w:line="276" w:lineRule="auto"/>
        <w:rPr>
          <w:szCs w:val="24"/>
        </w:rPr>
      </w:pPr>
      <w:r w:rsidRPr="00974491">
        <w:rPr>
          <w:szCs w:val="24"/>
        </w:rPr>
        <w:t xml:space="preserve">The immediate impact of the decision in </w:t>
      </w:r>
      <w:r w:rsidRPr="00974491">
        <w:rPr>
          <w:i/>
          <w:iCs/>
          <w:szCs w:val="24"/>
        </w:rPr>
        <w:t>Roe v. Wade</w:t>
      </w:r>
      <w:r w:rsidRPr="00974491">
        <w:rPr>
          <w:szCs w:val="24"/>
        </w:rPr>
        <w:t xml:space="preserve"> was the striking down of laws that banned or severely restricted abortions in 30 states, including Texas. </w:t>
      </w:r>
    </w:p>
    <w:p w:rsidR="00974491" w:rsidP="00974491" w:rsidRDefault="00974491" w14:paraId="04FA566E" w14:textId="77777777">
      <w:pPr>
        <w:pStyle w:val="Default"/>
        <w:spacing w:after="120" w:line="276" w:lineRule="auto"/>
      </w:pPr>
      <w:r w:rsidRPr="00974491">
        <w:t xml:space="preserve">In the years after </w:t>
      </w:r>
      <w:r w:rsidRPr="00974491">
        <w:rPr>
          <w:i/>
          <w:iCs/>
        </w:rPr>
        <w:t>Roe v. Wade</w:t>
      </w:r>
      <w:r w:rsidRPr="00974491">
        <w:t xml:space="preserve">, several states passed laws regulating abortion; these were often challenged in court. The decision in </w:t>
      </w:r>
      <w:r w:rsidRPr="00974491">
        <w:rPr>
          <w:i/>
          <w:iCs/>
        </w:rPr>
        <w:t xml:space="preserve">Roe v. Wade </w:t>
      </w:r>
      <w:r w:rsidRPr="00974491">
        <w:t xml:space="preserve">acted as precedent for several later decisions </w:t>
      </w:r>
      <w:r w:rsidRPr="00974491">
        <w:t xml:space="preserve">regarding abortion, such as </w:t>
      </w:r>
      <w:r w:rsidRPr="00974491">
        <w:rPr>
          <w:i/>
          <w:iCs/>
        </w:rPr>
        <w:t>Planned Parenthood of Southeastern Pennsylvania v. Casey</w:t>
      </w:r>
      <w:r w:rsidRPr="00974491">
        <w:t xml:space="preserve">, </w:t>
      </w:r>
      <w:r w:rsidRPr="00974491">
        <w:rPr>
          <w:i/>
          <w:iCs/>
        </w:rPr>
        <w:t>Gonzales v. Carhart</w:t>
      </w:r>
      <w:r w:rsidRPr="00974491">
        <w:t xml:space="preserve">, </w:t>
      </w:r>
      <w:r w:rsidRPr="00974491">
        <w:rPr>
          <w:i/>
          <w:iCs/>
        </w:rPr>
        <w:t xml:space="preserve">Whole Woman’s Health v. </w:t>
      </w:r>
      <w:proofErr w:type="spellStart"/>
      <w:r w:rsidRPr="00974491">
        <w:rPr>
          <w:i/>
          <w:iCs/>
        </w:rPr>
        <w:t>Hellerstedt</w:t>
      </w:r>
      <w:proofErr w:type="spellEnd"/>
      <w:r w:rsidRPr="00974491">
        <w:t xml:space="preserve">, and </w:t>
      </w:r>
      <w:r w:rsidRPr="00974491">
        <w:rPr>
          <w:i/>
          <w:iCs/>
        </w:rPr>
        <w:t>June Medical Services v. Russo</w:t>
      </w:r>
      <w:r w:rsidRPr="00974491">
        <w:t xml:space="preserve">. These decisions upheld </w:t>
      </w:r>
      <w:r w:rsidRPr="00974491">
        <w:rPr>
          <w:i/>
          <w:iCs/>
        </w:rPr>
        <w:t xml:space="preserve">Roe v. Wade </w:t>
      </w:r>
      <w:r w:rsidRPr="00974491">
        <w:t xml:space="preserve">but allowed for some restrictions like waiting periods and parental notification for minors. </w:t>
      </w:r>
    </w:p>
    <w:p w:rsidRPr="00974491" w:rsidR="00240910" w:rsidP="00974491" w:rsidRDefault="00974491" w14:paraId="276E2555" w14:textId="4845F1B4">
      <w:pPr>
        <w:pStyle w:val="Default"/>
        <w:spacing w:after="480" w:line="276" w:lineRule="auto"/>
      </w:pPr>
      <w:r w:rsidR="00974491">
        <w:rPr/>
        <w:t>In 2022</w:t>
      </w:r>
      <w:r w:rsidR="00974491">
        <w:rPr/>
        <w:t>,</w:t>
      </w:r>
      <w:r w:rsidR="00974491">
        <w:rPr/>
        <w:t xml:space="preserve"> the </w:t>
      </w:r>
      <w:r w:rsidR="00974491">
        <w:rPr/>
        <w:t xml:space="preserve">Supreme </w:t>
      </w:r>
      <w:r w:rsidR="00974491">
        <w:rPr/>
        <w:t xml:space="preserve">Court heard arguments in </w:t>
      </w:r>
      <w:r w:rsidRPr="7F707213" w:rsidR="00974491">
        <w:rPr>
          <w:i w:val="1"/>
          <w:iCs w:val="1"/>
        </w:rPr>
        <w:t xml:space="preserve">Dobbs v. Jackson </w:t>
      </w:r>
      <w:r w:rsidRPr="7F707213" w:rsidR="00A5746A">
        <w:rPr>
          <w:i w:val="1"/>
          <w:iCs w:val="1"/>
        </w:rPr>
        <w:t>Women</w:t>
      </w:r>
      <w:r w:rsidRPr="7F707213" w:rsidR="00A5746A">
        <w:rPr>
          <w:i w:val="1"/>
          <w:iCs w:val="1"/>
        </w:rPr>
        <w:t>’</w:t>
      </w:r>
      <w:r w:rsidRPr="7F707213" w:rsidR="00A5746A">
        <w:rPr>
          <w:i w:val="1"/>
          <w:iCs w:val="1"/>
        </w:rPr>
        <w:t xml:space="preserve">s </w:t>
      </w:r>
      <w:r w:rsidRPr="7F707213" w:rsidR="00974491">
        <w:rPr>
          <w:i w:val="1"/>
          <w:iCs w:val="1"/>
        </w:rPr>
        <w:t>Health</w:t>
      </w:r>
      <w:r w:rsidRPr="7F707213" w:rsidR="00974491">
        <w:rPr>
          <w:i w:val="1"/>
          <w:iCs w:val="1"/>
        </w:rPr>
        <w:t>,</w:t>
      </w:r>
      <w:r w:rsidRPr="7F707213" w:rsidR="00974491">
        <w:rPr>
          <w:i w:val="1"/>
          <w:iCs w:val="1"/>
        </w:rPr>
        <w:t xml:space="preserve"> </w:t>
      </w:r>
      <w:r w:rsidR="00974491">
        <w:rPr/>
        <w:t xml:space="preserve">which challenged the decision in </w:t>
      </w:r>
      <w:r w:rsidRPr="7F707213" w:rsidR="00974491">
        <w:rPr>
          <w:i w:val="1"/>
          <w:iCs w:val="1"/>
        </w:rPr>
        <w:t xml:space="preserve">Roe v. Wade </w:t>
      </w:r>
      <w:r w:rsidR="00974491">
        <w:rPr/>
        <w:t xml:space="preserve">as wrongly decided. The Court ruled in </w:t>
      </w:r>
      <w:r w:rsidRPr="7F707213" w:rsidR="00974491">
        <w:rPr>
          <w:i w:val="1"/>
          <w:iCs w:val="1"/>
        </w:rPr>
        <w:t>Dobbs</w:t>
      </w:r>
      <w:r w:rsidR="00974491">
        <w:rPr/>
        <w:t xml:space="preserve"> that abortion was not a right protected in the Constitution and overruled the precedent it set </w:t>
      </w:r>
      <w:r w:rsidR="00974491">
        <w:rPr/>
        <w:t>nearly 50</w:t>
      </w:r>
      <w:r w:rsidR="00974491">
        <w:rPr/>
        <w:t xml:space="preserve"> years earlier in </w:t>
      </w:r>
      <w:r w:rsidRPr="7F707213" w:rsidR="00974491">
        <w:rPr>
          <w:i w:val="1"/>
          <w:iCs w:val="1"/>
        </w:rPr>
        <w:t>Roe</w:t>
      </w:r>
      <w:r w:rsidRPr="7F707213" w:rsidR="00974491">
        <w:rPr>
          <w:i w:val="1"/>
          <w:iCs w:val="1"/>
        </w:rPr>
        <w:t xml:space="preserve">. </w:t>
      </w:r>
      <w:r w:rsidR="00974491">
        <w:rPr/>
        <w:t>This decision returned the authority to regulate abortion to the states.</w:t>
      </w:r>
    </w:p>
    <w:tbl>
      <w:tblPr>
        <w:tblStyle w:val="TableGrid"/>
        <w:tblW w:w="0" w:type="auto"/>
        <w:shd w:val="clear" w:color="auto" w:fill="F2F2F2" w:themeFill="background1" w:themeFillShade="F2"/>
        <w:tblLook w:val="04A0" w:firstRow="1" w:lastRow="0" w:firstColumn="1" w:lastColumn="0" w:noHBand="0" w:noVBand="1"/>
      </w:tblPr>
      <w:tblGrid>
        <w:gridCol w:w="9350"/>
      </w:tblGrid>
      <w:tr w:rsidR="00240910" w:rsidTr="00690659" w14:paraId="216FD06C" w14:textId="77777777">
        <w:tc>
          <w:tcPr>
            <w:tcW w:w="9350" w:type="dxa"/>
            <w:shd w:val="clear" w:color="auto" w:fill="F2F2F2" w:themeFill="background1" w:themeFillShade="F2"/>
          </w:tcPr>
          <w:p w:rsidR="00240910" w:rsidP="00240910" w:rsidRDefault="00240910" w14:paraId="479B0731" w14:textId="77777777">
            <w:pPr>
              <w:pStyle w:val="Basiccopysl"/>
              <w:spacing w:before="120" w:line="276" w:lineRule="auto"/>
            </w:pPr>
            <w:r>
              <w:t xml:space="preserve">Additional information about </w:t>
            </w:r>
            <w:r w:rsidRPr="00DD5CCF">
              <w:rPr>
                <w:i/>
                <w:iCs/>
              </w:rPr>
              <w:t>Roe v. Wade,</w:t>
            </w:r>
            <w:r>
              <w:t xml:space="preserve"> including background at three reading levels, opinion quotes and summaries, teaching activities, and additional resources, can be found at </w:t>
            </w:r>
            <w:hyperlink w:history="1" r:id="rId10">
              <w:r w:rsidRPr="00E73DD3">
                <w:rPr>
                  <w:rStyle w:val="Hyperlink"/>
                  <w:color w:val="auto"/>
                </w:rPr>
                <w:t>https://www.landmarkcases.org/</w:t>
              </w:r>
            </w:hyperlink>
            <w:r w:rsidRPr="00E73DD3">
              <w:t>.</w:t>
            </w:r>
          </w:p>
        </w:tc>
      </w:tr>
    </w:tbl>
    <w:p w:rsidR="00240910" w:rsidP="00240910" w:rsidRDefault="00240910" w14:paraId="599B8F1B" w14:textId="77777777">
      <w:pPr>
        <w:pStyle w:val="Basiccopysl"/>
        <w:spacing w:line="276" w:lineRule="auto"/>
      </w:pPr>
    </w:p>
    <w:p w:rsidRPr="00240910" w:rsidR="005A0330" w:rsidP="00240910" w:rsidRDefault="005A0330" w14:paraId="3A059C21" w14:textId="56984492">
      <w:pPr>
        <w:spacing w:line="276" w:lineRule="auto"/>
      </w:pPr>
    </w:p>
    <w:sectPr w:rsidRPr="00240910" w:rsidR="005A0330" w:rsidSect="00A3459C">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70BE" w:rsidP="0078549D" w:rsidRDefault="00E270BE" w14:paraId="618C82A7" w14:textId="77777777">
      <w:pPr>
        <w:spacing w:after="0"/>
      </w:pPr>
      <w:r>
        <w:separator/>
      </w:r>
    </w:p>
  </w:endnote>
  <w:endnote w:type="continuationSeparator" w:id="0">
    <w:p w:rsidR="00E270BE" w:rsidP="0078549D" w:rsidRDefault="00E270BE" w14:paraId="6D2EA831" w14:textId="77777777">
      <w:pPr>
        <w:spacing w:after="0"/>
      </w:pPr>
      <w:r>
        <w:continuationSeparator/>
      </w:r>
    </w:p>
  </w:endnote>
  <w:endnote w:type="continuationNotice" w:id="1">
    <w:p w:rsidR="00E270BE" w:rsidRDefault="00E270BE" w14:paraId="7792D5E8"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rsidRPr="0078549D" w:rsidR="0078549D" w:rsidRDefault="0078549D" w14:paraId="3FB86F15" w14:textId="094A5779">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3B25C4">
          <w:rPr>
            <w:rFonts w:ascii="Garamond" w:hAnsi="Garamond"/>
          </w:rPr>
          <w:t>18</w:t>
        </w:r>
        <w:r w:rsidRPr="008A3806">
          <w:rPr>
            <w:rFonts w:ascii="Garamond" w:hAnsi="Garamond"/>
          </w:rPr>
          <w:t xml:space="preserve"> Street Law, Inc.</w:t>
        </w:r>
        <w:r w:rsidRPr="008A3806">
          <w:rPr>
            <w:rFonts w:ascii="Garamond" w:hAnsi="Garamond"/>
          </w:rPr>
          <w:tab/>
        </w:r>
        <w:r w:rsidRPr="008A3806">
          <w:rPr>
            <w:rFonts w:ascii="Garamond" w:hAnsi="Garamond"/>
          </w:rPr>
          <w:tab/>
        </w:r>
        <w:r w:rsidRPr="008A3806">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B91534">
          <w:rPr>
            <w:rFonts w:ascii="Garamond" w:hAnsi="Garamond"/>
            <w:noProof/>
          </w:rPr>
          <w:t>1</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63BC6" w:rsidR="00B63BC6" w:rsidRDefault="00B63BC6" w14:paraId="2E077900" w14:textId="69F34D36">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A3459C">
      <w:rPr>
        <w:rFonts w:ascii="Garamond" w:hAnsi="Garamond"/>
      </w:rPr>
      <w:t>18</w:t>
    </w:r>
    <w:r w:rsidRPr="008A3806">
      <w:rPr>
        <w:rFonts w:ascii="Garamond" w:hAnsi="Garamond"/>
      </w:rPr>
      <w:t xml:space="preserve"> Street Law, Inc.</w:t>
    </w:r>
    <w:r w:rsidRPr="008A3806">
      <w:rPr>
        <w:rFonts w:ascii="Garamond" w:hAnsi="Garamond"/>
      </w:rPr>
      <w:tab/>
    </w:r>
    <w:r w:rsidRPr="008A3806">
      <w:rPr>
        <w:rFonts w:ascii="Garamond" w:hAnsi="Garamond"/>
      </w:rPr>
      <w:tab/>
    </w:r>
    <w:r w:rsidRPr="008A3806">
      <w:rPr>
        <w:rFonts w:ascii="Garamond" w:hAnsi="Garamond"/>
      </w:rPr>
      <w:t xml:space="preserve">  </w:t>
    </w:r>
    <w:r>
      <w:rPr>
        <w:rFonts w:ascii="Garamond" w:hAnsi="Garamond"/>
      </w:rPr>
      <w:t xml:space="preserve">Last updated: </w:t>
    </w:r>
    <w:r w:rsidR="004B3FAC">
      <w:rPr>
        <w:rFonts w:ascii="Garamond" w:hAnsi="Garamond"/>
      </w:rPr>
      <w:t>11</w:t>
    </w:r>
    <w:r>
      <w:rPr>
        <w:rFonts w:ascii="Garamond" w:hAnsi="Garamond"/>
      </w:rPr>
      <w:t>/</w:t>
    </w:r>
    <w:r w:rsidR="004B3FAC">
      <w:rPr>
        <w:rFonts w:ascii="Garamond" w:hAnsi="Garamond"/>
      </w:rPr>
      <w:t>01</w:t>
    </w:r>
    <w:r>
      <w:rPr>
        <w:rFonts w:ascii="Garamond" w:hAnsi="Garamond"/>
      </w:rPr>
      <w:t>/202</w:t>
    </w:r>
    <w:r w:rsidR="004B3FAC">
      <w:rPr>
        <w:rFonts w:ascii="Garamond" w:hAnsi="Garamond"/>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70BE" w:rsidP="0078549D" w:rsidRDefault="00E270BE" w14:paraId="6BA58CF4" w14:textId="77777777">
      <w:pPr>
        <w:spacing w:after="0"/>
      </w:pPr>
      <w:r>
        <w:separator/>
      </w:r>
    </w:p>
  </w:footnote>
  <w:footnote w:type="continuationSeparator" w:id="0">
    <w:p w:rsidR="00E270BE" w:rsidP="0078549D" w:rsidRDefault="00E270BE" w14:paraId="0542161F" w14:textId="77777777">
      <w:pPr>
        <w:spacing w:after="0"/>
      </w:pPr>
      <w:r>
        <w:continuationSeparator/>
      </w:r>
    </w:p>
  </w:footnote>
  <w:footnote w:type="continuationNotice" w:id="1">
    <w:p w:rsidR="00E270BE" w:rsidRDefault="00E270BE" w14:paraId="58820403"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B3FAC" w:rsidR="0078549D" w:rsidP="004B3FAC" w:rsidRDefault="004B3FAC" w14:paraId="3CCAE692" w14:textId="033376E9">
    <w:pPr>
      <w:pStyle w:val="Header"/>
      <w:jc w:val="right"/>
      <w:rPr>
        <w:rFonts w:ascii="Garamond" w:hAnsi="Garamond"/>
      </w:rPr>
    </w:pPr>
    <w:r w:rsidRPr="004B3FAC">
      <w:rPr>
        <w:rFonts w:ascii="Garamond" w:hAnsi="Garamond"/>
        <w:i/>
        <w:iCs/>
        <w:noProof/>
        <w:szCs w:val="20"/>
      </w:rPr>
      <mc:AlternateContent>
        <mc:Choice Requires="wps">
          <w:drawing>
            <wp:anchor distT="0" distB="0" distL="114300" distR="114300" simplePos="0" relativeHeight="251662336" behindDoc="0" locked="0" layoutInCell="1" allowOverlap="1" wp14:anchorId="4AAEDF9E" wp14:editId="31C59DDF">
              <wp:simplePos x="0" y="0"/>
              <wp:positionH relativeFrom="column">
                <wp:posOffset>-209550</wp:posOffset>
              </wp:positionH>
              <wp:positionV relativeFrom="paragraph">
                <wp:posOffset>-171450</wp:posOffset>
              </wp:positionV>
              <wp:extent cx="2695575" cy="542925"/>
              <wp:effectExtent l="0" t="0" r="0" b="0"/>
              <wp:wrapNone/>
              <wp:docPr id="1501098775" name="Text Box 1501098775"/>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3FAC" w:rsidP="004B3FAC" w:rsidRDefault="004B3FAC" w14:paraId="55537D5D" w14:textId="77777777">
                          <w:r>
                            <w:rPr>
                              <w:noProof/>
                            </w:rPr>
                            <w:drawing>
                              <wp:inline distT="0" distB="0" distL="0" distR="0" wp14:anchorId="7EFD352B" wp14:editId="52EDB166">
                                <wp:extent cx="1828800" cy="333590"/>
                                <wp:effectExtent l="0" t="0" r="0" b="9525"/>
                                <wp:docPr id="1667038114" name="Picture 16670381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74B07006">
            <v:shapetype id="_x0000_t202" coordsize="21600,21600" o:spt="202" path="m,l,21600r21600,l21600,xe" w14:anchorId="4AAEDF9E">
              <v:stroke joinstyle="miter"/>
              <v:path gradientshapeok="t" o:connecttype="rect"/>
            </v:shapetype>
            <v:shape id="Text Box 1501098775" style="position:absolute;left:0;text-align:left;margin-left:-16.5pt;margin-top:-13.5pt;width:212.25pt;height:42.75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v:textbox>
                <w:txbxContent>
                  <w:p w:rsidR="004B3FAC" w:rsidP="004B3FAC" w:rsidRDefault="004B3FAC" w14:paraId="0A37501D" w14:textId="77777777">
                    <w:r>
                      <w:rPr>
                        <w:noProof/>
                      </w:rPr>
                      <w:drawing>
                        <wp:inline distT="0" distB="0" distL="0" distR="0" wp14:anchorId="70E7DA65" wp14:editId="52EDB166">
                          <wp:extent cx="1828800" cy="333590"/>
                          <wp:effectExtent l="0" t="0" r="0" b="9525"/>
                          <wp:docPr id="2010124379" name="Picture 166703811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4B3FAC">
      <w:rPr>
        <w:rFonts w:ascii="Garamond" w:hAnsi="Garamond"/>
        <w:i/>
        <w:iCs/>
        <w:szCs w:val="20"/>
      </w:rPr>
      <w:t>Roe v. Wade</w:t>
    </w:r>
    <w:r w:rsidRPr="004B3FAC">
      <w:rPr>
        <w:rFonts w:ascii="Garamond" w:hAnsi="Garamond"/>
        <w:szCs w:val="20"/>
      </w:rPr>
      <w:t xml:space="preserve"> (1973)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B3FAC" w:rsidR="004B3FAC" w:rsidP="004B3FAC" w:rsidRDefault="004B3FAC" w14:paraId="025197A5" w14:textId="77777777">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60288" behindDoc="0" locked="0" layoutInCell="1" allowOverlap="1" wp14:anchorId="0F33511D" wp14:editId="3EBB738B">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3FAC" w:rsidP="004B3FAC" w:rsidRDefault="004B3FAC" w14:paraId="30E668DC" w14:textId="77777777">
                          <w:r>
                            <w:rPr>
                              <w:noProof/>
                            </w:rPr>
                            <w:drawing>
                              <wp:inline distT="0" distB="0" distL="0" distR="0" wp14:anchorId="125186CF" wp14:editId="5CAD603B">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1C57AB83">
            <v:shapetype id="_x0000_t202" coordsize="21600,21600" o:spt="202" path="m,l,21600r21600,l21600,xe" w14:anchorId="0F33511D">
              <v:stroke joinstyle="miter"/>
              <v:path gradientshapeok="t" o:connecttype="rect"/>
            </v:shapetype>
            <v:shape id="Text Box 1589829237" style="position:absolute;left:0;text-align:left;margin-left:-16.5pt;margin-top:-13.5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v:textbox>
                <w:txbxContent>
                  <w:p w:rsidR="004B3FAC" w:rsidP="004B3FAC" w:rsidRDefault="004B3FAC" w14:paraId="672A6659" w14:textId="77777777">
                    <w:r>
                      <w:rPr>
                        <w:noProof/>
                      </w:rPr>
                      <w:drawing>
                        <wp:inline distT="0" distB="0" distL="0" distR="0" wp14:anchorId="0D845786" wp14:editId="5CAD603B">
                          <wp:extent cx="1828800" cy="333590"/>
                          <wp:effectExtent l="0" t="0" r="0" b="9525"/>
                          <wp:docPr id="34706131"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4B3FAC">
      <w:rPr>
        <w:rFonts w:ascii="Garamond" w:hAnsi="Garamond"/>
        <w:szCs w:val="20"/>
      </w:rPr>
      <w:t>Street Law Case Summary</w:t>
    </w:r>
  </w:p>
  <w:p w:rsidR="00B63BC6" w:rsidRDefault="00B63BC6" w14:paraId="398D7A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D25A7"/>
    <w:multiLevelType w:val="hybridMultilevel"/>
    <w:tmpl w:val="86362D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1742E0"/>
    <w:multiLevelType w:val="hybridMultilevel"/>
    <w:tmpl w:val="B658EC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1A3C8F"/>
    <w:multiLevelType w:val="hybridMultilevel"/>
    <w:tmpl w:val="BAE45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21EE5"/>
    <w:multiLevelType w:val="hybridMultilevel"/>
    <w:tmpl w:val="F4ECB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3A422E"/>
    <w:multiLevelType w:val="hybridMultilevel"/>
    <w:tmpl w:val="6EC848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8F30F45"/>
    <w:multiLevelType w:val="hybridMultilevel"/>
    <w:tmpl w:val="1FAA036C"/>
    <w:lvl w:ilvl="0" w:tplc="23EC8CB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BB2BD7"/>
    <w:multiLevelType w:val="hybridMultilevel"/>
    <w:tmpl w:val="3D4AB7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3073E21"/>
    <w:multiLevelType w:val="hybridMultilevel"/>
    <w:tmpl w:val="C09CDA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34D2CC2"/>
    <w:multiLevelType w:val="hybridMultilevel"/>
    <w:tmpl w:val="B874DA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5E1016C"/>
    <w:multiLevelType w:val="hybridMultilevel"/>
    <w:tmpl w:val="87DC8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C733A"/>
    <w:multiLevelType w:val="hybridMultilevel"/>
    <w:tmpl w:val="94CA8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8883EB8"/>
    <w:multiLevelType w:val="hybridMultilevel"/>
    <w:tmpl w:val="BDBC6294"/>
    <w:lvl w:ilvl="0" w:tplc="7FAA14AC">
      <w:start w:val="1"/>
      <w:numFmt w:val="bullet"/>
      <w:lvlText w:val="-"/>
      <w:lvlJc w:val="left"/>
      <w:pPr>
        <w:ind w:left="720" w:hanging="360"/>
      </w:pPr>
      <w:rPr>
        <w:rFonts w:hint="default" w:ascii="Courier New" w:hAnsi="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A544494"/>
    <w:multiLevelType w:val="hybridMultilevel"/>
    <w:tmpl w:val="60E82AE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7F2D3815"/>
    <w:multiLevelType w:val="hybridMultilevel"/>
    <w:tmpl w:val="B1548D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37552552">
    <w:abstractNumId w:val="8"/>
  </w:num>
  <w:num w:numId="2" w16cid:durableId="1547794071">
    <w:abstractNumId w:val="3"/>
  </w:num>
  <w:num w:numId="3" w16cid:durableId="1816527461">
    <w:abstractNumId w:val="2"/>
  </w:num>
  <w:num w:numId="4" w16cid:durableId="37365958">
    <w:abstractNumId w:val="5"/>
  </w:num>
  <w:num w:numId="5" w16cid:durableId="1966305310">
    <w:abstractNumId w:val="11"/>
  </w:num>
  <w:num w:numId="6" w16cid:durableId="1795563435">
    <w:abstractNumId w:val="6"/>
  </w:num>
  <w:num w:numId="7" w16cid:durableId="1398898464">
    <w:abstractNumId w:val="11"/>
    <w:lvlOverride w:ilvl="0">
      <w:startOverride w:val="1"/>
    </w:lvlOverride>
  </w:num>
  <w:num w:numId="8" w16cid:durableId="456682471">
    <w:abstractNumId w:val="11"/>
    <w:lvlOverride w:ilvl="0">
      <w:startOverride w:val="1"/>
    </w:lvlOverride>
  </w:num>
  <w:num w:numId="9" w16cid:durableId="94714066">
    <w:abstractNumId w:val="11"/>
    <w:lvlOverride w:ilvl="0">
      <w:startOverride w:val="1"/>
    </w:lvlOverride>
  </w:num>
  <w:num w:numId="10" w16cid:durableId="410009618">
    <w:abstractNumId w:val="11"/>
    <w:lvlOverride w:ilvl="0">
      <w:startOverride w:val="1"/>
    </w:lvlOverride>
  </w:num>
  <w:num w:numId="11" w16cid:durableId="264773944">
    <w:abstractNumId w:val="12"/>
  </w:num>
  <w:num w:numId="12" w16cid:durableId="165828758">
    <w:abstractNumId w:val="1"/>
  </w:num>
  <w:num w:numId="13" w16cid:durableId="855582764">
    <w:abstractNumId w:val="7"/>
  </w:num>
  <w:num w:numId="14" w16cid:durableId="957489639">
    <w:abstractNumId w:val="19"/>
  </w:num>
  <w:num w:numId="15" w16cid:durableId="2033066556">
    <w:abstractNumId w:val="0"/>
  </w:num>
  <w:num w:numId="16" w16cid:durableId="1394891107">
    <w:abstractNumId w:val="14"/>
  </w:num>
  <w:num w:numId="17" w16cid:durableId="1715276861">
    <w:abstractNumId w:val="16"/>
  </w:num>
  <w:num w:numId="18" w16cid:durableId="1090857665">
    <w:abstractNumId w:val="18"/>
  </w:num>
  <w:num w:numId="19" w16cid:durableId="1507404926">
    <w:abstractNumId w:val="9"/>
  </w:num>
  <w:num w:numId="20" w16cid:durableId="1446801995">
    <w:abstractNumId w:val="13"/>
  </w:num>
  <w:num w:numId="21" w16cid:durableId="945428883">
    <w:abstractNumId w:val="4"/>
  </w:num>
  <w:num w:numId="22" w16cid:durableId="708191724">
    <w:abstractNumId w:val="15"/>
  </w:num>
  <w:num w:numId="23" w16cid:durableId="333801361">
    <w:abstractNumId w:val="8"/>
  </w:num>
  <w:num w:numId="24" w16cid:durableId="1985621249">
    <w:abstractNumId w:val="17"/>
  </w:num>
  <w:num w:numId="25" w16cid:durableId="1687101365">
    <w:abstractNumId w:val="1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219"/>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zMDYwNDQxNjI0MTRT0lEKTi0uzszPAykwrAUAW8xqECwAAAA="/>
  </w:docVars>
  <w:rsids>
    <w:rsidRoot w:val="00A3459C"/>
    <w:rsid w:val="00011944"/>
    <w:rsid w:val="00026890"/>
    <w:rsid w:val="00031F6E"/>
    <w:rsid w:val="00035B0D"/>
    <w:rsid w:val="00035EE0"/>
    <w:rsid w:val="00040C2D"/>
    <w:rsid w:val="00051558"/>
    <w:rsid w:val="000C20F8"/>
    <w:rsid w:val="000E0F3A"/>
    <w:rsid w:val="000E239D"/>
    <w:rsid w:val="000F6C51"/>
    <w:rsid w:val="00136C23"/>
    <w:rsid w:val="00147C6B"/>
    <w:rsid w:val="00161C2E"/>
    <w:rsid w:val="00166EC0"/>
    <w:rsid w:val="00170B98"/>
    <w:rsid w:val="00173271"/>
    <w:rsid w:val="00192AF2"/>
    <w:rsid w:val="00194F55"/>
    <w:rsid w:val="001B021E"/>
    <w:rsid w:val="001B33DC"/>
    <w:rsid w:val="001D5475"/>
    <w:rsid w:val="002342A2"/>
    <w:rsid w:val="00240910"/>
    <w:rsid w:val="00274907"/>
    <w:rsid w:val="00280A67"/>
    <w:rsid w:val="00290061"/>
    <w:rsid w:val="00291E3B"/>
    <w:rsid w:val="002B4D38"/>
    <w:rsid w:val="002B6035"/>
    <w:rsid w:val="002C68A3"/>
    <w:rsid w:val="002C6BCA"/>
    <w:rsid w:val="002E6666"/>
    <w:rsid w:val="002F0292"/>
    <w:rsid w:val="00304C79"/>
    <w:rsid w:val="00310F79"/>
    <w:rsid w:val="00317735"/>
    <w:rsid w:val="0035288A"/>
    <w:rsid w:val="00362ADF"/>
    <w:rsid w:val="00375090"/>
    <w:rsid w:val="00396AEB"/>
    <w:rsid w:val="003B25C4"/>
    <w:rsid w:val="003F1AB5"/>
    <w:rsid w:val="003F30C5"/>
    <w:rsid w:val="0042155D"/>
    <w:rsid w:val="004842F1"/>
    <w:rsid w:val="004868FA"/>
    <w:rsid w:val="00487DA9"/>
    <w:rsid w:val="00497020"/>
    <w:rsid w:val="004B17F4"/>
    <w:rsid w:val="004B3FAC"/>
    <w:rsid w:val="004B560A"/>
    <w:rsid w:val="004D15E0"/>
    <w:rsid w:val="005026B0"/>
    <w:rsid w:val="005311FB"/>
    <w:rsid w:val="00541292"/>
    <w:rsid w:val="005A022E"/>
    <w:rsid w:val="005A0330"/>
    <w:rsid w:val="005C4EE4"/>
    <w:rsid w:val="005E3366"/>
    <w:rsid w:val="00615253"/>
    <w:rsid w:val="00647D63"/>
    <w:rsid w:val="00682B48"/>
    <w:rsid w:val="00694AE4"/>
    <w:rsid w:val="006C0FB4"/>
    <w:rsid w:val="006C503F"/>
    <w:rsid w:val="006D1853"/>
    <w:rsid w:val="006D54A1"/>
    <w:rsid w:val="006F2C29"/>
    <w:rsid w:val="0071682A"/>
    <w:rsid w:val="00745204"/>
    <w:rsid w:val="00780E80"/>
    <w:rsid w:val="0078549D"/>
    <w:rsid w:val="007B3A91"/>
    <w:rsid w:val="007B44C1"/>
    <w:rsid w:val="007B4E71"/>
    <w:rsid w:val="007C32E9"/>
    <w:rsid w:val="007E788E"/>
    <w:rsid w:val="007F700D"/>
    <w:rsid w:val="00815CB0"/>
    <w:rsid w:val="0081706F"/>
    <w:rsid w:val="00823FFB"/>
    <w:rsid w:val="00826E63"/>
    <w:rsid w:val="008344B3"/>
    <w:rsid w:val="0085309A"/>
    <w:rsid w:val="008620F3"/>
    <w:rsid w:val="00891B4C"/>
    <w:rsid w:val="008C214A"/>
    <w:rsid w:val="009102A2"/>
    <w:rsid w:val="0091043C"/>
    <w:rsid w:val="009243ED"/>
    <w:rsid w:val="00953764"/>
    <w:rsid w:val="009648BA"/>
    <w:rsid w:val="0096590C"/>
    <w:rsid w:val="00974491"/>
    <w:rsid w:val="009759C6"/>
    <w:rsid w:val="009A6B73"/>
    <w:rsid w:val="009D6B03"/>
    <w:rsid w:val="009F5E9B"/>
    <w:rsid w:val="00A05AB4"/>
    <w:rsid w:val="00A20286"/>
    <w:rsid w:val="00A20C53"/>
    <w:rsid w:val="00A3459C"/>
    <w:rsid w:val="00A5746A"/>
    <w:rsid w:val="00A64478"/>
    <w:rsid w:val="00A875E5"/>
    <w:rsid w:val="00AC166B"/>
    <w:rsid w:val="00AD14E4"/>
    <w:rsid w:val="00AD2A3E"/>
    <w:rsid w:val="00AE0C77"/>
    <w:rsid w:val="00B25079"/>
    <w:rsid w:val="00B46027"/>
    <w:rsid w:val="00B61B98"/>
    <w:rsid w:val="00B62487"/>
    <w:rsid w:val="00B63BC6"/>
    <w:rsid w:val="00B91534"/>
    <w:rsid w:val="00BB6622"/>
    <w:rsid w:val="00BC0DCE"/>
    <w:rsid w:val="00BC4228"/>
    <w:rsid w:val="00BE4A01"/>
    <w:rsid w:val="00BF1235"/>
    <w:rsid w:val="00BF7184"/>
    <w:rsid w:val="00C05A0F"/>
    <w:rsid w:val="00C15E49"/>
    <w:rsid w:val="00C246EA"/>
    <w:rsid w:val="00C30920"/>
    <w:rsid w:val="00C7080C"/>
    <w:rsid w:val="00C738B5"/>
    <w:rsid w:val="00C73D1D"/>
    <w:rsid w:val="00C75173"/>
    <w:rsid w:val="00D10624"/>
    <w:rsid w:val="00D16C00"/>
    <w:rsid w:val="00D5735D"/>
    <w:rsid w:val="00D6790B"/>
    <w:rsid w:val="00D878D0"/>
    <w:rsid w:val="00D92B24"/>
    <w:rsid w:val="00DA147A"/>
    <w:rsid w:val="00DA40E1"/>
    <w:rsid w:val="00DB2AD9"/>
    <w:rsid w:val="00DC7836"/>
    <w:rsid w:val="00DD5CCF"/>
    <w:rsid w:val="00DE1459"/>
    <w:rsid w:val="00DE3D18"/>
    <w:rsid w:val="00E05BF4"/>
    <w:rsid w:val="00E15F8F"/>
    <w:rsid w:val="00E270BE"/>
    <w:rsid w:val="00E41755"/>
    <w:rsid w:val="00E51D8F"/>
    <w:rsid w:val="00E712DC"/>
    <w:rsid w:val="00E7613C"/>
    <w:rsid w:val="00E879B3"/>
    <w:rsid w:val="00E964B9"/>
    <w:rsid w:val="00ED2E3A"/>
    <w:rsid w:val="00ED4893"/>
    <w:rsid w:val="00F00EDA"/>
    <w:rsid w:val="00F20EAE"/>
    <w:rsid w:val="00F47B39"/>
    <w:rsid w:val="00F76189"/>
    <w:rsid w:val="00FC5BD8"/>
    <w:rsid w:val="00FD28AE"/>
    <w:rsid w:val="033127E3"/>
    <w:rsid w:val="0F937A97"/>
    <w:rsid w:val="22E92CA9"/>
    <w:rsid w:val="7F70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9978"/>
  <w15:docId w15:val="{BB3F883B-9010-4020-956E-5E941335AB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459C"/>
    <w:pPr>
      <w:spacing w:line="240" w:lineRule="auto"/>
    </w:pPr>
    <w:rPr>
      <w:rFonts w:ascii="Garamond" w:hAnsi="Garamond"/>
      <w:sz w:val="24"/>
    </w:rPr>
  </w:style>
  <w:style w:type="paragraph" w:styleId="Heading1">
    <w:name w:val="heading 1"/>
    <w:basedOn w:val="Normal"/>
    <w:next w:val="Normal"/>
    <w:link w:val="Heading1Char"/>
    <w:uiPriority w:val="9"/>
    <w:rsid w:val="002C6BCA"/>
    <w:pPr>
      <w:keepNext/>
      <w:keepLines/>
      <w:spacing w:before="360" w:after="240" w:line="276" w:lineRule="auto"/>
      <w:jc w:val="center"/>
      <w:outlineLvl w:val="0"/>
    </w:pPr>
    <w:rPr>
      <w:rFonts w:ascii="Gill Sans MT" w:hAnsi="Gill Sans MT" w:eastAsiaTheme="majorEastAsia" w:cstheme="majorBidi"/>
      <w:b/>
      <w:bCs/>
      <w:i/>
      <w:iCs/>
      <w:sz w:val="36"/>
      <w:szCs w:val="36"/>
    </w:rPr>
  </w:style>
  <w:style w:type="paragraph" w:styleId="Heading2">
    <w:name w:val="heading 2"/>
    <w:basedOn w:val="Normal"/>
    <w:next w:val="Normal"/>
    <w:link w:val="Heading2Char"/>
    <w:uiPriority w:val="9"/>
    <w:semiHidden/>
    <w:unhideWhenUsed/>
    <w:rsid w:val="00040C2D"/>
    <w:pPr>
      <w:keepNext/>
      <w:keepLines/>
      <w:spacing w:before="40" w:after="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6BCA"/>
    <w:rPr>
      <w:rFonts w:ascii="Gill Sans MT" w:hAnsi="Gill Sans MT" w:eastAsiaTheme="majorEastAsia" w:cstheme="majorBidi"/>
      <w:b/>
      <w:bCs/>
      <w:i/>
      <w:iCs/>
      <w:sz w:val="36"/>
      <w:szCs w:val="36"/>
    </w:rPr>
  </w:style>
  <w:style w:type="paragraph" w:styleId="Title1sl" w:customStyle="1">
    <w:name w:val="Title 1_sl"/>
    <w:basedOn w:val="Normal"/>
    <w:link w:val="Title1slChar"/>
    <w:qFormat/>
    <w:rsid w:val="00375090"/>
    <w:pPr>
      <w:spacing w:before="360" w:after="240"/>
    </w:pPr>
    <w:rPr>
      <w:rFonts w:ascii="Gill Sans MT" w:hAnsi="Gill Sans MT"/>
      <w:b/>
      <w:sz w:val="48"/>
      <w:szCs w:val="48"/>
    </w:rPr>
  </w:style>
  <w:style w:type="paragraph" w:styleId="Title2sl" w:customStyle="1">
    <w:name w:val="Title 2_sl"/>
    <w:basedOn w:val="Normal"/>
    <w:link w:val="Title2slChar"/>
    <w:qFormat/>
    <w:rsid w:val="00375090"/>
    <w:pPr>
      <w:spacing w:before="360" w:after="240"/>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375090"/>
    <w:pPr>
      <w:spacing w:before="360" w:after="120"/>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A3459C"/>
    <w:pPr>
      <w:keepNext/>
      <w:tabs>
        <w:tab w:val="left" w:pos="2114"/>
      </w:tabs>
      <w:spacing w:before="240" w:after="120" w:line="276" w:lineRule="auto"/>
    </w:pPr>
    <w:rPr>
      <w:rFonts w:ascii="Gill Sans MT" w:hAnsi="Gill Sans MT"/>
      <w:b/>
      <w:i/>
      <w:szCs w:val="24"/>
    </w:rPr>
  </w:style>
  <w:style w:type="character" w:styleId="Subhead1slChar" w:customStyle="1">
    <w:name w:val="Subhead 1_sl Char"/>
    <w:basedOn w:val="DefaultParagraphFont"/>
    <w:link w:val="Subhead1sl"/>
    <w:rsid w:val="00375090"/>
    <w:rPr>
      <w:rFonts w:ascii="Gill Sans MT" w:hAnsi="Gill Sans MT"/>
      <w:b/>
      <w:sz w:val="28"/>
      <w:szCs w:val="28"/>
    </w:rPr>
  </w:style>
  <w:style w:type="paragraph" w:styleId="Basiccopysl" w:customStyle="1">
    <w:name w:val="Basic copy_sl"/>
    <w:basedOn w:val="Normal"/>
    <w:link w:val="BasiccopyslChar"/>
    <w:qFormat/>
    <w:rsid w:val="00317735"/>
    <w:pPr>
      <w:spacing w:after="120"/>
    </w:pPr>
    <w:rPr>
      <w:szCs w:val="24"/>
    </w:rPr>
  </w:style>
  <w:style w:type="character" w:styleId="Subhead2slChar" w:customStyle="1">
    <w:name w:val="Subhead 2_sl Char"/>
    <w:basedOn w:val="DefaultParagraphFont"/>
    <w:link w:val="Subhead2sl"/>
    <w:rsid w:val="00A3459C"/>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pPr>
    <w:rPr>
      <w:szCs w:val="24"/>
    </w:rPr>
  </w:style>
  <w:style w:type="character" w:styleId="BasiccopyslChar" w:customStyle="1">
    <w:name w:val="Basic copy_sl Char"/>
    <w:basedOn w:val="DefaultParagraphFont"/>
    <w:link w:val="Basiccopysl"/>
    <w:rsid w:val="00317735"/>
    <w:rPr>
      <w:rFonts w:ascii="Garamond" w:hAnsi="Garamond"/>
      <w:sz w:val="24"/>
      <w:szCs w:val="24"/>
    </w:rPr>
  </w:style>
  <w:style w:type="paragraph" w:styleId="Numberedlistsl" w:customStyle="1">
    <w:name w:val="Numbered list_sl"/>
    <w:basedOn w:val="Normal"/>
    <w:link w:val="NumberedlistslChar"/>
    <w:qFormat/>
    <w:rsid w:val="00317735"/>
    <w:pPr>
      <w:numPr>
        <w:numId w:val="2"/>
      </w:numPr>
      <w:spacing w:after="120"/>
      <w:ind w:left="720"/>
    </w:pPr>
    <w:rPr>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line="259" w:lineRule="auto"/>
      <w:ind w:left="1260"/>
    </w:pPr>
    <w:rPr>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ind w:left="1800" w:hanging="360"/>
    </w:pPr>
    <w:rPr>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pPr>
    <w:rPr>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line="259" w:lineRule="auto"/>
      <w:ind w:left="900" w:hanging="540"/>
    </w:pPr>
    <w:rPr>
      <w:b/>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pPr>
    <w:rPr>
      <w:rFonts w:asciiTheme="minorHAnsi" w:hAnsiTheme="minorHAnsi"/>
      <w:sz w:val="22"/>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rPr>
      <w:rFonts w:asciiTheme="minorHAnsi" w:hAnsiTheme="minorHAnsi"/>
      <w:sz w:val="22"/>
    </w:r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rPr>
      <w:rFonts w:asciiTheme="minorHAnsi" w:hAnsiTheme="minorHAnsi"/>
      <w:sz w:val="22"/>
    </w:r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b/>
      <w:sz w:val="24"/>
      <w:szCs w:val="24"/>
    </w:rPr>
  </w:style>
  <w:style w:type="paragraph" w:styleId="NormalWeb">
    <w:name w:val="Normal (Web)"/>
    <w:basedOn w:val="Normal"/>
    <w:uiPriority w:val="99"/>
    <w:unhideWhenUsed/>
    <w:rsid w:val="000F6C51"/>
    <w:pPr>
      <w:spacing w:before="100" w:beforeAutospacing="1" w:after="100" w:afterAutospacing="1"/>
    </w:pPr>
    <w:rPr>
      <w:rFonts w:ascii="Times New Roman" w:hAnsi="Times New Roman" w:eastAsia="Times New Roman" w:cs="Times New Roman"/>
      <w:szCs w:val="24"/>
    </w:rPr>
  </w:style>
  <w:style w:type="character" w:styleId="heading" w:customStyle="1">
    <w:name w:val="heading"/>
    <w:basedOn w:val="DefaultParagraphFont"/>
    <w:rsid w:val="000F6C51"/>
  </w:style>
  <w:style w:type="paragraph" w:styleId="ListParagraph">
    <w:name w:val="List Paragraph"/>
    <w:basedOn w:val="Normal"/>
    <w:uiPriority w:val="34"/>
    <w:qFormat/>
    <w:rsid w:val="000F6C51"/>
    <w:pPr>
      <w:spacing w:after="160" w:line="259"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0F6C51"/>
    <w:rPr>
      <w:sz w:val="16"/>
      <w:szCs w:val="16"/>
    </w:rPr>
  </w:style>
  <w:style w:type="paragraph" w:styleId="CommentText">
    <w:name w:val="annotation text"/>
    <w:basedOn w:val="Normal"/>
    <w:link w:val="CommentTextChar"/>
    <w:uiPriority w:val="99"/>
    <w:semiHidden/>
    <w:unhideWhenUsed/>
    <w:rsid w:val="000F6C51"/>
    <w:pPr>
      <w:spacing w:after="160"/>
    </w:pPr>
    <w:rPr>
      <w:rFonts w:asciiTheme="minorHAnsi" w:hAnsiTheme="minorHAnsi"/>
      <w:sz w:val="20"/>
      <w:szCs w:val="20"/>
    </w:rPr>
  </w:style>
  <w:style w:type="character" w:styleId="CommentTextChar" w:customStyle="1">
    <w:name w:val="Comment Text Char"/>
    <w:basedOn w:val="DefaultParagraphFont"/>
    <w:link w:val="CommentText"/>
    <w:uiPriority w:val="99"/>
    <w:semiHidden/>
    <w:rsid w:val="000F6C51"/>
    <w:rPr>
      <w:sz w:val="20"/>
      <w:szCs w:val="20"/>
    </w:rPr>
  </w:style>
  <w:style w:type="paragraph" w:styleId="CommentSubject">
    <w:name w:val="annotation subject"/>
    <w:basedOn w:val="CommentText"/>
    <w:next w:val="CommentText"/>
    <w:link w:val="CommentSubjectChar"/>
    <w:uiPriority w:val="99"/>
    <w:semiHidden/>
    <w:unhideWhenUsed/>
    <w:rsid w:val="007C32E9"/>
    <w:rPr>
      <w:b/>
      <w:bCs/>
    </w:rPr>
  </w:style>
  <w:style w:type="character" w:styleId="CommentSubjectChar" w:customStyle="1">
    <w:name w:val="Comment Subject Char"/>
    <w:basedOn w:val="CommentTextChar"/>
    <w:link w:val="CommentSubject"/>
    <w:uiPriority w:val="99"/>
    <w:semiHidden/>
    <w:rsid w:val="007C32E9"/>
    <w:rPr>
      <w:b/>
      <w:bCs/>
      <w:sz w:val="20"/>
      <w:szCs w:val="20"/>
    </w:rPr>
  </w:style>
  <w:style w:type="character" w:styleId="UnresolvedMention">
    <w:name w:val="Unresolved Mention"/>
    <w:basedOn w:val="DefaultParagraphFont"/>
    <w:uiPriority w:val="99"/>
    <w:semiHidden/>
    <w:unhideWhenUsed/>
    <w:rsid w:val="007C32E9"/>
    <w:rPr>
      <w:color w:val="605E5C"/>
      <w:shd w:val="clear" w:color="auto" w:fill="E1DFDD"/>
    </w:rPr>
  </w:style>
  <w:style w:type="character" w:styleId="num" w:customStyle="1">
    <w:name w:val="num"/>
    <w:basedOn w:val="DefaultParagraphFont"/>
    <w:rsid w:val="00682B48"/>
  </w:style>
  <w:style w:type="table" w:styleId="TableGrid">
    <w:name w:val="Table Grid"/>
    <w:basedOn w:val="TableNormal"/>
    <w:uiPriority w:val="39"/>
    <w:rsid w:val="003B25C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boldsl" w:customStyle="1">
    <w:name w:val="Bullet bold_sl"/>
    <w:basedOn w:val="Bulletsl"/>
    <w:rsid w:val="00051558"/>
    <w:pPr>
      <w:spacing w:before="240" w:line="276" w:lineRule="auto"/>
    </w:pPr>
    <w:rPr>
      <w:b/>
      <w:iCs/>
    </w:rPr>
  </w:style>
  <w:style w:type="paragraph" w:styleId="Basiccopyindentedsl" w:customStyle="1">
    <w:name w:val="Basic copy_indented_sl"/>
    <w:basedOn w:val="Basiccopysl"/>
    <w:rsid w:val="00051558"/>
    <w:pPr>
      <w:ind w:left="720"/>
    </w:pPr>
    <w:rPr>
      <w:rFonts w:eastAsia="Times New Roman" w:cs="Times New Roman"/>
    </w:rPr>
  </w:style>
  <w:style w:type="character" w:styleId="Heading2Char" w:customStyle="1">
    <w:name w:val="Heading 2 Char"/>
    <w:basedOn w:val="DefaultParagraphFont"/>
    <w:link w:val="Heading2"/>
    <w:uiPriority w:val="9"/>
    <w:semiHidden/>
    <w:rsid w:val="00040C2D"/>
    <w:rPr>
      <w:rFonts w:asciiTheme="majorHAnsi" w:hAnsiTheme="majorHAnsi" w:eastAsiaTheme="majorEastAsia" w:cstheme="majorBidi"/>
      <w:color w:val="365F91" w:themeColor="accent1" w:themeShade="BF"/>
      <w:sz w:val="26"/>
      <w:szCs w:val="26"/>
    </w:rPr>
  </w:style>
  <w:style w:type="paragraph" w:styleId="Normal1" w:customStyle="1">
    <w:name w:val="Normal1"/>
    <w:rsid w:val="003F1AB5"/>
    <w:pPr>
      <w:spacing w:after="160" w:line="259" w:lineRule="auto"/>
    </w:pPr>
    <w:rPr>
      <w:rFonts w:ascii="Calibri" w:hAnsi="Calibri" w:eastAsia="Calibri" w:cs="Calibri"/>
    </w:rPr>
  </w:style>
  <w:style w:type="character" w:styleId="FootnoteReference">
    <w:name w:val="footnote reference"/>
    <w:basedOn w:val="DefaultParagraphFont"/>
    <w:uiPriority w:val="99"/>
    <w:semiHidden/>
    <w:unhideWhenUsed/>
    <w:rsid w:val="00C05A0F"/>
    <w:rPr>
      <w:vertAlign w:val="superscript"/>
    </w:rPr>
  </w:style>
  <w:style w:type="paragraph" w:styleId="Amendmentprecedentbulletsl" w:customStyle="1">
    <w:name w:val="Amendment/precedent bullet_sl"/>
    <w:basedOn w:val="Bulletsl"/>
    <w:qFormat/>
    <w:rsid w:val="002F0292"/>
    <w:pPr>
      <w:spacing w:before="240"/>
    </w:pPr>
    <w:rPr>
      <w:b/>
    </w:rPr>
  </w:style>
  <w:style w:type="paragraph" w:styleId="Indentedbasiccopysl" w:customStyle="1">
    <w:name w:val="Indented basic copy_sl"/>
    <w:basedOn w:val="Basiccopysl"/>
    <w:qFormat/>
    <w:rsid w:val="002F0292"/>
    <w:pPr>
      <w:spacing w:line="276" w:lineRule="auto"/>
      <w:ind w:left="720"/>
    </w:pPr>
  </w:style>
  <w:style w:type="paragraph" w:styleId="Argueddecideddatessl" w:customStyle="1">
    <w:name w:val="Argued/decided dates_sl"/>
    <w:basedOn w:val="Basiccopysl"/>
    <w:qFormat/>
    <w:rsid w:val="002F0292"/>
    <w:pPr>
      <w:spacing w:after="0" w:line="276" w:lineRule="auto"/>
      <w:jc w:val="center"/>
    </w:pPr>
    <w:rPr>
      <w:b/>
    </w:rPr>
  </w:style>
  <w:style w:type="paragraph" w:styleId="Default" w:customStyle="1">
    <w:name w:val="Default"/>
    <w:rsid w:val="00974491"/>
    <w:pPr>
      <w:autoSpaceDE w:val="0"/>
      <w:autoSpaceDN w:val="0"/>
      <w:adjustRightInd w:val="0"/>
      <w:spacing w:after="0" w:line="240" w:lineRule="auto"/>
    </w:pPr>
    <w:rPr>
      <w:rFonts w:ascii="Garamond" w:hAnsi="Garamond" w:cs="Garamond"/>
      <w:color w:val="000000"/>
      <w:sz w:val="24"/>
      <w:szCs w:val="24"/>
    </w:rPr>
  </w:style>
  <w:style w:type="paragraph" w:styleId="Revision">
    <w:name w:val="Revision"/>
    <w:hidden/>
    <w:uiPriority w:val="99"/>
    <w:semiHidden/>
    <w:rsid w:val="00974491"/>
    <w:pPr>
      <w:spacing w:after="0" w:line="240" w:lineRule="auto"/>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landmarkcases.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Documents\2_Comms\STYLE%20GUIDE%20+%20TOOLS\1%20-%20Templates\template%20with%20branded%20header%20+%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af227aa-5493-4bfe-a302-9771bcf92926" xsi:nil="true"/>
    <Modified_x0020_Date_x0020__x0026__x0020_Tim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1" ma:contentTypeDescription="Create a new document." ma:contentTypeScope="" ma:versionID="3d5c656b0fc03c6039c52ce2f45ebc33">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6c13660b71893d9c65fdb36a9ffe3b94"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B95D3A-D4D9-400A-8BAF-34C6EA9A1640}">
  <ds:schemaRefs>
    <ds:schemaRef ds:uri="http://schemas.microsoft.com/office/2006/metadata/properties"/>
    <ds:schemaRef ds:uri="http://schemas.microsoft.com/office/infopath/2007/PartnerControls"/>
    <ds:schemaRef ds:uri="9af227aa-5493-4bfe-a302-9771bcf92926"/>
    <ds:schemaRef ds:uri="http://schemas.microsoft.com/sharepoint/v3"/>
  </ds:schemaRefs>
</ds:datastoreItem>
</file>

<file path=customXml/itemProps2.xml><?xml version="1.0" encoding="utf-8"?>
<ds:datastoreItem xmlns:ds="http://schemas.openxmlformats.org/officeDocument/2006/customXml" ds:itemID="{BA4AD2C3-2372-45DA-87DC-20A73D61EF77}"/>
</file>

<file path=customXml/itemProps3.xml><?xml version="1.0" encoding="utf-8"?>
<ds:datastoreItem xmlns:ds="http://schemas.openxmlformats.org/officeDocument/2006/customXml" ds:itemID="{43D05946-1627-4FF0-8800-CC7B3D56AA2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branded header + copyright + page number</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ahawkins</dc:creator>
  <cp:keywords/>
  <cp:lastModifiedBy>Cathy Ruffing</cp:lastModifiedBy>
  <cp:revision>3</cp:revision>
  <dcterms:created xsi:type="dcterms:W3CDTF">2023-11-01T19:56:00Z</dcterms:created>
  <dcterms:modified xsi:type="dcterms:W3CDTF">2023-11-01T20:54:02Z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ediaServiceImageTags">
    <vt:lpwstr/>
  </property>
</Properties>
</file>