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4A1" w14:textId="77777777" w:rsidR="00CF1A03" w:rsidRPr="00EC2A62" w:rsidRDefault="00CF1A03" w:rsidP="0079735E">
      <w:pPr>
        <w:pStyle w:val="BasicParagraph"/>
        <w:spacing w:before="240" w:after="360"/>
        <w:jc w:val="center"/>
        <w:rPr>
          <w:rFonts w:ascii="Gill Sans MT" w:hAnsi="Gill Sans MT" w:cs="Times New Roman"/>
          <w:b/>
          <w:sz w:val="32"/>
          <w:szCs w:val="32"/>
        </w:rPr>
      </w:pPr>
      <w:r w:rsidRPr="00EC2A62">
        <w:rPr>
          <w:rFonts w:ascii="Gill Sans MT" w:hAnsi="Gill Sans MT" w:cs="Times New Roman"/>
          <w:b/>
          <w:sz w:val="32"/>
          <w:szCs w:val="32"/>
        </w:rPr>
        <w:t>Applying Precedents</w:t>
      </w:r>
      <w:r>
        <w:rPr>
          <w:rFonts w:ascii="Gill Sans MT" w:hAnsi="Gill Sans MT" w:cs="Times New Roman"/>
          <w:b/>
          <w:sz w:val="32"/>
          <w:szCs w:val="32"/>
        </w:rPr>
        <w:t xml:space="preserve"> Activity</w:t>
      </w:r>
    </w:p>
    <w:p w14:paraId="0C5DF1F6" w14:textId="2C4E08F4" w:rsidR="00CF1A03" w:rsidRPr="005F1098" w:rsidRDefault="00CF1A03" w:rsidP="002A6FE7">
      <w:pPr>
        <w:pStyle w:val="Title2sl"/>
        <w:spacing w:after="120"/>
        <w:jc w:val="center"/>
        <w:rPr>
          <w:rFonts w:ascii="Garamond" w:hAnsi="Garamond"/>
          <w:sz w:val="24"/>
          <w:szCs w:val="24"/>
        </w:rPr>
      </w:pPr>
      <w:r w:rsidRPr="005F1098">
        <w:rPr>
          <w:rFonts w:ascii="Garamond" w:hAnsi="Garamond"/>
          <w:sz w:val="24"/>
          <w:szCs w:val="24"/>
        </w:rPr>
        <w:t xml:space="preserve">Comparison case: </w:t>
      </w:r>
      <w:bookmarkStart w:id="0" w:name="_Hlk39609220"/>
      <w:r w:rsidR="005F1098" w:rsidRPr="00C476DB">
        <w:rPr>
          <w:rFonts w:ascii="Garamond" w:hAnsi="Garamond"/>
          <w:b w:val="0"/>
          <w:bCs/>
          <w:i/>
          <w:iCs/>
          <w:sz w:val="24"/>
          <w:szCs w:val="24"/>
        </w:rPr>
        <w:t>Obergefell v. Hodges</w:t>
      </w:r>
      <w:r w:rsidR="005F1098" w:rsidRPr="005F1098">
        <w:rPr>
          <w:rFonts w:ascii="Garamond" w:hAnsi="Garamond"/>
          <w:b w:val="0"/>
          <w:bCs/>
          <w:sz w:val="24"/>
          <w:szCs w:val="24"/>
        </w:rPr>
        <w:t xml:space="preserve"> (and consolidated cases</w:t>
      </w:r>
      <w:bookmarkEnd w:id="0"/>
      <w:r w:rsidR="005F1098" w:rsidRPr="005F1098">
        <w:rPr>
          <w:rFonts w:ascii="Garamond" w:hAnsi="Garamond"/>
          <w:b w:val="0"/>
          <w:bCs/>
          <w:sz w:val="24"/>
          <w:szCs w:val="24"/>
        </w:rPr>
        <w:t xml:space="preserve">) </w:t>
      </w:r>
      <w:r w:rsidR="005F1098" w:rsidRPr="005F1098">
        <w:rPr>
          <w:rFonts w:ascii="Garamond" w:hAnsi="Garamond"/>
          <w:b w:val="0"/>
          <w:bCs/>
          <w:iCs/>
          <w:sz w:val="24"/>
          <w:szCs w:val="24"/>
        </w:rPr>
        <w:t>(2015)</w:t>
      </w:r>
    </w:p>
    <w:p w14:paraId="3EE908BD" w14:textId="7D842D15" w:rsidR="005F1098" w:rsidRPr="005F1098" w:rsidRDefault="00CF1A03" w:rsidP="000C7504">
      <w:pPr>
        <w:pStyle w:val="Bulletboldsl"/>
        <w:numPr>
          <w:ilvl w:val="0"/>
          <w:numId w:val="0"/>
        </w:numPr>
        <w:spacing w:before="0" w:after="240"/>
        <w:ind w:left="720"/>
        <w:jc w:val="center"/>
        <w:rPr>
          <w:b w:val="0"/>
          <w:bCs/>
          <w:i/>
        </w:rPr>
      </w:pPr>
      <w:r w:rsidRPr="002E412A">
        <w:rPr>
          <w:bCs/>
        </w:rPr>
        <w:t>Precedent case</w:t>
      </w:r>
      <w:r w:rsidR="002E412A" w:rsidRPr="002E412A">
        <w:rPr>
          <w:bCs/>
        </w:rPr>
        <w:t>s</w:t>
      </w:r>
      <w:r w:rsidRPr="002E412A">
        <w:rPr>
          <w:bCs/>
        </w:rPr>
        <w:t>:</w:t>
      </w:r>
      <w:r w:rsidR="002E412A" w:rsidRPr="002E412A">
        <w:t xml:space="preserve"> </w:t>
      </w:r>
      <w:r w:rsidR="005F1098" w:rsidRPr="005F1098">
        <w:rPr>
          <w:b w:val="0"/>
          <w:bCs/>
          <w:i/>
        </w:rPr>
        <w:t xml:space="preserve">Loving v. Virginia </w:t>
      </w:r>
      <w:r w:rsidR="005F1098" w:rsidRPr="00D25125">
        <w:rPr>
          <w:b w:val="0"/>
          <w:bCs/>
          <w:iCs w:val="0"/>
        </w:rPr>
        <w:t>(1967)</w:t>
      </w:r>
      <w:r w:rsidR="00E60482">
        <w:rPr>
          <w:b w:val="0"/>
          <w:bCs/>
          <w:iCs w:val="0"/>
        </w:rPr>
        <w:t xml:space="preserve">; </w:t>
      </w:r>
      <w:r w:rsidR="005F1098" w:rsidRPr="005F1098">
        <w:rPr>
          <w:b w:val="0"/>
          <w:bCs/>
          <w:i/>
        </w:rPr>
        <w:t xml:space="preserve">Baker v. Nelson </w:t>
      </w:r>
      <w:r w:rsidR="005F1098" w:rsidRPr="00D25125">
        <w:rPr>
          <w:b w:val="0"/>
          <w:bCs/>
          <w:iCs w:val="0"/>
        </w:rPr>
        <w:t>(1972)</w:t>
      </w:r>
      <w:r w:rsidR="00E60482">
        <w:rPr>
          <w:b w:val="0"/>
          <w:bCs/>
          <w:iCs w:val="0"/>
        </w:rPr>
        <w:t xml:space="preserve">; </w:t>
      </w:r>
      <w:r w:rsidR="000C7504">
        <w:rPr>
          <w:b w:val="0"/>
          <w:bCs/>
          <w:iCs w:val="0"/>
        </w:rPr>
        <w:br/>
      </w:r>
      <w:r w:rsidR="005F1098" w:rsidRPr="005F1098">
        <w:rPr>
          <w:b w:val="0"/>
          <w:bCs/>
          <w:i/>
        </w:rPr>
        <w:t xml:space="preserve">Romer v. Evans </w:t>
      </w:r>
      <w:r w:rsidR="005F1098" w:rsidRPr="00D25125">
        <w:rPr>
          <w:b w:val="0"/>
          <w:bCs/>
          <w:iCs w:val="0"/>
        </w:rPr>
        <w:t>(1996)</w:t>
      </w:r>
      <w:r w:rsidR="00E60482">
        <w:rPr>
          <w:b w:val="0"/>
          <w:bCs/>
          <w:iCs w:val="0"/>
        </w:rPr>
        <w:t xml:space="preserve">; </w:t>
      </w:r>
      <w:r w:rsidR="000C7504">
        <w:rPr>
          <w:b w:val="0"/>
          <w:bCs/>
          <w:iCs w:val="0"/>
        </w:rPr>
        <w:t xml:space="preserve">and </w:t>
      </w:r>
      <w:r w:rsidR="005F1098" w:rsidRPr="005F1098">
        <w:rPr>
          <w:b w:val="0"/>
          <w:bCs/>
          <w:i/>
        </w:rPr>
        <w:t xml:space="preserve">Windsor v. United States </w:t>
      </w:r>
      <w:r w:rsidR="005F1098" w:rsidRPr="00D25125">
        <w:rPr>
          <w:b w:val="0"/>
          <w:bCs/>
          <w:iCs w:val="0"/>
        </w:rPr>
        <w:t>(2013)</w:t>
      </w:r>
    </w:p>
    <w:p w14:paraId="1E80A943" w14:textId="77777777" w:rsidR="006502FE" w:rsidRPr="00922034" w:rsidRDefault="006502FE" w:rsidP="006502FE">
      <w:pPr>
        <w:pStyle w:val="Basiccopysl"/>
        <w:rPr>
          <w:bCs/>
        </w:rPr>
      </w:pPr>
      <w:r w:rsidRPr="00922034">
        <w:rPr>
          <w:b/>
        </w:rPr>
        <w:t>What you need to know before you begin:</w:t>
      </w:r>
      <w:r w:rsidRPr="00922034">
        <w:rPr>
          <w:bCs/>
        </w:rPr>
        <w:t xml:space="preserve"> When the Supreme Court decides a case, it clarifies the law and serves as guidance for how future cases should be decided. Before the Supreme Court </w:t>
      </w:r>
      <w:proofErr w:type="gramStart"/>
      <w:r w:rsidRPr="00922034">
        <w:rPr>
          <w:bCs/>
        </w:rPr>
        <w:t>makes a decision</w:t>
      </w:r>
      <w:proofErr w:type="gramEnd"/>
      <w:r w:rsidRPr="00922034">
        <w:rPr>
          <w:bCs/>
        </w:rPr>
        <w:t>, it always looks to precedents</w:t>
      </w:r>
      <w:r>
        <w:rPr>
          <w:bCs/>
        </w:rPr>
        <w:t>—</w:t>
      </w:r>
      <w:r w:rsidRPr="00922034">
        <w:rPr>
          <w:bCs/>
        </w:rPr>
        <w:t>past Supreme Court decisions about the same topic</w:t>
      </w:r>
      <w:r>
        <w:rPr>
          <w:bCs/>
        </w:rPr>
        <w:t>—</w:t>
      </w:r>
      <w:r w:rsidRPr="00922034">
        <w:rPr>
          <w:bCs/>
        </w:rPr>
        <w:t xml:space="preserve">to help make the decision. A principle called </w:t>
      </w:r>
      <w:r w:rsidRPr="00922034">
        <w:rPr>
          <w:bCs/>
          <w:i/>
          <w:iCs/>
        </w:rPr>
        <w:t>stare decisis</w:t>
      </w:r>
      <w:r w:rsidRPr="00922034">
        <w:rPr>
          <w:bCs/>
        </w:rPr>
        <w:t xml:space="preserve"> (literally </w:t>
      </w:r>
      <w:r>
        <w:rPr>
          <w:bCs/>
        </w:rPr>
        <w:t>“</w:t>
      </w:r>
      <w:r w:rsidRPr="00922034">
        <w:rPr>
          <w:bCs/>
        </w:rPr>
        <w:t>let the decision stand</w:t>
      </w:r>
      <w:r>
        <w:rPr>
          <w:bCs/>
        </w:rPr>
        <w:t>”</w:t>
      </w:r>
      <w:r w:rsidRPr="00922034">
        <w:rPr>
          <w:bCs/>
        </w:rPr>
        <w:t xml:space="preserve">) requires that the precedent be followed. If the case </w:t>
      </w:r>
      <w:r>
        <w:rPr>
          <w:bCs/>
        </w:rPr>
        <w:t xml:space="preserve">being </w:t>
      </w:r>
      <w:r w:rsidRPr="00922034">
        <w:rPr>
          <w:bCs/>
        </w:rPr>
        <w:t>decid</w:t>
      </w:r>
      <w:r>
        <w:rPr>
          <w:bCs/>
        </w:rPr>
        <w:t xml:space="preserve">ed </w:t>
      </w:r>
      <w:r w:rsidRPr="00922034">
        <w:rPr>
          <w:bCs/>
        </w:rPr>
        <w:t xml:space="preserve">is legally identical to a past decision, then the precedent is considered binding and the Supreme Court must decide the matter the same way. However, cases that make it to the Supreme Court are typically not completely identical to past cases, and </w:t>
      </w:r>
      <w:r>
        <w:rPr>
          <w:bCs/>
        </w:rPr>
        <w:t>j</w:t>
      </w:r>
      <w:r w:rsidRPr="00922034">
        <w:rPr>
          <w:bCs/>
        </w:rPr>
        <w:t>ustices must consider the similarities and differences when deciding a case.</w:t>
      </w:r>
    </w:p>
    <w:p w14:paraId="48EA328D" w14:textId="77777777" w:rsidR="006502FE" w:rsidRPr="00922034" w:rsidRDefault="006502FE" w:rsidP="006502FE">
      <w:pPr>
        <w:pStyle w:val="Basiccopysl"/>
        <w:rPr>
          <w:bCs/>
        </w:rPr>
      </w:pPr>
      <w:r w:rsidRPr="00922034">
        <w:rPr>
          <w:bCs/>
        </w:rPr>
        <w:t>The process of comparing past decisions to new cases is called applying precedent. Lawyers often argue for their side by showing how previous decisions would support the Supreme Court deciding in their favor. This might mean showing how a previous decision that supports their side is analogous (similar) to the case at hand</w:t>
      </w:r>
      <w:r>
        <w:rPr>
          <w:bCs/>
        </w:rPr>
        <w:t xml:space="preserve">. It </w:t>
      </w:r>
      <w:r w:rsidRPr="00922034">
        <w:rPr>
          <w:bCs/>
        </w:rPr>
        <w:t xml:space="preserve">can also involve showing that a previous decision that does not support their side is distinguishable (different) from the case they are arguing. </w:t>
      </w:r>
    </w:p>
    <w:p w14:paraId="65CCC9F5" w14:textId="77777777" w:rsidR="002414EF" w:rsidRDefault="00CF1A03" w:rsidP="00D25125">
      <w:pPr>
        <w:pStyle w:val="Basiccopysl"/>
      </w:pPr>
      <w:r w:rsidRPr="22E356EE">
        <w:rPr>
          <w:b/>
          <w:bCs/>
        </w:rPr>
        <w:t>How it’s done:</w:t>
      </w:r>
      <w:r w:rsidRPr="22E356EE">
        <w:t xml:space="preserve"> </w:t>
      </w:r>
      <w:r w:rsidR="45A44C67" w:rsidRPr="22E356EE">
        <w:t xml:space="preserve">In this exercise, you will </w:t>
      </w:r>
      <w:r w:rsidR="06369B67" w:rsidRPr="22E356EE">
        <w:t>analyze precedent</w:t>
      </w:r>
      <w:r w:rsidR="00C476DB">
        <w:t>s</w:t>
      </w:r>
      <w:r w:rsidR="06369B67" w:rsidRPr="22E356EE">
        <w:t xml:space="preserve"> and compare </w:t>
      </w:r>
      <w:r w:rsidR="00C476DB">
        <w:t>them</w:t>
      </w:r>
      <w:r w:rsidR="06369B67" w:rsidRPr="22E356EE">
        <w:t xml:space="preserve"> to </w:t>
      </w:r>
      <w:r w:rsidR="00A92769" w:rsidRPr="00A92769">
        <w:rPr>
          <w:i/>
          <w:iCs/>
        </w:rPr>
        <w:t>Obergefell v. Hodges</w:t>
      </w:r>
      <w:r w:rsidR="06369B67" w:rsidRPr="00A92769">
        <w:t>.</w:t>
      </w:r>
      <w:r w:rsidR="06369B67" w:rsidRPr="22E356EE">
        <w:t xml:space="preserve"> </w:t>
      </w:r>
      <w:r w:rsidRPr="22E356EE">
        <w:t xml:space="preserve">You have been provided with information about </w:t>
      </w:r>
      <w:r w:rsidR="00A92769">
        <w:t>five</w:t>
      </w:r>
      <w:r w:rsidRPr="22E356EE">
        <w:t xml:space="preserve"> cases: </w:t>
      </w:r>
      <w:r w:rsidRPr="22E356EE">
        <w:rPr>
          <w:b/>
          <w:bCs/>
        </w:rPr>
        <w:t>1)</w:t>
      </w:r>
      <w:r w:rsidRPr="22E356EE">
        <w:t xml:space="preserve"> the facts, issue, and constitutional provisions/precedents of </w:t>
      </w:r>
      <w:r w:rsidR="1BFE274C" w:rsidRPr="22E356EE">
        <w:t>the</w:t>
      </w:r>
      <w:r w:rsidRPr="22E356EE">
        <w:t xml:space="preserve"> comparison case (</w:t>
      </w:r>
      <w:r w:rsidR="00A92769" w:rsidRPr="00A92769">
        <w:rPr>
          <w:i/>
          <w:iCs/>
        </w:rPr>
        <w:t>Obergefell v. Hodges</w:t>
      </w:r>
      <w:r w:rsidR="00A92769" w:rsidRPr="00A92769">
        <w:t>.</w:t>
      </w:r>
      <w:r w:rsidRPr="22E356EE">
        <w:t xml:space="preserve">) and </w:t>
      </w:r>
      <w:r w:rsidRPr="22E356EE">
        <w:rPr>
          <w:b/>
          <w:bCs/>
        </w:rPr>
        <w:t>2)</w:t>
      </w:r>
      <w:r w:rsidRPr="22E356EE">
        <w:t xml:space="preserve"> a brief summary of </w:t>
      </w:r>
      <w:r w:rsidR="00A92769">
        <w:t>four</w:t>
      </w:r>
      <w:r w:rsidRPr="22E356EE">
        <w:t xml:space="preserve"> precedent case</w:t>
      </w:r>
      <w:r w:rsidR="002E412A" w:rsidRPr="22E356EE">
        <w:t>s</w:t>
      </w:r>
      <w:r w:rsidRPr="22E356EE">
        <w:t xml:space="preserve"> </w:t>
      </w:r>
      <w:r w:rsidRPr="00BB0F2C">
        <w:t>(</w:t>
      </w:r>
      <w:r w:rsidR="00A92769" w:rsidRPr="00BB0F2C">
        <w:rPr>
          <w:i/>
        </w:rPr>
        <w:t xml:space="preserve">Loving v. Virginia, Baker v. Nelson, Romer v. Evans, </w:t>
      </w:r>
      <w:r w:rsidR="002E412A" w:rsidRPr="00BB0F2C">
        <w:rPr>
          <w:rFonts w:eastAsia="Garamond" w:cs="Garamond"/>
        </w:rPr>
        <w:t xml:space="preserve">and </w:t>
      </w:r>
      <w:r w:rsidR="00A92769" w:rsidRPr="00BB0F2C">
        <w:rPr>
          <w:i/>
        </w:rPr>
        <w:t>Windsor v. United States</w:t>
      </w:r>
      <w:r w:rsidRPr="00BB0F2C">
        <w:t>),</w:t>
      </w:r>
      <w:r w:rsidRPr="22E356EE">
        <w:t xml:space="preserve"> which can be found within the </w:t>
      </w:r>
      <w:r w:rsidR="00A92769" w:rsidRPr="00A92769">
        <w:rPr>
          <w:i/>
          <w:iCs/>
        </w:rPr>
        <w:t>Obergefell v. Hodges</w:t>
      </w:r>
      <w:r w:rsidR="00A92769" w:rsidRPr="22E356EE">
        <w:t xml:space="preserve"> </w:t>
      </w:r>
      <w:r w:rsidRPr="22E356EE">
        <w:t xml:space="preserve">case materials. </w:t>
      </w:r>
    </w:p>
    <w:p w14:paraId="790A485D" w14:textId="36AB5446" w:rsidR="00CF1A03" w:rsidRDefault="00CF1A03" w:rsidP="00D25125">
      <w:pPr>
        <w:pStyle w:val="Basiccopysl"/>
      </w:pPr>
      <w:r w:rsidRPr="22E356EE">
        <w:t xml:space="preserve">After reading about the cases, you will </w:t>
      </w:r>
      <w:r w:rsidR="48CAD9AD" w:rsidRPr="22E356EE">
        <w:t xml:space="preserve">look for </w:t>
      </w:r>
      <w:r w:rsidRPr="22E356EE">
        <w:t xml:space="preserve">evidence that </w:t>
      </w:r>
      <w:r w:rsidR="00A92769" w:rsidRPr="00A92769">
        <w:rPr>
          <w:i/>
          <w:iCs/>
        </w:rPr>
        <w:t>Obergefell v. Hodges</w:t>
      </w:r>
      <w:r w:rsidR="00A92769" w:rsidRPr="22E356EE">
        <w:t xml:space="preserve"> </w:t>
      </w:r>
      <w:r w:rsidRPr="22E356EE">
        <w:t xml:space="preserve">is </w:t>
      </w:r>
      <w:r w:rsidRPr="00B93AD8">
        <w:rPr>
          <w:b/>
          <w:bCs/>
        </w:rPr>
        <w:t xml:space="preserve">analogous </w:t>
      </w:r>
      <w:r w:rsidRPr="22E356EE">
        <w:t>(similar) to the precedent case</w:t>
      </w:r>
      <w:r w:rsidR="008068B9" w:rsidRPr="22E356EE">
        <w:t>s</w:t>
      </w:r>
      <w:r w:rsidRPr="22E356EE">
        <w:t xml:space="preserve"> and evidence that the cases are </w:t>
      </w:r>
      <w:r w:rsidRPr="00B93AD8">
        <w:rPr>
          <w:b/>
          <w:bCs/>
        </w:rPr>
        <w:t xml:space="preserve">distinguished </w:t>
      </w:r>
      <w:r w:rsidRPr="22E356EE">
        <w:t xml:space="preserve">(different) from each other. After considering </w:t>
      </w:r>
      <w:r w:rsidR="00A92769">
        <w:t>all the precedents</w:t>
      </w:r>
      <w:r w:rsidRPr="22E356EE">
        <w:t>, you must decide whether the precedent</w:t>
      </w:r>
      <w:r w:rsidR="008068B9" w:rsidRPr="22E356EE">
        <w:t>s</w:t>
      </w:r>
      <w:r w:rsidRPr="22E356EE">
        <w:t xml:space="preserve"> </w:t>
      </w:r>
      <w:r w:rsidR="008068B9" w:rsidRPr="22E356EE">
        <w:t>are</w:t>
      </w:r>
      <w:r w:rsidRPr="22E356EE">
        <w:t xml:space="preserve"> analogous enough to command the same outcome in the comparison case, or whether the comparison case is different enough to distinguish itself from the precedent</w:t>
      </w:r>
      <w:r w:rsidR="008068B9" w:rsidRPr="22E356EE">
        <w:t>s</w:t>
      </w:r>
      <w:r w:rsidRPr="22E356EE">
        <w:t xml:space="preserve">. </w:t>
      </w:r>
    </w:p>
    <w:p w14:paraId="0462A5B5" w14:textId="4004958C" w:rsidR="00D25125" w:rsidRPr="002E412A" w:rsidRDefault="00000000" w:rsidP="00D25125">
      <w:pPr>
        <w:pStyle w:val="Basiccopysl"/>
      </w:pPr>
      <w:r>
        <w:rPr>
          <w:bCs/>
        </w:rPr>
        <w:pict w14:anchorId="577BB611">
          <v:rect id="_x0000_i1025" style="width:0;height:1.5pt" o:hralign="center" o:hrstd="t" o:hr="t" fillcolor="#a0a0a0" stroked="f"/>
        </w:pict>
      </w:r>
    </w:p>
    <w:p w14:paraId="1A8707F5" w14:textId="6EAB3AA3" w:rsidR="00CF1A03" w:rsidRPr="00D25125" w:rsidRDefault="00CF1A03" w:rsidP="00C91656">
      <w:pPr>
        <w:pStyle w:val="Numberedlistsl"/>
        <w:spacing w:after="600" w:line="276" w:lineRule="auto"/>
        <w:ind w:left="360"/>
        <w:rPr>
          <w:rFonts w:asciiTheme="minorHAnsi" w:eastAsiaTheme="minorEastAsia" w:hAnsiTheme="minorHAnsi" w:cstheme="minorBidi"/>
          <w:color w:val="000000"/>
        </w:rPr>
      </w:pPr>
      <w:r w:rsidRPr="1FEF0ED6">
        <w:t xml:space="preserve">Using factual and legal similarities, show how </w:t>
      </w:r>
      <w:r w:rsidR="00BB0F2C" w:rsidRPr="1FEF0ED6">
        <w:rPr>
          <w:i/>
          <w:iCs/>
        </w:rPr>
        <w:t>Obergefell v. Hodges</w:t>
      </w:r>
      <w:r w:rsidR="00BB0F2C" w:rsidRPr="1FEF0ED6">
        <w:t xml:space="preserve"> </w:t>
      </w:r>
      <w:r w:rsidRPr="1FEF0ED6">
        <w:t xml:space="preserve">is </w:t>
      </w:r>
      <w:r w:rsidRPr="1FEF0ED6">
        <w:rPr>
          <w:b/>
          <w:bCs/>
        </w:rPr>
        <w:t>analogous</w:t>
      </w:r>
      <w:r w:rsidRPr="1FEF0ED6">
        <w:t xml:space="preserve"> (similar) to the precedent case </w:t>
      </w:r>
      <w:r w:rsidR="00BB0F2C" w:rsidRPr="1FEF0ED6">
        <w:rPr>
          <w:i/>
          <w:iCs/>
        </w:rPr>
        <w:t>Loving v. Virginia</w:t>
      </w:r>
      <w:r w:rsidR="00FB00D7" w:rsidRPr="1FEF0ED6">
        <w:rPr>
          <w:rFonts w:eastAsia="Garamond" w:cs="Garamond"/>
        </w:rPr>
        <w:t>:</w:t>
      </w:r>
    </w:p>
    <w:p w14:paraId="39F56D96" w14:textId="77777777" w:rsidR="00D25125" w:rsidRPr="00CF1A03" w:rsidRDefault="00D25125" w:rsidP="00D25125">
      <w:pPr>
        <w:pStyle w:val="Numberedlistsl"/>
        <w:numPr>
          <w:ilvl w:val="0"/>
          <w:numId w:val="0"/>
        </w:numPr>
        <w:ind w:left="720" w:hanging="360"/>
        <w:rPr>
          <w:rFonts w:asciiTheme="minorHAnsi" w:eastAsiaTheme="minorEastAsia" w:hAnsiTheme="minorHAnsi" w:cstheme="minorBidi"/>
          <w:color w:val="000000"/>
        </w:rPr>
      </w:pPr>
    </w:p>
    <w:p w14:paraId="4DD26D95" w14:textId="3EAEA444" w:rsidR="00D25125" w:rsidRPr="00D25125" w:rsidRDefault="00CF1A03" w:rsidP="00C91656">
      <w:pPr>
        <w:pStyle w:val="Numberedlistsl"/>
        <w:spacing w:after="2280" w:line="276" w:lineRule="auto"/>
        <w:ind w:left="360"/>
        <w:rPr>
          <w:color w:val="000000"/>
        </w:rPr>
      </w:pPr>
      <w:r w:rsidRPr="1FEF0ED6">
        <w:t xml:space="preserve">Using factual and legal similarities, show how </w:t>
      </w:r>
      <w:r w:rsidR="00BB0F2C" w:rsidRPr="1FEF0ED6">
        <w:rPr>
          <w:i/>
          <w:iCs/>
        </w:rPr>
        <w:t>Obergefell v. Hodges</w:t>
      </w:r>
      <w:r w:rsidR="00BB0F2C" w:rsidRPr="1FEF0ED6">
        <w:t xml:space="preserve"> </w:t>
      </w:r>
      <w:r w:rsidRPr="1FEF0ED6">
        <w:t xml:space="preserve">is </w:t>
      </w:r>
      <w:r w:rsidRPr="1FEF0ED6">
        <w:rPr>
          <w:b/>
          <w:bCs/>
        </w:rPr>
        <w:t xml:space="preserve">distinguished </w:t>
      </w:r>
      <w:r w:rsidRPr="1FEF0ED6">
        <w:t>(different) from the precedent case</w:t>
      </w:r>
      <w:r w:rsidR="008B4A2B" w:rsidRPr="1FEF0ED6">
        <w:t xml:space="preserve"> </w:t>
      </w:r>
      <w:r w:rsidR="00BB0F2C" w:rsidRPr="1FEF0ED6">
        <w:rPr>
          <w:i/>
          <w:iCs/>
        </w:rPr>
        <w:t>Loving v. Virginia</w:t>
      </w:r>
      <w:r w:rsidRPr="1FEF0ED6">
        <w:t>:</w:t>
      </w:r>
    </w:p>
    <w:p w14:paraId="3DD2639F" w14:textId="61823CE8" w:rsidR="00BB0F2C" w:rsidRPr="00780447" w:rsidRDefault="00BB0F2C" w:rsidP="007B5670">
      <w:pPr>
        <w:pStyle w:val="Numberedlistsl"/>
        <w:spacing w:after="2280" w:line="276" w:lineRule="auto"/>
        <w:ind w:left="360"/>
      </w:pPr>
      <w:r w:rsidRPr="00CF1A03">
        <w:rPr>
          <w:color w:val="000000"/>
        </w:rPr>
        <w:lastRenderedPageBreak/>
        <w:t xml:space="preserve">We found that </w:t>
      </w:r>
      <w:r w:rsidR="00F74EAE" w:rsidRPr="00A92769">
        <w:rPr>
          <w:i/>
          <w:iCs/>
        </w:rPr>
        <w:t>Obergefell v. Hodges</w:t>
      </w:r>
      <w:r w:rsidR="00F74EAE" w:rsidRPr="22E356EE">
        <w:t xml:space="preserve"> </w:t>
      </w:r>
      <w:r w:rsidRPr="00CF1A03">
        <w:rPr>
          <w:color w:val="000000"/>
        </w:rPr>
        <w:t>is __________________ (</w:t>
      </w:r>
      <w:r w:rsidRPr="00CF1A03">
        <w:rPr>
          <w:b/>
          <w:color w:val="000000"/>
        </w:rPr>
        <w:t>analogous to</w:t>
      </w:r>
      <w:r w:rsidRPr="00CF1A03">
        <w:rPr>
          <w:color w:val="000000"/>
        </w:rPr>
        <w:t xml:space="preserve"> or </w:t>
      </w:r>
      <w:r w:rsidRPr="00CF1A03">
        <w:rPr>
          <w:b/>
          <w:color w:val="000000"/>
        </w:rPr>
        <w:t>distinguished from</w:t>
      </w:r>
      <w:r w:rsidRPr="00CF1A03">
        <w:rPr>
          <w:color w:val="000000"/>
        </w:rPr>
        <w:t xml:space="preserve">) the precedent case </w:t>
      </w:r>
      <w:r w:rsidR="00F74EAE" w:rsidRPr="00BB0F2C">
        <w:rPr>
          <w:i/>
        </w:rPr>
        <w:t>Loving v. Virginia</w:t>
      </w:r>
      <w:r w:rsidR="00F74EAE" w:rsidRPr="00CF1A03">
        <w:rPr>
          <w:color w:val="000000"/>
        </w:rPr>
        <w:t xml:space="preserve"> </w:t>
      </w:r>
      <w:r w:rsidRPr="00CF1A03">
        <w:rPr>
          <w:color w:val="000000"/>
        </w:rPr>
        <w:t>because:</w:t>
      </w:r>
    </w:p>
    <w:p w14:paraId="4DA33775" w14:textId="431967D3" w:rsidR="00BB0F2C" w:rsidRPr="00CF1A03" w:rsidRDefault="00BB0F2C" w:rsidP="007B5670">
      <w:pPr>
        <w:pStyle w:val="Numberedlistsl"/>
        <w:spacing w:after="2280" w:line="23" w:lineRule="atLeast"/>
        <w:ind w:left="360"/>
        <w:rPr>
          <w:color w:val="000000"/>
        </w:rPr>
      </w:pPr>
      <w:r w:rsidRPr="1FEF0ED6">
        <w:t xml:space="preserve">Using factual and legal similarities, show how </w:t>
      </w:r>
      <w:r w:rsidRPr="1FEF0ED6">
        <w:rPr>
          <w:i/>
          <w:iCs/>
        </w:rPr>
        <w:t>Obergefell v. Hodges</w:t>
      </w:r>
      <w:r w:rsidRPr="1FEF0ED6">
        <w:t xml:space="preserve"> is </w:t>
      </w:r>
      <w:r w:rsidRPr="1FEF0ED6">
        <w:rPr>
          <w:b/>
          <w:bCs/>
        </w:rPr>
        <w:t>analogous</w:t>
      </w:r>
      <w:r w:rsidRPr="1FEF0ED6">
        <w:t xml:space="preserve"> (similar) to the precedent case </w:t>
      </w:r>
      <w:r w:rsidR="006275DD" w:rsidRPr="1FEF0ED6">
        <w:rPr>
          <w:i/>
          <w:iCs/>
        </w:rPr>
        <w:t>Baker v. Nelson</w:t>
      </w:r>
      <w:r w:rsidRPr="1FEF0ED6">
        <w:rPr>
          <w:rFonts w:eastAsia="Garamond" w:cs="Garamond"/>
        </w:rPr>
        <w:t>:</w:t>
      </w:r>
    </w:p>
    <w:p w14:paraId="09936092" w14:textId="039DE8B5" w:rsidR="00BB0F2C" w:rsidRDefault="00BB0F2C" w:rsidP="007B5670">
      <w:pPr>
        <w:pStyle w:val="Numberedlistsl"/>
        <w:spacing w:after="2280" w:line="276" w:lineRule="auto"/>
        <w:ind w:left="360"/>
        <w:rPr>
          <w:color w:val="000000"/>
        </w:rPr>
      </w:pPr>
      <w:r w:rsidRPr="00CF1A03">
        <w:rPr>
          <w:color w:val="000000"/>
        </w:rPr>
        <w:t xml:space="preserve">Using factual and legal similarities, show how </w:t>
      </w:r>
      <w:r w:rsidRPr="00A92769">
        <w:rPr>
          <w:i/>
          <w:iCs/>
        </w:rPr>
        <w:t>Obergefell v. Hodges</w:t>
      </w:r>
      <w:r w:rsidRPr="22E356EE">
        <w:t xml:space="preserve"> </w:t>
      </w:r>
      <w:r w:rsidRPr="00CF1A03">
        <w:rPr>
          <w:color w:val="000000"/>
        </w:rPr>
        <w:t xml:space="preserve">is </w:t>
      </w:r>
      <w:r w:rsidRPr="00CF1A03">
        <w:rPr>
          <w:b/>
          <w:color w:val="000000"/>
        </w:rPr>
        <w:t xml:space="preserve">distinguished </w:t>
      </w:r>
      <w:r w:rsidRPr="00CF1A03">
        <w:rPr>
          <w:color w:val="000000"/>
        </w:rPr>
        <w:t>(different) from the precedent case</w:t>
      </w:r>
      <w:r>
        <w:rPr>
          <w:color w:val="000000"/>
        </w:rPr>
        <w:t xml:space="preserve"> </w:t>
      </w:r>
      <w:r w:rsidR="006275DD" w:rsidRPr="00BB0F2C">
        <w:rPr>
          <w:i/>
        </w:rPr>
        <w:t>Baker v. Nelson</w:t>
      </w:r>
      <w:r w:rsidR="006275DD" w:rsidRPr="00CF1A03">
        <w:rPr>
          <w:color w:val="000000"/>
        </w:rPr>
        <w:t xml:space="preserve"> </w:t>
      </w:r>
      <w:r w:rsidRPr="00CF1A03">
        <w:rPr>
          <w:color w:val="000000"/>
        </w:rPr>
        <w:t>by pointing out factual and legal differences:</w:t>
      </w:r>
    </w:p>
    <w:p w14:paraId="3508D2F3" w14:textId="09B3E96F" w:rsidR="006275DD" w:rsidRPr="00780447" w:rsidRDefault="006275DD" w:rsidP="007B5670">
      <w:pPr>
        <w:pStyle w:val="Numberedlistsl"/>
        <w:spacing w:after="2280" w:line="276" w:lineRule="auto"/>
        <w:ind w:left="360"/>
      </w:pPr>
      <w:r w:rsidRPr="00CF1A03">
        <w:rPr>
          <w:color w:val="000000"/>
        </w:rPr>
        <w:t xml:space="preserve">We found that </w:t>
      </w:r>
      <w:r w:rsidRPr="00A92769">
        <w:rPr>
          <w:i/>
          <w:iCs/>
        </w:rPr>
        <w:t>Obergefell v. Hodges</w:t>
      </w:r>
      <w:r w:rsidRPr="22E356EE">
        <w:t xml:space="preserve"> </w:t>
      </w:r>
      <w:r w:rsidRPr="00CF1A03">
        <w:rPr>
          <w:color w:val="000000"/>
        </w:rPr>
        <w:t>is __________________ (</w:t>
      </w:r>
      <w:r w:rsidRPr="00CF1A03">
        <w:rPr>
          <w:b/>
          <w:color w:val="000000"/>
        </w:rPr>
        <w:t>analogous to</w:t>
      </w:r>
      <w:r w:rsidRPr="00CF1A03">
        <w:rPr>
          <w:color w:val="000000"/>
        </w:rPr>
        <w:t xml:space="preserve"> or </w:t>
      </w:r>
      <w:r w:rsidRPr="00CF1A03">
        <w:rPr>
          <w:b/>
          <w:color w:val="000000"/>
        </w:rPr>
        <w:t>distinguished from</w:t>
      </w:r>
      <w:r w:rsidRPr="00CF1A03">
        <w:rPr>
          <w:color w:val="000000"/>
        </w:rPr>
        <w:t xml:space="preserve">) the precedent case </w:t>
      </w:r>
      <w:r w:rsidRPr="00BB0F2C">
        <w:rPr>
          <w:i/>
        </w:rPr>
        <w:t>Baker v. Nelson</w:t>
      </w:r>
      <w:r w:rsidRPr="00CF1A03">
        <w:rPr>
          <w:color w:val="000000"/>
        </w:rPr>
        <w:t xml:space="preserve"> because:</w:t>
      </w:r>
    </w:p>
    <w:p w14:paraId="4ED5F827" w14:textId="50048DBA" w:rsidR="006275DD" w:rsidRPr="00CF1A03" w:rsidRDefault="006275DD" w:rsidP="007B5670">
      <w:pPr>
        <w:pStyle w:val="Numberedlistsl"/>
        <w:spacing w:after="2280" w:line="276" w:lineRule="auto"/>
        <w:ind w:left="360"/>
        <w:rPr>
          <w:color w:val="000000"/>
        </w:rPr>
      </w:pPr>
      <w:r w:rsidRPr="1FEF0ED6">
        <w:t xml:space="preserve">Using factual and legal similarities, show how </w:t>
      </w:r>
      <w:r w:rsidRPr="1FEF0ED6">
        <w:rPr>
          <w:i/>
          <w:iCs/>
        </w:rPr>
        <w:t>Obergefell v. Hodges</w:t>
      </w:r>
      <w:r w:rsidRPr="1FEF0ED6">
        <w:t xml:space="preserve"> is </w:t>
      </w:r>
      <w:r w:rsidRPr="1FEF0ED6">
        <w:rPr>
          <w:b/>
          <w:bCs/>
        </w:rPr>
        <w:t>analogous</w:t>
      </w:r>
      <w:r w:rsidRPr="1FEF0ED6">
        <w:t xml:space="preserve"> (similar) to the precedent case </w:t>
      </w:r>
      <w:r w:rsidRPr="1FEF0ED6">
        <w:rPr>
          <w:i/>
          <w:iCs/>
        </w:rPr>
        <w:t>Romer v. Evans</w:t>
      </w:r>
      <w:r w:rsidRPr="1FEF0ED6">
        <w:rPr>
          <w:rFonts w:eastAsia="Garamond" w:cs="Garamond"/>
        </w:rPr>
        <w:t>:</w:t>
      </w:r>
    </w:p>
    <w:p w14:paraId="019DCCB5" w14:textId="4637A9D7" w:rsidR="006275DD" w:rsidRDefault="006275DD" w:rsidP="007B5670">
      <w:pPr>
        <w:pStyle w:val="Numberedlistsl"/>
        <w:spacing w:after="2280" w:line="276" w:lineRule="auto"/>
        <w:ind w:left="360"/>
        <w:rPr>
          <w:color w:val="000000"/>
        </w:rPr>
      </w:pPr>
      <w:r w:rsidRPr="00CF1A03">
        <w:rPr>
          <w:color w:val="000000"/>
        </w:rPr>
        <w:lastRenderedPageBreak/>
        <w:t xml:space="preserve">Using factual and legal similarities, show how </w:t>
      </w:r>
      <w:r w:rsidRPr="00A92769">
        <w:rPr>
          <w:i/>
          <w:iCs/>
        </w:rPr>
        <w:t>Obergefell v. Hodges</w:t>
      </w:r>
      <w:r w:rsidRPr="22E356EE">
        <w:t xml:space="preserve"> </w:t>
      </w:r>
      <w:r w:rsidRPr="00CF1A03">
        <w:rPr>
          <w:color w:val="000000"/>
        </w:rPr>
        <w:t xml:space="preserve">is </w:t>
      </w:r>
      <w:r w:rsidRPr="00CF1A03">
        <w:rPr>
          <w:b/>
          <w:color w:val="000000"/>
        </w:rPr>
        <w:t xml:space="preserve">distinguished </w:t>
      </w:r>
      <w:r w:rsidRPr="00CF1A03">
        <w:rPr>
          <w:color w:val="000000"/>
        </w:rPr>
        <w:t>(different) from the precedent case</w:t>
      </w:r>
      <w:r>
        <w:rPr>
          <w:color w:val="000000"/>
        </w:rPr>
        <w:t xml:space="preserve"> </w:t>
      </w:r>
      <w:r w:rsidRPr="00BB0F2C">
        <w:rPr>
          <w:i/>
        </w:rPr>
        <w:t>Romer v. Evans</w:t>
      </w:r>
      <w:r w:rsidRPr="00CF1A03">
        <w:rPr>
          <w:color w:val="000000"/>
        </w:rPr>
        <w:t xml:space="preserve"> by pointing out factual and legal differences:</w:t>
      </w:r>
    </w:p>
    <w:p w14:paraId="1DC2FBBF" w14:textId="61BD5B0B" w:rsidR="006275DD" w:rsidRDefault="006275DD" w:rsidP="007B5670">
      <w:pPr>
        <w:pStyle w:val="Numberedlistsl"/>
        <w:spacing w:after="2280" w:line="276" w:lineRule="auto"/>
        <w:ind w:left="360"/>
        <w:rPr>
          <w:color w:val="000000"/>
        </w:rPr>
      </w:pPr>
      <w:r w:rsidRPr="00CF1A03">
        <w:rPr>
          <w:color w:val="000000"/>
        </w:rPr>
        <w:t xml:space="preserve">We found that </w:t>
      </w:r>
      <w:r w:rsidRPr="00A92769">
        <w:rPr>
          <w:i/>
          <w:iCs/>
        </w:rPr>
        <w:t>Obergefell v. Hodges</w:t>
      </w:r>
      <w:r w:rsidRPr="22E356EE">
        <w:t xml:space="preserve"> </w:t>
      </w:r>
      <w:r w:rsidRPr="00CF1A03">
        <w:rPr>
          <w:color w:val="000000"/>
        </w:rPr>
        <w:t>is __________________ (</w:t>
      </w:r>
      <w:r w:rsidRPr="00CF1A03">
        <w:rPr>
          <w:b/>
          <w:color w:val="000000"/>
        </w:rPr>
        <w:t>analogous to</w:t>
      </w:r>
      <w:r w:rsidRPr="00CF1A03">
        <w:rPr>
          <w:color w:val="000000"/>
        </w:rPr>
        <w:t xml:space="preserve"> or </w:t>
      </w:r>
      <w:r w:rsidRPr="00CF1A03">
        <w:rPr>
          <w:b/>
          <w:color w:val="000000"/>
        </w:rPr>
        <w:t>distinguished from</w:t>
      </w:r>
      <w:r w:rsidRPr="00CF1A03">
        <w:rPr>
          <w:color w:val="000000"/>
        </w:rPr>
        <w:t xml:space="preserve">) the precedent case </w:t>
      </w:r>
      <w:r w:rsidRPr="00BB0F2C">
        <w:rPr>
          <w:i/>
        </w:rPr>
        <w:t>Romer v. Evans</w:t>
      </w:r>
      <w:r w:rsidRPr="00CF1A03">
        <w:rPr>
          <w:color w:val="000000"/>
        </w:rPr>
        <w:t xml:space="preserve"> because:</w:t>
      </w:r>
    </w:p>
    <w:p w14:paraId="1273F84E" w14:textId="4E24C23F" w:rsidR="006275DD" w:rsidRPr="00CF1A03" w:rsidRDefault="006275DD" w:rsidP="007B5670">
      <w:pPr>
        <w:pStyle w:val="Numberedlistsl"/>
        <w:spacing w:after="2280" w:line="276" w:lineRule="auto"/>
        <w:ind w:left="360"/>
        <w:rPr>
          <w:color w:val="000000"/>
        </w:rPr>
      </w:pPr>
      <w:r w:rsidRPr="1FEF0ED6">
        <w:t xml:space="preserve">Using factual and legal similarities, show how </w:t>
      </w:r>
      <w:r w:rsidRPr="1FEF0ED6">
        <w:rPr>
          <w:i/>
          <w:iCs/>
        </w:rPr>
        <w:t>Obergefell v. Hodges</w:t>
      </w:r>
      <w:r w:rsidRPr="1FEF0ED6">
        <w:t xml:space="preserve"> is </w:t>
      </w:r>
      <w:r w:rsidRPr="1FEF0ED6">
        <w:rPr>
          <w:b/>
          <w:bCs/>
        </w:rPr>
        <w:t>analogous</w:t>
      </w:r>
      <w:r w:rsidRPr="1FEF0ED6">
        <w:t xml:space="preserve"> (similar) to the precedent case </w:t>
      </w:r>
      <w:r w:rsidRPr="1FEF0ED6">
        <w:rPr>
          <w:i/>
          <w:iCs/>
        </w:rPr>
        <w:t>Windsor v. United States</w:t>
      </w:r>
      <w:r w:rsidRPr="1FEF0ED6">
        <w:rPr>
          <w:rFonts w:eastAsia="Garamond" w:cs="Garamond"/>
        </w:rPr>
        <w:t>:</w:t>
      </w:r>
    </w:p>
    <w:p w14:paraId="06097BF7" w14:textId="140BDF64" w:rsidR="006275DD" w:rsidRDefault="006275DD" w:rsidP="007B5670">
      <w:pPr>
        <w:pStyle w:val="Numberedlistsl"/>
        <w:spacing w:after="2280" w:line="276" w:lineRule="auto"/>
        <w:ind w:left="360"/>
        <w:rPr>
          <w:color w:val="000000"/>
        </w:rPr>
      </w:pPr>
      <w:r w:rsidRPr="00CF1A03">
        <w:rPr>
          <w:color w:val="000000"/>
        </w:rPr>
        <w:t xml:space="preserve">Using factual and legal similarities, show how </w:t>
      </w:r>
      <w:r w:rsidRPr="00A92769">
        <w:rPr>
          <w:i/>
          <w:iCs/>
        </w:rPr>
        <w:t>Obergefell v. Hodges</w:t>
      </w:r>
      <w:r w:rsidRPr="22E356EE">
        <w:t xml:space="preserve"> </w:t>
      </w:r>
      <w:r w:rsidRPr="00CF1A03">
        <w:rPr>
          <w:color w:val="000000"/>
        </w:rPr>
        <w:t xml:space="preserve">is </w:t>
      </w:r>
      <w:r w:rsidRPr="00CF1A03">
        <w:rPr>
          <w:b/>
          <w:color w:val="000000"/>
        </w:rPr>
        <w:t xml:space="preserve">distinguished </w:t>
      </w:r>
      <w:r w:rsidRPr="00CF1A03">
        <w:rPr>
          <w:color w:val="000000"/>
        </w:rPr>
        <w:t>(different) from the precedent case</w:t>
      </w:r>
      <w:r>
        <w:rPr>
          <w:color w:val="000000"/>
        </w:rPr>
        <w:t xml:space="preserve"> </w:t>
      </w:r>
      <w:r w:rsidRPr="00BB0F2C">
        <w:rPr>
          <w:i/>
        </w:rPr>
        <w:t>Windsor v. United States</w:t>
      </w:r>
      <w:r w:rsidRPr="00CF1A03">
        <w:rPr>
          <w:color w:val="000000"/>
        </w:rPr>
        <w:t xml:space="preserve"> by pointing out factual and legal differences:</w:t>
      </w:r>
    </w:p>
    <w:p w14:paraId="3390BA0B" w14:textId="471DF07D" w:rsidR="00CF1A03" w:rsidRDefault="006275DD" w:rsidP="007B5670">
      <w:pPr>
        <w:pStyle w:val="Numberedlistsl"/>
        <w:spacing w:after="2280" w:line="276" w:lineRule="auto"/>
        <w:ind w:left="360"/>
        <w:rPr>
          <w:color w:val="000000"/>
        </w:rPr>
      </w:pPr>
      <w:r w:rsidRPr="00CF1A03">
        <w:rPr>
          <w:color w:val="000000"/>
        </w:rPr>
        <w:t xml:space="preserve">We found that </w:t>
      </w:r>
      <w:r w:rsidRPr="00A92769">
        <w:rPr>
          <w:i/>
          <w:iCs/>
        </w:rPr>
        <w:t>Obergefell v. Hodges</w:t>
      </w:r>
      <w:r w:rsidRPr="22E356EE">
        <w:t xml:space="preserve"> </w:t>
      </w:r>
      <w:r w:rsidRPr="00CF1A03">
        <w:rPr>
          <w:color w:val="000000"/>
        </w:rPr>
        <w:t>is __________________ (</w:t>
      </w:r>
      <w:r w:rsidRPr="00CF1A03">
        <w:rPr>
          <w:b/>
          <w:color w:val="000000"/>
        </w:rPr>
        <w:t>analogous to</w:t>
      </w:r>
      <w:r w:rsidRPr="00CF1A03">
        <w:rPr>
          <w:color w:val="000000"/>
        </w:rPr>
        <w:t xml:space="preserve"> or </w:t>
      </w:r>
      <w:r w:rsidRPr="00CF1A03">
        <w:rPr>
          <w:b/>
          <w:color w:val="000000"/>
        </w:rPr>
        <w:t>distinguished from</w:t>
      </w:r>
      <w:r w:rsidRPr="00CF1A03">
        <w:rPr>
          <w:color w:val="000000"/>
        </w:rPr>
        <w:t xml:space="preserve">) the precedent case </w:t>
      </w:r>
      <w:r w:rsidRPr="00BB0F2C">
        <w:rPr>
          <w:i/>
        </w:rPr>
        <w:t>Windsor v. United States</w:t>
      </w:r>
      <w:r w:rsidRPr="00CF1A03">
        <w:rPr>
          <w:color w:val="000000"/>
        </w:rPr>
        <w:t xml:space="preserve"> because:</w:t>
      </w:r>
    </w:p>
    <w:p w14:paraId="4B2F1125" w14:textId="055CFD43" w:rsidR="006275DD" w:rsidRPr="006275DD" w:rsidRDefault="006275DD" w:rsidP="00684CAD">
      <w:pPr>
        <w:pStyle w:val="Numberedlistsl"/>
        <w:ind w:left="360"/>
        <w:rPr>
          <w:color w:val="000000"/>
        </w:rPr>
      </w:pPr>
      <w:r w:rsidRPr="1FEF0ED6">
        <w:lastRenderedPageBreak/>
        <w:t xml:space="preserve">Based on the application of the precedents, how should </w:t>
      </w:r>
      <w:r w:rsidRPr="1FEF0ED6">
        <w:rPr>
          <w:i/>
          <w:iCs/>
        </w:rPr>
        <w:t>Obergefell v. Hodges</w:t>
      </w:r>
      <w:r w:rsidRPr="1FEF0ED6">
        <w:t xml:space="preserve"> be decided?</w:t>
      </w:r>
    </w:p>
    <w:p w14:paraId="523DF67C" w14:textId="3988ABAE" w:rsidR="00CF1A03" w:rsidRPr="006275DD" w:rsidRDefault="00CF1A03" w:rsidP="003220DB">
      <w:pPr>
        <w:pStyle w:val="Numberedlistsl"/>
        <w:numPr>
          <w:ilvl w:val="0"/>
          <w:numId w:val="0"/>
        </w:numPr>
        <w:ind w:left="720"/>
        <w:rPr>
          <w:color w:val="000000"/>
        </w:rPr>
      </w:pPr>
      <w:r w:rsidRPr="006275DD">
        <w:rPr>
          <w:color w:val="000000"/>
        </w:rPr>
        <w:t xml:space="preserve">_____ Decision for </w:t>
      </w:r>
      <w:r w:rsidR="00A92769" w:rsidRPr="006275DD">
        <w:t>Obergefell</w:t>
      </w:r>
      <w:r w:rsidR="0078222F" w:rsidRPr="006275DD">
        <w:t xml:space="preserve"> (to declare </w:t>
      </w:r>
      <w:r w:rsidR="00A92769" w:rsidRPr="006275DD">
        <w:t>state bans on same-sex marriage</w:t>
      </w:r>
      <w:r w:rsidR="0078222F" w:rsidRPr="006275DD">
        <w:t xml:space="preserve"> unconstitutional)</w:t>
      </w:r>
    </w:p>
    <w:p w14:paraId="7E0091CD" w14:textId="14B4ED74" w:rsidR="00CF1A03" w:rsidRDefault="00CF1A03" w:rsidP="003220DB">
      <w:pPr>
        <w:pStyle w:val="Numberedlistsl"/>
        <w:numPr>
          <w:ilvl w:val="0"/>
          <w:numId w:val="0"/>
        </w:numPr>
        <w:spacing w:after="2280" w:line="276" w:lineRule="auto"/>
        <w:ind w:left="720"/>
        <w:rPr>
          <w:color w:val="000000"/>
        </w:rPr>
      </w:pPr>
      <w:r w:rsidRPr="00CF1A03">
        <w:rPr>
          <w:color w:val="000000"/>
        </w:rPr>
        <w:t xml:space="preserve">_____ Decision for </w:t>
      </w:r>
      <w:r w:rsidR="00A92769">
        <w:rPr>
          <w:color w:val="000000"/>
        </w:rPr>
        <w:t>Hodges</w:t>
      </w:r>
      <w:r w:rsidR="0078222F">
        <w:rPr>
          <w:color w:val="000000"/>
        </w:rPr>
        <w:t xml:space="preserve"> (to allow </w:t>
      </w:r>
      <w:r w:rsidR="00A92769">
        <w:rPr>
          <w:color w:val="000000"/>
        </w:rPr>
        <w:t>state bans on same</w:t>
      </w:r>
      <w:r w:rsidR="00C91656">
        <w:rPr>
          <w:color w:val="000000"/>
        </w:rPr>
        <w:t>-</w:t>
      </w:r>
      <w:r w:rsidR="00A92769">
        <w:rPr>
          <w:color w:val="000000"/>
        </w:rPr>
        <w:t>sex marriage</w:t>
      </w:r>
      <w:r w:rsidR="0078222F">
        <w:rPr>
          <w:color w:val="000000"/>
        </w:rPr>
        <w:t>)</w:t>
      </w:r>
    </w:p>
    <w:p w14:paraId="175A0858" w14:textId="77777777" w:rsidR="00D24F3C" w:rsidRDefault="00D24F3C" w:rsidP="003220DB">
      <w:pPr>
        <w:pStyle w:val="Numberedlistsl"/>
        <w:numPr>
          <w:ilvl w:val="0"/>
          <w:numId w:val="0"/>
        </w:numPr>
        <w:ind w:left="720"/>
        <w:rPr>
          <w:color w:val="000000"/>
        </w:rPr>
      </w:pPr>
    </w:p>
    <w:p w14:paraId="52AD0FF9" w14:textId="4BA84CF0" w:rsidR="00D24F3C" w:rsidRPr="00D24F3C" w:rsidRDefault="00D24F3C" w:rsidP="00D25125">
      <w:pPr>
        <w:pStyle w:val="Numberedlistsl"/>
        <w:rPr>
          <w:color w:val="000000"/>
        </w:rPr>
      </w:pPr>
      <w:r w:rsidRPr="1FEF0ED6">
        <w:t>Which precedents did you feel were the most important in reaching your decision? Why?</w:t>
      </w:r>
    </w:p>
    <w:p w14:paraId="76E66AC4" w14:textId="6C2E996D" w:rsidR="003220DB" w:rsidRDefault="003220DB">
      <w:pPr>
        <w:spacing w:after="200" w:line="276" w:lineRule="auto"/>
        <w:rPr>
          <w:rFonts w:ascii="Gill Sans MT" w:hAnsi="Gill Sans MT"/>
          <w:b/>
          <w:i/>
          <w:sz w:val="36"/>
          <w:szCs w:val="36"/>
        </w:rPr>
      </w:pPr>
      <w:r>
        <w:rPr>
          <w:i/>
        </w:rPr>
        <w:br w:type="page"/>
      </w:r>
    </w:p>
    <w:p w14:paraId="52C0D0A6" w14:textId="77777777" w:rsidR="00CF1A03" w:rsidRDefault="00CF1A03" w:rsidP="00D064E0">
      <w:pPr>
        <w:pStyle w:val="Title2sl"/>
        <w:jc w:val="center"/>
        <w:rPr>
          <w:i/>
        </w:rPr>
        <w:sectPr w:rsidR="00CF1A03" w:rsidSect="00924F7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136467C6" w14:textId="35D5130C" w:rsidR="00E41E80" w:rsidRPr="004903DC" w:rsidRDefault="00E41E80" w:rsidP="004903DC">
      <w:pPr>
        <w:pStyle w:val="Title2sl"/>
        <w:jc w:val="center"/>
        <w:rPr>
          <w:iCs/>
          <w:sz w:val="32"/>
          <w:szCs w:val="32"/>
        </w:rPr>
      </w:pPr>
      <w:r w:rsidRPr="004903DC">
        <w:rPr>
          <w:iCs/>
          <w:sz w:val="32"/>
          <w:szCs w:val="32"/>
        </w:rPr>
        <w:lastRenderedPageBreak/>
        <w:t xml:space="preserve">Comparison Case: </w:t>
      </w:r>
      <w:r w:rsidRPr="007522AB">
        <w:rPr>
          <w:i/>
          <w:sz w:val="32"/>
          <w:szCs w:val="32"/>
        </w:rPr>
        <w:t>Obergefell v. Hodges</w:t>
      </w:r>
      <w:r w:rsidRPr="004903DC">
        <w:rPr>
          <w:iCs/>
          <w:sz w:val="32"/>
          <w:szCs w:val="32"/>
        </w:rPr>
        <w:t xml:space="preserve"> </w:t>
      </w:r>
      <w:r w:rsidR="007522AB">
        <w:rPr>
          <w:iCs/>
          <w:sz w:val="32"/>
          <w:szCs w:val="32"/>
        </w:rPr>
        <w:br/>
      </w:r>
      <w:r w:rsidRPr="004903DC">
        <w:rPr>
          <w:iCs/>
          <w:sz w:val="32"/>
          <w:szCs w:val="32"/>
        </w:rPr>
        <w:t>(and consolidated cases) (2015)</w:t>
      </w:r>
    </w:p>
    <w:p w14:paraId="0DEDD5A6" w14:textId="77777777" w:rsidR="00E41E80" w:rsidRDefault="00E41E80" w:rsidP="00E41E80">
      <w:pPr>
        <w:pStyle w:val="Basiccopysl"/>
        <w:spacing w:line="240" w:lineRule="auto"/>
        <w:jc w:val="center"/>
        <w:rPr>
          <w:rFonts w:ascii="Gill Sans MT" w:hAnsi="Gill Sans MT"/>
          <w:b/>
          <w:bCs/>
          <w:i/>
        </w:rPr>
      </w:pPr>
      <w:r w:rsidRPr="001B241D">
        <w:rPr>
          <w:b/>
          <w:bCs/>
        </w:rPr>
        <w:t>Argued:</w:t>
      </w:r>
      <w:r w:rsidRPr="006234B8">
        <w:t xml:space="preserve"> </w:t>
      </w:r>
      <w:r w:rsidRPr="00815C14">
        <w:t>April 28, 2015</w:t>
      </w:r>
    </w:p>
    <w:p w14:paraId="7829F60D" w14:textId="77777777" w:rsidR="00E41E80" w:rsidRPr="003F376C" w:rsidRDefault="00E41E80" w:rsidP="00E41E80">
      <w:pPr>
        <w:pStyle w:val="Basiccopysl"/>
        <w:spacing w:line="240" w:lineRule="auto"/>
        <w:jc w:val="center"/>
        <w:rPr>
          <w:b/>
          <w:bCs/>
          <w:iCs/>
        </w:rPr>
      </w:pPr>
      <w:r w:rsidRPr="003F376C">
        <w:rPr>
          <w:b/>
          <w:bCs/>
          <w:iCs/>
        </w:rPr>
        <w:t xml:space="preserve">Decided: </w:t>
      </w:r>
      <w:r w:rsidRPr="003F376C">
        <w:rPr>
          <w:iCs/>
        </w:rPr>
        <w:t>June 26, 2015</w:t>
      </w:r>
    </w:p>
    <w:p w14:paraId="7CD14C20" w14:textId="77777777" w:rsidR="00E41E80" w:rsidRPr="00A645D2" w:rsidRDefault="00E41E80" w:rsidP="00E41E80">
      <w:pPr>
        <w:pStyle w:val="Subhead2sl"/>
      </w:pPr>
      <w:bookmarkStart w:id="1" w:name="_Hlk44081675"/>
      <w:r w:rsidRPr="00A645D2">
        <w:t>History</w:t>
      </w:r>
    </w:p>
    <w:p w14:paraId="04626E20" w14:textId="77777777" w:rsidR="00E41E80" w:rsidRDefault="00E41E80" w:rsidP="00E41E80">
      <w:pPr>
        <w:pStyle w:val="Basiccopysl"/>
      </w:pPr>
      <w:r>
        <w:t xml:space="preserve">In 2013, the Supreme Court ruled that the federal Defense of Marriage Act, which had defined marriage as being only between a man and woman, was unconstitutional. The justices said that the federal government must recognize, for purposes of federal law, same-sex marriages from the states where they were legal. In the wake of that decision, same-sex couples all over the country filed lawsuits in states where same-sex marriage was banned. Many district courts ruled that state laws and constitutional amendments that prohibit same-sex marriage violate the U.S. Constitution—often citing the Supreme Court’s 2013 decision. Other judges ruled exactly the opposite. They said that these bans, imposed through democratic processes, were valid. </w:t>
      </w:r>
    </w:p>
    <w:p w14:paraId="4F2776E6" w14:textId="77777777" w:rsidR="00E41E80" w:rsidRDefault="00E41E80" w:rsidP="00E41E80">
      <w:pPr>
        <w:pStyle w:val="Basiccopysl"/>
      </w:pPr>
      <w:r>
        <w:t>The U.S. Supreme Court decided to hear four of the cases and consolidated them into a single oral argument. The cases raised two issues for the Court to decide: 1) whether states must themselves license same-sex marriages and 2) whether states must recognize valid same-sex marriages performed in other states. Those issues invoke many legal concepts—chief among them are federalism and the 14</w:t>
      </w:r>
      <w:r w:rsidRPr="00C801E7">
        <w:rPr>
          <w:vertAlign w:val="superscript"/>
        </w:rPr>
        <w:t>th</w:t>
      </w:r>
      <w:r>
        <w:t xml:space="preserve"> Amendment.</w:t>
      </w:r>
    </w:p>
    <w:p w14:paraId="38093504" w14:textId="77777777" w:rsidR="00E41E80" w:rsidRPr="001B241D" w:rsidRDefault="00E41E80" w:rsidP="00E41E80">
      <w:pPr>
        <w:pStyle w:val="Subhead2sl"/>
      </w:pPr>
      <w:r w:rsidRPr="001B241D">
        <w:t>Background</w:t>
      </w:r>
    </w:p>
    <w:p w14:paraId="54439DAA" w14:textId="77777777" w:rsidR="00E41E80" w:rsidRDefault="00E41E80" w:rsidP="00E41E80">
      <w:pPr>
        <w:pStyle w:val="Basiccopysl"/>
      </w:pPr>
      <w:r w:rsidRPr="001B241D">
        <w:rPr>
          <w:iCs/>
        </w:rPr>
        <w:t>Federalism</w:t>
      </w:r>
      <w:r w:rsidRPr="001B241D">
        <w:t xml:space="preserve"> </w:t>
      </w:r>
      <w:r>
        <w:t>is the principle that the national government and state governments share powers. Some powers are delegated to the national government, some are reserved for state governments, and some powers are shared. This means that states generally can choose different policies about many issues, such as which activities are crimes, how to license drivers, what to teach in public schools, and more provided they are within the limits of the Constitution and federal statutes.</w:t>
      </w:r>
    </w:p>
    <w:p w14:paraId="410459F9" w14:textId="77777777" w:rsidR="00E41E80" w:rsidRPr="003804C6" w:rsidRDefault="00E41E80" w:rsidP="00E41E80">
      <w:pPr>
        <w:pStyle w:val="Basiccopysl"/>
      </w:pPr>
      <w:r w:rsidRPr="00C801E7">
        <w:rPr>
          <w:iCs/>
        </w:rPr>
        <w:t xml:space="preserve">The </w:t>
      </w:r>
      <w:r w:rsidRPr="001B241D">
        <w:rPr>
          <w:iCs/>
        </w:rPr>
        <w:t>14</w:t>
      </w:r>
      <w:r w:rsidRPr="001B241D">
        <w:rPr>
          <w:iCs/>
          <w:vertAlign w:val="superscript"/>
        </w:rPr>
        <w:t>th</w:t>
      </w:r>
      <w:r w:rsidRPr="001B241D">
        <w:rPr>
          <w:iCs/>
        </w:rPr>
        <w:t xml:space="preserve"> Amendment</w:t>
      </w:r>
      <w:r w:rsidRPr="003804C6">
        <w:t xml:space="preserve"> </w:t>
      </w:r>
      <w:r>
        <w:t xml:space="preserve">to the U.S. Constitution was adopted in the wake of the Civil War and </w:t>
      </w:r>
      <w:r w:rsidRPr="003804C6">
        <w:t xml:space="preserve">says that states must give people equal protection </w:t>
      </w:r>
      <w:r>
        <w:t>under law</w:t>
      </w:r>
      <w:r w:rsidRPr="003804C6">
        <w:t>.</w:t>
      </w:r>
      <w:r>
        <w:t xml:space="preserve"> </w:t>
      </w:r>
      <w:r w:rsidRPr="003804C6">
        <w:t xml:space="preserve">This means that state </w:t>
      </w:r>
      <w:r>
        <w:t xml:space="preserve">laws </w:t>
      </w:r>
      <w:r w:rsidRPr="003804C6">
        <w:t xml:space="preserve">must apply equally to all people who are in similar </w:t>
      </w:r>
      <w:proofErr w:type="gramStart"/>
      <w:r w:rsidRPr="003804C6">
        <w:t>situations, unless</w:t>
      </w:r>
      <w:proofErr w:type="gramEnd"/>
      <w:r w:rsidRPr="003804C6">
        <w:t xml:space="preserve"> the state has a reason for </w:t>
      </w:r>
      <w:r>
        <w:t xml:space="preserve">making </w:t>
      </w:r>
      <w:r w:rsidRPr="003804C6">
        <w:t>the distinction.</w:t>
      </w:r>
      <w:r>
        <w:t xml:space="preserve"> </w:t>
      </w:r>
      <w:r w:rsidRPr="003804C6">
        <w:t xml:space="preserve">When deciding whether or not a law violates the </w:t>
      </w:r>
      <w:r>
        <w:t>guarantee</w:t>
      </w:r>
      <w:r w:rsidRPr="003804C6">
        <w:t xml:space="preserve"> </w:t>
      </w:r>
      <w:r>
        <w:t>of</w:t>
      </w:r>
      <w:r w:rsidRPr="003804C6">
        <w:t xml:space="preserve"> </w:t>
      </w:r>
      <w:r>
        <w:t>e</w:t>
      </w:r>
      <w:r w:rsidRPr="003804C6">
        <w:t xml:space="preserve">qual </w:t>
      </w:r>
      <w:r>
        <w:t>p</w:t>
      </w:r>
      <w:r w:rsidRPr="003804C6">
        <w:t xml:space="preserve">rotection, </w:t>
      </w:r>
      <w:r>
        <w:t xml:space="preserve">courts must examine </w:t>
      </w:r>
      <w:r w:rsidRPr="003804C6">
        <w:t>who is affected by that law.</w:t>
      </w:r>
      <w:r>
        <w:t xml:space="preserve"> </w:t>
      </w:r>
      <w:r w:rsidRPr="003804C6">
        <w:t xml:space="preserve">Due to </w:t>
      </w:r>
      <w:r>
        <w:t xml:space="preserve">the United States’ </w:t>
      </w:r>
      <w:r w:rsidRPr="003804C6">
        <w:t xml:space="preserve">history of discrimination, the courts are more suspicious of laws that affect people based on their race or </w:t>
      </w:r>
      <w:r>
        <w:t>gender</w:t>
      </w:r>
      <w:r w:rsidRPr="003804C6">
        <w:t xml:space="preserve"> than laws that discriminate based on </w:t>
      </w:r>
      <w:r>
        <w:t xml:space="preserve">certain </w:t>
      </w:r>
      <w:r w:rsidRPr="003804C6">
        <w:t xml:space="preserve">other classifications, like wealth or age. </w:t>
      </w:r>
    </w:p>
    <w:p w14:paraId="5EFC8FC7" w14:textId="77777777" w:rsidR="00E41E80" w:rsidRPr="003804C6" w:rsidRDefault="00E41E80" w:rsidP="00E41E80">
      <w:pPr>
        <w:pStyle w:val="Basiccopysl"/>
      </w:pPr>
      <w:r w:rsidRPr="003804C6">
        <w:t>The Supreme Court has described three categories for reviewing laws that treat people unequally:</w:t>
      </w:r>
    </w:p>
    <w:p w14:paraId="1A24BBD5" w14:textId="77777777" w:rsidR="00E41E80" w:rsidRPr="00E43096" w:rsidRDefault="00E41E80" w:rsidP="00E41E80">
      <w:pPr>
        <w:pStyle w:val="Bulletsl"/>
        <w:keepNext/>
        <w:rPr>
          <w:b/>
          <w:bCs/>
        </w:rPr>
      </w:pPr>
      <w:bookmarkStart w:id="2" w:name="_Hlk44090644"/>
      <w:r w:rsidRPr="00E43096">
        <w:rPr>
          <w:b/>
          <w:bCs/>
        </w:rPr>
        <w:t>Strict scrutiny</w:t>
      </w:r>
    </w:p>
    <w:p w14:paraId="0E469B7F" w14:textId="77777777" w:rsidR="00E41E80" w:rsidRPr="0026020C" w:rsidRDefault="00E41E80" w:rsidP="00E41E80">
      <w:pPr>
        <w:pStyle w:val="Basiccopysl"/>
        <w:spacing w:after="60"/>
        <w:ind w:left="720"/>
      </w:pPr>
      <w:r w:rsidRPr="00DC2CC2">
        <w:t>This</w:t>
      </w:r>
      <w:r w:rsidRPr="0026020C">
        <w:t xml:space="preserve"> standard is used primarily for laws that classify people based on race, national origin, or citizenship status. The Court has placed these classifications together because they are based </w:t>
      </w:r>
      <w:r w:rsidRPr="0026020C">
        <w:lastRenderedPageBreak/>
        <w:t>on characteristics that people cannot change</w:t>
      </w:r>
      <w:r>
        <w:t>,</w:t>
      </w:r>
      <w:r w:rsidRPr="0026020C">
        <w:t xml:space="preserve"> and because America has a long history of discriminating against people based on these traits. Laws that treat people differently based on these classifications must:</w:t>
      </w:r>
    </w:p>
    <w:p w14:paraId="45C804B1" w14:textId="77777777" w:rsidR="00E41E80" w:rsidRPr="00DC2CC2" w:rsidRDefault="00E41E80" w:rsidP="00E41E80">
      <w:pPr>
        <w:pStyle w:val="Outlinelevel2"/>
      </w:pPr>
      <w:r w:rsidRPr="00DC2CC2">
        <w:t xml:space="preserve">serve a compelling government </w:t>
      </w:r>
      <w:proofErr w:type="gramStart"/>
      <w:r w:rsidRPr="00DC2CC2">
        <w:t>interest;</w:t>
      </w:r>
      <w:proofErr w:type="gramEnd"/>
    </w:p>
    <w:p w14:paraId="2568E4ED" w14:textId="77777777" w:rsidR="00E41E80" w:rsidRPr="00DC2CC2" w:rsidRDefault="00E41E80" w:rsidP="00E41E80">
      <w:pPr>
        <w:pStyle w:val="Outlinelevel2"/>
      </w:pPr>
      <w:r w:rsidRPr="00DC2CC2">
        <w:t>be “narrowly tailored,” meaning that achieving the compelling government interest is the main purpose of the law, and not just a side effect; and</w:t>
      </w:r>
    </w:p>
    <w:p w14:paraId="44231DC8" w14:textId="77777777" w:rsidR="00E41E80" w:rsidRPr="00DC2CC2" w:rsidRDefault="00E41E80" w:rsidP="00E41E80">
      <w:pPr>
        <w:pStyle w:val="Outlinelevel2"/>
      </w:pPr>
      <w:r w:rsidRPr="00DC2CC2">
        <w:t xml:space="preserve">be the least restrictive way to serve the government’s interest, meaning that it meets the goal in a way that limits peoples’ rights the least. </w:t>
      </w:r>
    </w:p>
    <w:p w14:paraId="123A58A7" w14:textId="77777777" w:rsidR="00E41E80" w:rsidRPr="00DC2CC2" w:rsidRDefault="00E41E80" w:rsidP="00E41E80">
      <w:pPr>
        <w:pStyle w:val="Bulletsl"/>
      </w:pPr>
      <w:r w:rsidRPr="0026020C">
        <w:rPr>
          <w:b/>
        </w:rPr>
        <w:t xml:space="preserve">Intermediate </w:t>
      </w:r>
      <w:r>
        <w:rPr>
          <w:b/>
        </w:rPr>
        <w:t>s</w:t>
      </w:r>
      <w:r w:rsidRPr="0026020C">
        <w:rPr>
          <w:b/>
        </w:rPr>
        <w:t>crutiny</w:t>
      </w:r>
    </w:p>
    <w:p w14:paraId="6367ADB9" w14:textId="77777777" w:rsidR="00E41E80" w:rsidRPr="00DC2CC2" w:rsidRDefault="00E41E80" w:rsidP="00E41E80">
      <w:pPr>
        <w:pStyle w:val="Basiccopysl"/>
        <w:ind w:left="720"/>
      </w:pPr>
      <w:r w:rsidRPr="0026020C">
        <w:t xml:space="preserve">This standard </w:t>
      </w:r>
      <w:r>
        <w:t>has been</w:t>
      </w:r>
      <w:r w:rsidRPr="0026020C">
        <w:t xml:space="preserve"> used for laws that treat people differently based on their gender. For these laws, the government must show that having the law is closely connected to an </w:t>
      </w:r>
      <w:r w:rsidRPr="005B0D63">
        <w:rPr>
          <w:iCs/>
        </w:rPr>
        <w:t>important</w:t>
      </w:r>
      <w:r w:rsidRPr="0026020C">
        <w:t xml:space="preserve"> government interest. </w:t>
      </w:r>
    </w:p>
    <w:p w14:paraId="1B806EBF" w14:textId="77777777" w:rsidR="00E41E80" w:rsidRPr="00DC2CC2" w:rsidRDefault="00E41E80" w:rsidP="00E41E80">
      <w:pPr>
        <w:pStyle w:val="Bulletsl"/>
      </w:pPr>
      <w:r w:rsidRPr="0026020C">
        <w:rPr>
          <w:b/>
        </w:rPr>
        <w:t xml:space="preserve">Rational </w:t>
      </w:r>
      <w:r>
        <w:rPr>
          <w:b/>
        </w:rPr>
        <w:t>b</w:t>
      </w:r>
      <w:r w:rsidRPr="0026020C">
        <w:rPr>
          <w:b/>
        </w:rPr>
        <w:t>asis</w:t>
      </w:r>
    </w:p>
    <w:p w14:paraId="29255561" w14:textId="77777777" w:rsidR="00E41E80" w:rsidRPr="0026020C" w:rsidRDefault="00E41E80" w:rsidP="00E41E80">
      <w:pPr>
        <w:pStyle w:val="Basiccopysl"/>
        <w:ind w:left="720"/>
      </w:pPr>
      <w:r w:rsidRPr="0026020C">
        <w:t xml:space="preserve">This standard </w:t>
      </w:r>
      <w:r>
        <w:t>has been</w:t>
      </w:r>
      <w:r w:rsidRPr="0026020C">
        <w:t xml:space="preserve"> used for classifications like age and wealth. Under this standard, </w:t>
      </w:r>
      <w:r>
        <w:t>all that is required is</w:t>
      </w:r>
      <w:r w:rsidRPr="0026020C">
        <w:t xml:space="preserve"> a rational relationship between the law and a </w:t>
      </w:r>
      <w:r w:rsidRPr="0026020C">
        <w:rPr>
          <w:i/>
        </w:rPr>
        <w:t>legitimate</w:t>
      </w:r>
      <w:r w:rsidRPr="0026020C">
        <w:t xml:space="preserve"> government interest. Most laws are upheld under this standard. </w:t>
      </w:r>
    </w:p>
    <w:bookmarkEnd w:id="2"/>
    <w:p w14:paraId="1849225D" w14:textId="77777777" w:rsidR="00E41E80" w:rsidRPr="00D22E09" w:rsidRDefault="00E41E80" w:rsidP="00E41E80">
      <w:pPr>
        <w:pStyle w:val="Subhead2sl"/>
      </w:pPr>
      <w:r>
        <w:t>Facts</w:t>
      </w:r>
    </w:p>
    <w:p w14:paraId="48B7FF22" w14:textId="77777777" w:rsidR="00E41E80" w:rsidRDefault="00E41E80" w:rsidP="00E41E80">
      <w:pPr>
        <w:pStyle w:val="Basiccopysl"/>
      </w:pPr>
      <w:bookmarkStart w:id="3" w:name="_Hlk44090679"/>
      <w:r>
        <w:t xml:space="preserve">In all four cases, the petitioners were same-sex couples who either wanted to get married in their state but were prohibited from doing so by a state law or constitutional amendment, or they were same-sex couples who were married lawfully in another state and wanted their home state to recognize that marriage as valid. In one case, the petitioners included a married same-sex couple from New York who adopted a child from Ohio. Since Ohio would not recognize their marriage, the state refused to amend the child’s birth certificate to list both parents, as it would for a married opposite-sex couple. </w:t>
      </w:r>
    </w:p>
    <w:p w14:paraId="55C3A1C7" w14:textId="77777777" w:rsidR="00E41E80" w:rsidRDefault="00E41E80" w:rsidP="00E41E80">
      <w:pPr>
        <w:pStyle w:val="Basiccopysl"/>
      </w:pPr>
      <w:r w:rsidRPr="00590144">
        <w:t>Kentucky, Michigan, Ohio, and Tennessee</w:t>
      </w:r>
      <w:r>
        <w:t xml:space="preserve"> were the four states defending their bans on same-sex marriage and bans on recognizing same-sex marriages performed in other states. </w:t>
      </w:r>
      <w:r w:rsidRPr="00054425">
        <w:t>Between 1996 and 2005</w:t>
      </w:r>
      <w:r>
        <w:t>,</w:t>
      </w:r>
      <w:r w:rsidRPr="00054425">
        <w:t xml:space="preserve"> th</w:t>
      </w:r>
      <w:r>
        <w:t>o</w:t>
      </w:r>
      <w:r w:rsidRPr="00054425">
        <w:t xml:space="preserve">se states and many others enacted laws and </w:t>
      </w:r>
      <w:r>
        <w:t xml:space="preserve">passed </w:t>
      </w:r>
      <w:r w:rsidRPr="00054425">
        <w:t>constitutional amendments defining marriage as a union of one man and one woman. Each of the four states ha</w:t>
      </w:r>
      <w:r>
        <w:t>d</w:t>
      </w:r>
      <w:r w:rsidRPr="00054425">
        <w:t xml:space="preserve"> a law passed by </w:t>
      </w:r>
      <w:r>
        <w:t>its</w:t>
      </w:r>
      <w:r w:rsidRPr="00054425">
        <w:t xml:space="preserve"> state legislature and a state constitutional amendment approved directly by the voters. The same-sex couples who </w:t>
      </w:r>
      <w:r>
        <w:t>we</w:t>
      </w:r>
      <w:r w:rsidRPr="00054425">
        <w:t xml:space="preserve">re not allowed to marry </w:t>
      </w:r>
      <w:r>
        <w:t xml:space="preserve">argued that </w:t>
      </w:r>
      <w:r w:rsidRPr="00054425">
        <w:t xml:space="preserve">they </w:t>
      </w:r>
      <w:r>
        <w:t>we</w:t>
      </w:r>
      <w:r w:rsidRPr="00054425">
        <w:t>re prevented from receiving state benefits for married couples (and their children), including access to a spouse or parent’s health insurance</w:t>
      </w:r>
      <w:r>
        <w:t xml:space="preserve">; </w:t>
      </w:r>
      <w:r w:rsidRPr="00054425">
        <w:t>the power to make decision</w:t>
      </w:r>
      <w:r>
        <w:t>s</w:t>
      </w:r>
      <w:r w:rsidRPr="00054425">
        <w:t xml:space="preserve"> for each other</w:t>
      </w:r>
      <w:r>
        <w:t xml:space="preserve"> or visit</w:t>
      </w:r>
      <w:r w:rsidRPr="00054425">
        <w:t xml:space="preserve"> </w:t>
      </w:r>
      <w:r>
        <w:t xml:space="preserve">each other </w:t>
      </w:r>
      <w:r w:rsidRPr="00054425">
        <w:t>in a medical emergency</w:t>
      </w:r>
      <w:r>
        <w:t xml:space="preserve">; </w:t>
      </w:r>
      <w:r w:rsidRPr="00054425">
        <w:t xml:space="preserve">eligibility for social security benefits, survivor benefits, </w:t>
      </w:r>
      <w:r>
        <w:t xml:space="preserve">and </w:t>
      </w:r>
      <w:r w:rsidRPr="00054425">
        <w:t>tax benefits</w:t>
      </w:r>
      <w:r>
        <w:t xml:space="preserve">; </w:t>
      </w:r>
      <w:r w:rsidRPr="00054425">
        <w:t xml:space="preserve">and the ability to claim alimony or child support should a marriage </w:t>
      </w:r>
      <w:r>
        <w:t>end</w:t>
      </w:r>
      <w:r w:rsidRPr="00054425">
        <w:t xml:space="preserve">. </w:t>
      </w:r>
    </w:p>
    <w:p w14:paraId="4D2234BF" w14:textId="77777777" w:rsidR="00E41E80" w:rsidRDefault="00E41E80" w:rsidP="00E41E80">
      <w:pPr>
        <w:pStyle w:val="Basiccopysl"/>
      </w:pPr>
      <w:bookmarkStart w:id="4" w:name="_Hlk44090683"/>
      <w:bookmarkEnd w:id="3"/>
      <w:r>
        <w:t>The petitioners won in the district courts in their various states. On appeal, however, the U.S. Court of Appeals for the Sixth Circuit reversed and upheld the state laws. The petitioners asked the Supreme Court of the United States to hear the case, and the Court agreed.</w:t>
      </w:r>
    </w:p>
    <w:bookmarkEnd w:id="4"/>
    <w:p w14:paraId="344E5AFB" w14:textId="77777777" w:rsidR="00E41E80" w:rsidRPr="00D22E09" w:rsidRDefault="00E41E80" w:rsidP="00E41E80">
      <w:pPr>
        <w:pStyle w:val="Subhead2sl"/>
      </w:pPr>
      <w:r>
        <w:lastRenderedPageBreak/>
        <w:t>Issues</w:t>
      </w:r>
    </w:p>
    <w:p w14:paraId="3D050F9F" w14:textId="77777777" w:rsidR="00E41E80" w:rsidRPr="00485AE0" w:rsidRDefault="00E41E80" w:rsidP="00E41E80">
      <w:pPr>
        <w:pStyle w:val="Basiccopysl"/>
      </w:pPr>
      <w:r w:rsidRPr="00485AE0">
        <w:t xml:space="preserve">Does the </w:t>
      </w:r>
      <w:r>
        <w:t>14</w:t>
      </w:r>
      <w:r w:rsidRPr="00081010">
        <w:rPr>
          <w:vertAlign w:val="superscript"/>
        </w:rPr>
        <w:t xml:space="preserve">th </w:t>
      </w:r>
      <w:r w:rsidRPr="00485AE0">
        <w:t xml:space="preserve">Amendment require a state to license </w:t>
      </w:r>
      <w:r>
        <w:t>same-sex</w:t>
      </w:r>
      <w:r w:rsidRPr="00485AE0">
        <w:t xml:space="preserve"> marriage</w:t>
      </w:r>
      <w:r>
        <w:t>s?</w:t>
      </w:r>
    </w:p>
    <w:p w14:paraId="063528B2" w14:textId="77777777" w:rsidR="00E41E80" w:rsidRDefault="00E41E80" w:rsidP="00E41E80">
      <w:pPr>
        <w:pStyle w:val="Basiccopysl"/>
      </w:pPr>
      <w:r w:rsidRPr="00485AE0">
        <w:t xml:space="preserve">Does the </w:t>
      </w:r>
      <w:r>
        <w:t>14</w:t>
      </w:r>
      <w:r w:rsidRPr="00081010">
        <w:rPr>
          <w:vertAlign w:val="superscript"/>
        </w:rPr>
        <w:t>th</w:t>
      </w:r>
      <w:r w:rsidRPr="00485AE0">
        <w:t xml:space="preserve"> Amendment require a state to recognize a </w:t>
      </w:r>
      <w:r>
        <w:t xml:space="preserve">same-sex </w:t>
      </w:r>
      <w:r w:rsidRPr="00485AE0">
        <w:t xml:space="preserve">marriage </w:t>
      </w:r>
      <w:r>
        <w:t xml:space="preserve">that </w:t>
      </w:r>
      <w:r w:rsidRPr="00485AE0">
        <w:t>was lawfully licensed out-of-state?</w:t>
      </w:r>
    </w:p>
    <w:p w14:paraId="4066F7A6" w14:textId="77777777" w:rsidR="00E41E80" w:rsidRPr="00D22E09" w:rsidRDefault="00E41E80" w:rsidP="00E41E80">
      <w:pPr>
        <w:pStyle w:val="Subhead2sl"/>
      </w:pPr>
      <w:r>
        <w:t>Constitutional Provisions and Supreme Court Precedents</w:t>
      </w:r>
    </w:p>
    <w:p w14:paraId="493783FB" w14:textId="77777777" w:rsidR="00E41E80" w:rsidRDefault="00E41E80" w:rsidP="00E41E80">
      <w:pPr>
        <w:pStyle w:val="Bulletboldsl"/>
      </w:pPr>
      <w:bookmarkStart w:id="5" w:name="_Hlk44090731"/>
      <w:r>
        <w:t>10</w:t>
      </w:r>
      <w:r w:rsidRPr="00A01483">
        <w:rPr>
          <w:vertAlign w:val="superscript"/>
        </w:rPr>
        <w:t>th</w:t>
      </w:r>
      <w:r>
        <w:t xml:space="preserve"> Amendment to the U.S. Constitution </w:t>
      </w:r>
    </w:p>
    <w:p w14:paraId="71CF0481" w14:textId="77777777" w:rsidR="00E41E80" w:rsidRPr="006234B8" w:rsidRDefault="00E41E80" w:rsidP="00E41E80">
      <w:pPr>
        <w:pStyle w:val="Basiccopyindentedsl0"/>
      </w:pPr>
      <w:r w:rsidRPr="006234B8">
        <w:t>“The powers not delegated to the United States by the Constitution, nor prohibited by it to the states, are reserved to the states respectively, or to the people.”</w:t>
      </w:r>
    </w:p>
    <w:p w14:paraId="2DECBE47" w14:textId="77777777" w:rsidR="00E41E80" w:rsidRDefault="00E41E80" w:rsidP="00E41E80">
      <w:pPr>
        <w:pStyle w:val="Bulletboldsl"/>
      </w:pPr>
      <w:r>
        <w:t>Equal Protection Clause, 14</w:t>
      </w:r>
      <w:r w:rsidRPr="002F7AB5">
        <w:rPr>
          <w:vertAlign w:val="superscript"/>
        </w:rPr>
        <w:t>th</w:t>
      </w:r>
      <w:r w:rsidRPr="00D22E09">
        <w:t xml:space="preserve"> Amendment</w:t>
      </w:r>
      <w:r>
        <w:t xml:space="preserve"> to the U.S. Constitution </w:t>
      </w:r>
    </w:p>
    <w:p w14:paraId="6E4C758B" w14:textId="77777777" w:rsidR="00E41E80" w:rsidRDefault="00E41E80" w:rsidP="00E41E80">
      <w:pPr>
        <w:pStyle w:val="Basiccopyindentedsl0"/>
      </w:pPr>
      <w:r w:rsidRPr="006234B8">
        <w:t>“No state shall … deny to any person within its jurisdiction the equal protection of the laws.”</w:t>
      </w:r>
    </w:p>
    <w:p w14:paraId="064647D7" w14:textId="77777777" w:rsidR="00E41E80" w:rsidRDefault="00E41E80" w:rsidP="00E41E80">
      <w:pPr>
        <w:pStyle w:val="Bulletboldsl"/>
      </w:pPr>
      <w:r>
        <w:t>Due Process Clause, 14</w:t>
      </w:r>
      <w:r w:rsidRPr="00F35649">
        <w:rPr>
          <w:vertAlign w:val="superscript"/>
        </w:rPr>
        <w:t>th</w:t>
      </w:r>
      <w:r w:rsidRPr="00D22E09">
        <w:t xml:space="preserve"> Amendment</w:t>
      </w:r>
      <w:r>
        <w:t xml:space="preserve"> to the U.S. Constitution </w:t>
      </w:r>
    </w:p>
    <w:p w14:paraId="513EBDC6" w14:textId="77777777" w:rsidR="00E41E80" w:rsidRDefault="00E41E80" w:rsidP="00E41E80">
      <w:pPr>
        <w:pStyle w:val="Basiccopyindentedsl0"/>
      </w:pPr>
      <w:r w:rsidRPr="006234B8">
        <w:t>“nor shall any state deprive any person of life, liberty, or property, without due process of law”</w:t>
      </w:r>
    </w:p>
    <w:p w14:paraId="6F033762" w14:textId="77777777" w:rsidR="00E41E80" w:rsidRDefault="00E41E80" w:rsidP="00E41E80">
      <w:pPr>
        <w:pStyle w:val="Bulletboldsl"/>
      </w:pPr>
      <w:r>
        <w:t>Full Faith and Credit Clause, Article IV of the U.S. Constitution</w:t>
      </w:r>
    </w:p>
    <w:p w14:paraId="69709E5D" w14:textId="77777777" w:rsidR="00E41E80" w:rsidRPr="006234B8" w:rsidRDefault="00E41E80" w:rsidP="00E41E80">
      <w:pPr>
        <w:pStyle w:val="Basiccopyindentedsl0"/>
      </w:pPr>
      <w:r w:rsidRPr="006234B8">
        <w:t xml:space="preserve">“Full faith and credit shall be given in each State to the public Acts, Records, and judicial Proceedings of every other State. And the Congress may…prescribe the Manner in which such Acts, Records and Proceedings shall be proved, and the Effect thereof.” </w:t>
      </w:r>
    </w:p>
    <w:p w14:paraId="2078480E" w14:textId="77777777" w:rsidR="00E41E80" w:rsidRPr="00D36899" w:rsidRDefault="00E41E80" w:rsidP="00E41E80">
      <w:pPr>
        <w:pStyle w:val="Bulletboldsl"/>
        <w:rPr>
          <w:b w:val="0"/>
          <w:bCs/>
          <w:i/>
        </w:rPr>
      </w:pPr>
      <w:r w:rsidRPr="00D36899">
        <w:rPr>
          <w:b w:val="0"/>
          <w:bCs/>
          <w:i/>
        </w:rPr>
        <w:t xml:space="preserve">Loving v. Virginia </w:t>
      </w:r>
      <w:r w:rsidRPr="00D36899">
        <w:rPr>
          <w:b w:val="0"/>
          <w:bCs/>
        </w:rPr>
        <w:t>(1967)</w:t>
      </w:r>
    </w:p>
    <w:p w14:paraId="4170F4A3" w14:textId="77777777" w:rsidR="00E41E80" w:rsidRPr="003804C6" w:rsidRDefault="00E41E80" w:rsidP="00E41E80">
      <w:pPr>
        <w:pStyle w:val="Basiccopyindentedsl0"/>
        <w:rPr>
          <w:i/>
        </w:rPr>
      </w:pPr>
      <w:r w:rsidRPr="003804C6">
        <w:t>Virginia had a law that made it a crime for any “white person [to] intermarry with a colored person</w:t>
      </w:r>
      <w:r>
        <w:t>.</w:t>
      </w:r>
      <w:r w:rsidRPr="003804C6">
        <w:t xml:space="preserve">” </w:t>
      </w:r>
      <w:r>
        <w:t>Violating that law was</w:t>
      </w:r>
      <w:r w:rsidRPr="003804C6">
        <w:t xml:space="preserve"> punishable </w:t>
      </w:r>
      <w:r>
        <w:t>by</w:t>
      </w:r>
      <w:r w:rsidRPr="003804C6">
        <w:t xml:space="preserve"> one to five years in prison. The Supreme Court decided </w:t>
      </w:r>
      <w:r>
        <w:t>that the</w:t>
      </w:r>
      <w:r w:rsidRPr="003804C6">
        <w:t xml:space="preserve"> law violated the Equal Protection Clause.</w:t>
      </w:r>
      <w:r>
        <w:t xml:space="preserve"> </w:t>
      </w:r>
      <w:r w:rsidRPr="003804C6">
        <w:t>The</w:t>
      </w:r>
      <w:r>
        <w:t xml:space="preserve"> Court</w:t>
      </w:r>
      <w:r w:rsidRPr="003804C6">
        <w:t xml:space="preserve"> said any law that contains racial classifications must be subjected to strict scrutiny.</w:t>
      </w:r>
      <w:r>
        <w:t xml:space="preserve"> </w:t>
      </w:r>
      <w:r w:rsidRPr="003804C6">
        <w:t>The Court decided that</w:t>
      </w:r>
      <w:r>
        <w:t xml:space="preserve"> this </w:t>
      </w:r>
      <w:r w:rsidRPr="003804C6">
        <w:t xml:space="preserve">law was not trying to achieve an important or reasonable objective, as its only purpose was to divide people by race and maintain white supremacy. </w:t>
      </w:r>
      <w:r>
        <w:t>The Court also said that marriage is a “fundamental right.”</w:t>
      </w:r>
    </w:p>
    <w:p w14:paraId="2565E9DB" w14:textId="77777777" w:rsidR="00E41E80" w:rsidRPr="00D36899" w:rsidRDefault="00E41E80" w:rsidP="00E41E80">
      <w:pPr>
        <w:pStyle w:val="Bulletboldsl"/>
        <w:keepNext/>
        <w:rPr>
          <w:b w:val="0"/>
          <w:bCs/>
          <w:i/>
        </w:rPr>
      </w:pPr>
      <w:r w:rsidRPr="00D36899">
        <w:rPr>
          <w:b w:val="0"/>
          <w:bCs/>
          <w:i/>
        </w:rPr>
        <w:t xml:space="preserve">Baker v. Nelson </w:t>
      </w:r>
      <w:r w:rsidRPr="00D36899">
        <w:rPr>
          <w:b w:val="0"/>
          <w:bCs/>
        </w:rPr>
        <w:t>(1972)</w:t>
      </w:r>
    </w:p>
    <w:p w14:paraId="51C94BD4" w14:textId="77777777" w:rsidR="00E41E80" w:rsidRPr="00485AE0" w:rsidRDefault="00E41E80" w:rsidP="00E41E80">
      <w:pPr>
        <w:pStyle w:val="Basiccopyindentedsl0"/>
      </w:pPr>
      <w:r>
        <w:t>A gay couple was denied a marriage license by a Minneapolis town clerk. The Minnesota Supreme Court ruled that the Constitution does not protect a fundamental right to same-sex marriage. The U.S. Supreme Court upheld the decision with a one-line ruling: “</w:t>
      </w:r>
      <w:r w:rsidRPr="00485AE0">
        <w:t>dismissed for want of a substantial federal question</w:t>
      </w:r>
      <w:r>
        <w:t>,</w:t>
      </w:r>
      <w:r w:rsidRPr="00485AE0">
        <w:t>”</w:t>
      </w:r>
      <w:r>
        <w:t xml:space="preserve"> meaning that the Court at that time did not think </w:t>
      </w:r>
      <w:r>
        <w:lastRenderedPageBreak/>
        <w:t>that there was even a serious argument to be made that the 14</w:t>
      </w:r>
      <w:r w:rsidRPr="00081010">
        <w:rPr>
          <w:vertAlign w:val="superscript"/>
        </w:rPr>
        <w:t>th</w:t>
      </w:r>
      <w:r>
        <w:t xml:space="preserve"> Amendment protects same-sex marriage.</w:t>
      </w:r>
    </w:p>
    <w:p w14:paraId="326ED29E" w14:textId="77777777" w:rsidR="00E41E80" w:rsidRPr="00D36899" w:rsidRDefault="00E41E80" w:rsidP="00E41E80">
      <w:pPr>
        <w:pStyle w:val="Bulletboldsl"/>
        <w:rPr>
          <w:b w:val="0"/>
          <w:bCs/>
          <w:i/>
        </w:rPr>
      </w:pPr>
      <w:r w:rsidRPr="00D36899">
        <w:rPr>
          <w:b w:val="0"/>
          <w:bCs/>
          <w:i/>
        </w:rPr>
        <w:t xml:space="preserve">Romer v. Evans </w:t>
      </w:r>
      <w:r w:rsidRPr="00D36899">
        <w:rPr>
          <w:b w:val="0"/>
          <w:bCs/>
        </w:rPr>
        <w:t>(1996)</w:t>
      </w:r>
    </w:p>
    <w:p w14:paraId="6092BFA1" w14:textId="77777777" w:rsidR="00E41E80" w:rsidRDefault="00E41E80" w:rsidP="00E41E80">
      <w:pPr>
        <w:pStyle w:val="Basiccopyindentedsl0"/>
      </w:pPr>
      <w:r w:rsidRPr="003804C6">
        <w:t xml:space="preserve">In 1992, the citizens of Colorado amended their state constitution </w:t>
      </w:r>
      <w:r>
        <w:t>to forbid any law or government action that would protect people who are gay and lesbian from discrimination</w:t>
      </w:r>
      <w:r w:rsidRPr="003804C6">
        <w:t>.</w:t>
      </w:r>
      <w:r>
        <w:t xml:space="preserve"> </w:t>
      </w:r>
      <w:r w:rsidRPr="003804C6">
        <w:t>The Supreme Court decided that this amendment violated the Equal Protection Clause. They said that</w:t>
      </w:r>
      <w:r>
        <w:t xml:space="preserve"> the law failed even the lowest of standards—the</w:t>
      </w:r>
      <w:r w:rsidRPr="003804C6">
        <w:t xml:space="preserve"> rational basis test</w:t>
      </w:r>
      <w:r>
        <w:t xml:space="preserve">—because it </w:t>
      </w:r>
      <w:r w:rsidRPr="003804C6">
        <w:t>did not have a rational relationship to a legitimate state interest.</w:t>
      </w:r>
      <w:r>
        <w:t xml:space="preserve"> </w:t>
      </w:r>
      <w:r w:rsidRPr="003804C6">
        <w:t>The Court decided that the only interest in passing this amendment was a desire to harm an unpopular group, and that is not a legitimate governmental interest.</w:t>
      </w:r>
    </w:p>
    <w:p w14:paraId="78CE6138" w14:textId="77777777" w:rsidR="00E41E80" w:rsidRPr="00D36899" w:rsidRDefault="00E41E80" w:rsidP="00E41E80">
      <w:pPr>
        <w:pStyle w:val="Bulletboldsl"/>
        <w:rPr>
          <w:b w:val="0"/>
          <w:bCs/>
        </w:rPr>
      </w:pPr>
      <w:r w:rsidRPr="00D36899">
        <w:rPr>
          <w:b w:val="0"/>
          <w:bCs/>
          <w:i/>
        </w:rPr>
        <w:t>Windsor v. United States</w:t>
      </w:r>
      <w:r w:rsidRPr="00D36899">
        <w:rPr>
          <w:b w:val="0"/>
          <w:bCs/>
        </w:rPr>
        <w:t xml:space="preserve"> (2013)</w:t>
      </w:r>
    </w:p>
    <w:p w14:paraId="2074AA77" w14:textId="77777777" w:rsidR="00E41E80" w:rsidRDefault="00E41E80" w:rsidP="00E41E80">
      <w:pPr>
        <w:pStyle w:val="Basiccopyindentedsl0"/>
      </w:pPr>
      <w:r>
        <w:t xml:space="preserve">The Court ruled that the </w:t>
      </w:r>
      <w:r w:rsidRPr="00D04145">
        <w:rPr>
          <w:iCs/>
        </w:rPr>
        <w:t>Defense of Marriage Act</w:t>
      </w:r>
      <w:r>
        <w:t xml:space="preserve"> (DOMA) was unconstitutional because it discriminated</w:t>
      </w:r>
      <w:r w:rsidRPr="00D60F0F">
        <w:t xml:space="preserve"> against same-sex couples by preventing the federal government from recognizing their marriages, even though some states had expressly chosen to license those marriages. Moreover, the basic intent of DOMA was to express disapproval of state sanctioned same-sex marriage. This was not a legitimate purpose. The Court did not decide which lev</w:t>
      </w:r>
      <w:r>
        <w:t>el of scrutiny should be used to evaluate laws that discriminate based on sexual orientation.</w:t>
      </w:r>
    </w:p>
    <w:bookmarkEnd w:id="1"/>
    <w:bookmarkEnd w:id="5"/>
    <w:p w14:paraId="273CD2CA" w14:textId="2347AFB5" w:rsidR="005B5776" w:rsidRPr="00AD5098" w:rsidRDefault="005B5776" w:rsidP="00BB0633">
      <w:pPr>
        <w:pStyle w:val="Title2sl"/>
        <w:jc w:val="center"/>
        <w:rPr>
          <w:rFonts w:cs="Century Schoolbook"/>
          <w:color w:val="000000"/>
        </w:rPr>
      </w:pPr>
    </w:p>
    <w:sectPr w:rsidR="005B5776" w:rsidRPr="00AD5098" w:rsidSect="00924F7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8F97" w14:textId="77777777" w:rsidR="00924F7C" w:rsidRDefault="00924F7C" w:rsidP="0078549D">
      <w:r>
        <w:separator/>
      </w:r>
    </w:p>
  </w:endnote>
  <w:endnote w:type="continuationSeparator" w:id="0">
    <w:p w14:paraId="30333371" w14:textId="77777777" w:rsidR="00924F7C" w:rsidRDefault="00924F7C" w:rsidP="0078549D">
      <w:r>
        <w:continuationSeparator/>
      </w:r>
    </w:p>
  </w:endnote>
  <w:endnote w:type="continuationNotice" w:id="1">
    <w:p w14:paraId="1031EA88" w14:textId="77777777" w:rsidR="00924F7C" w:rsidRDefault="00924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5D2A6D8" w14:textId="36EB7295"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D60080">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0A1830">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9E3E88">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51652287"/>
      <w:docPartObj>
        <w:docPartGallery w:val="Page Numbers (Bottom of Page)"/>
        <w:docPartUnique/>
      </w:docPartObj>
    </w:sdtPr>
    <w:sdtEndPr>
      <w:rPr>
        <w:noProof/>
      </w:rPr>
    </w:sdtEndPr>
    <w:sdtContent>
      <w:p w14:paraId="383A6EDE" w14:textId="5BFB61D0" w:rsidR="000A1830" w:rsidRPr="000A1830" w:rsidRDefault="000A1830">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FB00D7">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00846B85">
          <w:rPr>
            <w:rFonts w:ascii="Garamond" w:hAnsi="Garamond"/>
          </w:rPr>
          <w:t>Last updated: 06/30/2020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D840" w14:textId="77777777" w:rsidR="00924F7C" w:rsidRDefault="00924F7C" w:rsidP="0078549D">
      <w:r>
        <w:separator/>
      </w:r>
    </w:p>
  </w:footnote>
  <w:footnote w:type="continuationSeparator" w:id="0">
    <w:p w14:paraId="0D58293C" w14:textId="77777777" w:rsidR="00924F7C" w:rsidRDefault="00924F7C" w:rsidP="0078549D">
      <w:r>
        <w:continuationSeparator/>
      </w:r>
    </w:p>
  </w:footnote>
  <w:footnote w:type="continuationNotice" w:id="1">
    <w:p w14:paraId="5037BE8F" w14:textId="77777777" w:rsidR="00924F7C" w:rsidRDefault="00924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8D7D" w14:textId="77777777" w:rsidR="00D36899" w:rsidRDefault="00D36899" w:rsidP="00D36899">
    <w:pPr>
      <w:pStyle w:val="Header"/>
      <w:jc w:val="right"/>
    </w:pPr>
    <w:r w:rsidRPr="008A3806">
      <w:rPr>
        <w:rFonts w:ascii="Garamond" w:hAnsi="Garamond"/>
        <w:noProof/>
      </w:rPr>
      <mc:AlternateContent>
        <mc:Choice Requires="wps">
          <w:drawing>
            <wp:anchor distT="0" distB="0" distL="114300" distR="114300" simplePos="0" relativeHeight="251662337" behindDoc="0" locked="0" layoutInCell="1" allowOverlap="1" wp14:anchorId="19F4A5A4" wp14:editId="59834504">
              <wp:simplePos x="0" y="0"/>
              <wp:positionH relativeFrom="column">
                <wp:posOffset>-209550</wp:posOffset>
              </wp:positionH>
              <wp:positionV relativeFrom="paragraph">
                <wp:posOffset>-171450</wp:posOffset>
              </wp:positionV>
              <wp:extent cx="2695575" cy="542925"/>
              <wp:effectExtent l="0" t="0" r="0" b="0"/>
              <wp:wrapNone/>
              <wp:docPr id="815590128" name="Text Box 815590128"/>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9C4D3" w14:textId="77777777" w:rsidR="00D36899" w:rsidRDefault="00D36899" w:rsidP="00D36899">
                          <w:r>
                            <w:rPr>
                              <w:noProof/>
                            </w:rPr>
                            <w:drawing>
                              <wp:inline distT="0" distB="0" distL="0" distR="0" wp14:anchorId="18909F02" wp14:editId="7F30C6B8">
                                <wp:extent cx="1828800" cy="333590"/>
                                <wp:effectExtent l="0" t="0" r="0" b="9525"/>
                                <wp:docPr id="140499508" name="Picture 1404995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F4A5A4" id="_x0000_t202" coordsize="21600,21600" o:spt="202" path="m,l,21600r21600,l21600,xe">
              <v:stroke joinstyle="miter"/>
              <v:path gradientshapeok="t" o:connecttype="rect"/>
            </v:shapetype>
            <v:shape id="Text Box 815590128" o:spid="_x0000_s1026" type="#_x0000_t202" style="position:absolute;left:0;text-align:left;margin-left:-16.5pt;margin-top:-13.5pt;width:212.25pt;height:42.75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35C9C4D3" w14:textId="77777777" w:rsidR="00D36899" w:rsidRDefault="00D36899" w:rsidP="00D36899">
                    <w:r>
                      <w:rPr>
                        <w:noProof/>
                      </w:rPr>
                      <w:drawing>
                        <wp:inline distT="0" distB="0" distL="0" distR="0" wp14:anchorId="18909F02" wp14:editId="7F30C6B8">
                          <wp:extent cx="1828800" cy="333590"/>
                          <wp:effectExtent l="0" t="0" r="0" b="9525"/>
                          <wp:docPr id="140499508" name="Picture 1404995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rPr>
      <w:t>Applying Precedents Activity</w:t>
    </w:r>
  </w:p>
  <w:p w14:paraId="71F54933" w14:textId="28829CE5" w:rsidR="0078549D" w:rsidRPr="00D36899" w:rsidRDefault="0078549D" w:rsidP="00D36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DA32" w14:textId="6A83AD6D" w:rsidR="00D36899" w:rsidRDefault="00D36899" w:rsidP="00D36899">
    <w:pPr>
      <w:pStyle w:val="Header"/>
      <w:jc w:val="right"/>
    </w:pPr>
    <w:r w:rsidRPr="008A3806">
      <w:rPr>
        <w:rFonts w:ascii="Garamond" w:hAnsi="Garamond"/>
        <w:noProof/>
      </w:rPr>
      <mc:AlternateContent>
        <mc:Choice Requires="wps">
          <w:drawing>
            <wp:anchor distT="0" distB="0" distL="114300" distR="114300" simplePos="0" relativeHeight="251660289" behindDoc="0" locked="0" layoutInCell="1" allowOverlap="1" wp14:anchorId="62038CB3" wp14:editId="3D399561">
              <wp:simplePos x="0" y="0"/>
              <wp:positionH relativeFrom="column">
                <wp:posOffset>-209550</wp:posOffset>
              </wp:positionH>
              <wp:positionV relativeFrom="paragraph">
                <wp:posOffset>-171450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D3CBE" w14:textId="77777777" w:rsidR="00D36899" w:rsidRDefault="00D36899" w:rsidP="00D36899">
                          <w:r>
                            <w:rPr>
                              <w:noProof/>
                            </w:rPr>
                            <w:drawing>
                              <wp:inline distT="0" distB="0" distL="0" distR="0" wp14:anchorId="01000863" wp14:editId="794E7CC0">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038CB3" id="_x0000_t202" coordsize="21600,21600" o:spt="202" path="m,l,21600r21600,l21600,xe">
              <v:stroke joinstyle="miter"/>
              <v:path gradientshapeok="t" o:connecttype="rect"/>
            </v:shapetype>
            <v:shape id="Text Box 1" o:spid="_x0000_s1027" type="#_x0000_t202" style="position:absolute;left:0;text-align:left;margin-left:-16.5pt;margin-top:-13.5pt;width:212.25pt;height:42.7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30AD3CBE" w14:textId="77777777" w:rsidR="00D36899" w:rsidRDefault="00D36899" w:rsidP="00D36899">
                    <w:r>
                      <w:rPr>
                        <w:noProof/>
                      </w:rPr>
                      <w:drawing>
                        <wp:inline distT="0" distB="0" distL="0" distR="0" wp14:anchorId="01000863" wp14:editId="794E7CC0">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rPr>
      <w:t>Applying Precedents Activity</w:t>
    </w:r>
  </w:p>
  <w:p w14:paraId="1D1F6C0B" w14:textId="3D9C4FC6" w:rsidR="001D03B0" w:rsidRPr="00D36899" w:rsidRDefault="001D03B0" w:rsidP="00D36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E63"/>
    <w:multiLevelType w:val="hybridMultilevel"/>
    <w:tmpl w:val="2590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7D41"/>
    <w:multiLevelType w:val="hybridMultilevel"/>
    <w:tmpl w:val="15EEAA6E"/>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6F462C9E"/>
    <w:lvl w:ilvl="0" w:tplc="F73423BE">
      <w:start w:val="1"/>
      <w:numFmt w:val="decimal"/>
      <w:pStyle w:val="Numberedlistsl"/>
      <w:lvlText w:val="%1."/>
      <w:lvlJc w:val="left"/>
      <w:pPr>
        <w:ind w:left="1440" w:hanging="360"/>
      </w:pPr>
      <w:rPr>
        <w:rFonts w:ascii="Garamond" w:eastAsia="Times New Roman" w:hAnsi="Garamond"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201BF"/>
    <w:multiLevelType w:val="hybridMultilevel"/>
    <w:tmpl w:val="318E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95F2F"/>
    <w:multiLevelType w:val="hybridMultilevel"/>
    <w:tmpl w:val="9364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821A1"/>
    <w:multiLevelType w:val="hybridMultilevel"/>
    <w:tmpl w:val="A9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09719F"/>
    <w:multiLevelType w:val="hybridMultilevel"/>
    <w:tmpl w:val="804C7430"/>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54498C"/>
    <w:multiLevelType w:val="hybridMultilevel"/>
    <w:tmpl w:val="A994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32A1B"/>
    <w:multiLevelType w:val="hybridMultilevel"/>
    <w:tmpl w:val="0144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862211">
    <w:abstractNumId w:val="7"/>
  </w:num>
  <w:num w:numId="2" w16cid:durableId="1499468207">
    <w:abstractNumId w:val="3"/>
  </w:num>
  <w:num w:numId="3" w16cid:durableId="348337649">
    <w:abstractNumId w:val="2"/>
  </w:num>
  <w:num w:numId="4" w16cid:durableId="148788592">
    <w:abstractNumId w:val="5"/>
  </w:num>
  <w:num w:numId="5" w16cid:durableId="1940018416">
    <w:abstractNumId w:val="8"/>
  </w:num>
  <w:num w:numId="6" w16cid:durableId="178004692">
    <w:abstractNumId w:val="6"/>
  </w:num>
  <w:num w:numId="7" w16cid:durableId="334454064">
    <w:abstractNumId w:val="8"/>
    <w:lvlOverride w:ilvl="0">
      <w:startOverride w:val="1"/>
    </w:lvlOverride>
  </w:num>
  <w:num w:numId="8" w16cid:durableId="1715889123">
    <w:abstractNumId w:val="8"/>
    <w:lvlOverride w:ilvl="0">
      <w:startOverride w:val="1"/>
    </w:lvlOverride>
  </w:num>
  <w:num w:numId="9" w16cid:durableId="133260339">
    <w:abstractNumId w:val="8"/>
    <w:lvlOverride w:ilvl="0">
      <w:startOverride w:val="1"/>
    </w:lvlOverride>
  </w:num>
  <w:num w:numId="10" w16cid:durableId="397555740">
    <w:abstractNumId w:val="8"/>
    <w:lvlOverride w:ilvl="0">
      <w:startOverride w:val="1"/>
    </w:lvlOverride>
  </w:num>
  <w:num w:numId="11" w16cid:durableId="406389790">
    <w:abstractNumId w:val="9"/>
  </w:num>
  <w:num w:numId="12" w16cid:durableId="1155953359">
    <w:abstractNumId w:val="0"/>
  </w:num>
  <w:num w:numId="13" w16cid:durableId="537671133">
    <w:abstractNumId w:val="7"/>
  </w:num>
  <w:num w:numId="14" w16cid:durableId="42367045">
    <w:abstractNumId w:val="1"/>
  </w:num>
  <w:num w:numId="15" w16cid:durableId="1785147249">
    <w:abstractNumId w:val="11"/>
  </w:num>
  <w:num w:numId="16" w16cid:durableId="1314916262">
    <w:abstractNumId w:val="13"/>
  </w:num>
  <w:num w:numId="17" w16cid:durableId="134496826">
    <w:abstractNumId w:val="12"/>
  </w:num>
  <w:num w:numId="18" w16cid:durableId="475413924">
    <w:abstractNumId w:val="7"/>
  </w:num>
  <w:num w:numId="19" w16cid:durableId="955674248">
    <w:abstractNumId w:val="7"/>
  </w:num>
  <w:num w:numId="20" w16cid:durableId="1095855954">
    <w:abstractNumId w:val="7"/>
  </w:num>
  <w:num w:numId="21" w16cid:durableId="1029796918">
    <w:abstractNumId w:val="7"/>
  </w:num>
  <w:num w:numId="22" w16cid:durableId="1536774646">
    <w:abstractNumId w:val="10"/>
  </w:num>
  <w:num w:numId="23" w16cid:durableId="1611401515">
    <w:abstractNumId w:val="4"/>
  </w:num>
  <w:num w:numId="24" w16cid:durableId="213391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0"/>
    <w:rsid w:val="00040416"/>
    <w:rsid w:val="00047CE3"/>
    <w:rsid w:val="00053579"/>
    <w:rsid w:val="00061AC2"/>
    <w:rsid w:val="000657A3"/>
    <w:rsid w:val="000746BA"/>
    <w:rsid w:val="0007568F"/>
    <w:rsid w:val="00084A9A"/>
    <w:rsid w:val="000907F7"/>
    <w:rsid w:val="000A1830"/>
    <w:rsid w:val="000C44A6"/>
    <w:rsid w:val="000C68E3"/>
    <w:rsid w:val="000C7504"/>
    <w:rsid w:val="000E239D"/>
    <w:rsid w:val="000F7EA2"/>
    <w:rsid w:val="00101452"/>
    <w:rsid w:val="0011217A"/>
    <w:rsid w:val="00126968"/>
    <w:rsid w:val="00142F77"/>
    <w:rsid w:val="001559C2"/>
    <w:rsid w:val="0016005E"/>
    <w:rsid w:val="00161C2E"/>
    <w:rsid w:val="00170B98"/>
    <w:rsid w:val="001A3A09"/>
    <w:rsid w:val="001D0190"/>
    <w:rsid w:val="001D03B0"/>
    <w:rsid w:val="001E1515"/>
    <w:rsid w:val="001F5727"/>
    <w:rsid w:val="00212E96"/>
    <w:rsid w:val="00215174"/>
    <w:rsid w:val="00222ABC"/>
    <w:rsid w:val="0022710D"/>
    <w:rsid w:val="00235B40"/>
    <w:rsid w:val="002414EF"/>
    <w:rsid w:val="0024195E"/>
    <w:rsid w:val="00250E4E"/>
    <w:rsid w:val="00257B6F"/>
    <w:rsid w:val="00271DBD"/>
    <w:rsid w:val="00281CBB"/>
    <w:rsid w:val="00290061"/>
    <w:rsid w:val="00292F08"/>
    <w:rsid w:val="002A6FE7"/>
    <w:rsid w:val="002B4D38"/>
    <w:rsid w:val="002C68A3"/>
    <w:rsid w:val="002D03AB"/>
    <w:rsid w:val="002E412A"/>
    <w:rsid w:val="00310F79"/>
    <w:rsid w:val="00311BF1"/>
    <w:rsid w:val="00312BF9"/>
    <w:rsid w:val="00317735"/>
    <w:rsid w:val="003220DB"/>
    <w:rsid w:val="003512E4"/>
    <w:rsid w:val="00351CAD"/>
    <w:rsid w:val="00374A60"/>
    <w:rsid w:val="00375090"/>
    <w:rsid w:val="00376E1D"/>
    <w:rsid w:val="0038368B"/>
    <w:rsid w:val="00384B37"/>
    <w:rsid w:val="00387E81"/>
    <w:rsid w:val="0039083E"/>
    <w:rsid w:val="00396AEB"/>
    <w:rsid w:val="003A1B9A"/>
    <w:rsid w:val="003B634A"/>
    <w:rsid w:val="003D464A"/>
    <w:rsid w:val="003E702C"/>
    <w:rsid w:val="003F01D6"/>
    <w:rsid w:val="004023FD"/>
    <w:rsid w:val="00415E54"/>
    <w:rsid w:val="004223C3"/>
    <w:rsid w:val="00425D42"/>
    <w:rsid w:val="00437374"/>
    <w:rsid w:val="00451447"/>
    <w:rsid w:val="004517DC"/>
    <w:rsid w:val="00460106"/>
    <w:rsid w:val="004903DC"/>
    <w:rsid w:val="00497AC2"/>
    <w:rsid w:val="004A5AEB"/>
    <w:rsid w:val="004B1FDC"/>
    <w:rsid w:val="004B560A"/>
    <w:rsid w:val="004B63CF"/>
    <w:rsid w:val="004C0C08"/>
    <w:rsid w:val="004C719F"/>
    <w:rsid w:val="004E098F"/>
    <w:rsid w:val="004E1743"/>
    <w:rsid w:val="005048C8"/>
    <w:rsid w:val="00512785"/>
    <w:rsid w:val="00512949"/>
    <w:rsid w:val="00514B4D"/>
    <w:rsid w:val="005311FB"/>
    <w:rsid w:val="00534E2B"/>
    <w:rsid w:val="005376F0"/>
    <w:rsid w:val="005A0330"/>
    <w:rsid w:val="005B251F"/>
    <w:rsid w:val="005B5776"/>
    <w:rsid w:val="005C3E6E"/>
    <w:rsid w:val="005D61D0"/>
    <w:rsid w:val="005E7A8C"/>
    <w:rsid w:val="005F00F2"/>
    <w:rsid w:val="005F1098"/>
    <w:rsid w:val="005F7F6B"/>
    <w:rsid w:val="00610436"/>
    <w:rsid w:val="00610C07"/>
    <w:rsid w:val="006225D7"/>
    <w:rsid w:val="006275DD"/>
    <w:rsid w:val="006502FE"/>
    <w:rsid w:val="00660AD9"/>
    <w:rsid w:val="00682810"/>
    <w:rsid w:val="00684CAD"/>
    <w:rsid w:val="006A5721"/>
    <w:rsid w:val="006B0ADE"/>
    <w:rsid w:val="006B418C"/>
    <w:rsid w:val="006C3A85"/>
    <w:rsid w:val="006F3A10"/>
    <w:rsid w:val="00722867"/>
    <w:rsid w:val="00737D36"/>
    <w:rsid w:val="007522AB"/>
    <w:rsid w:val="00780447"/>
    <w:rsid w:val="00781B9A"/>
    <w:rsid w:val="0078222F"/>
    <w:rsid w:val="00783E8E"/>
    <w:rsid w:val="0078549D"/>
    <w:rsid w:val="00785FE1"/>
    <w:rsid w:val="0079282E"/>
    <w:rsid w:val="0079735E"/>
    <w:rsid w:val="007A0E15"/>
    <w:rsid w:val="007A433A"/>
    <w:rsid w:val="007B32C3"/>
    <w:rsid w:val="007B5670"/>
    <w:rsid w:val="007B6D5B"/>
    <w:rsid w:val="007C3126"/>
    <w:rsid w:val="007D1BB2"/>
    <w:rsid w:val="007D35AA"/>
    <w:rsid w:val="007F700D"/>
    <w:rsid w:val="008068B9"/>
    <w:rsid w:val="00815CB0"/>
    <w:rsid w:val="0081706F"/>
    <w:rsid w:val="00817462"/>
    <w:rsid w:val="00827314"/>
    <w:rsid w:val="0083039A"/>
    <w:rsid w:val="008447DB"/>
    <w:rsid w:val="0084485D"/>
    <w:rsid w:val="00846B85"/>
    <w:rsid w:val="008474C5"/>
    <w:rsid w:val="008876E5"/>
    <w:rsid w:val="008B4A2B"/>
    <w:rsid w:val="008E399A"/>
    <w:rsid w:val="008E728D"/>
    <w:rsid w:val="008F1A58"/>
    <w:rsid w:val="008F3C2E"/>
    <w:rsid w:val="009148B6"/>
    <w:rsid w:val="00924F7C"/>
    <w:rsid w:val="00937086"/>
    <w:rsid w:val="00981CD4"/>
    <w:rsid w:val="009A2ABF"/>
    <w:rsid w:val="009D6B03"/>
    <w:rsid w:val="009E3E88"/>
    <w:rsid w:val="009E5E92"/>
    <w:rsid w:val="009F0FD6"/>
    <w:rsid w:val="00A2280E"/>
    <w:rsid w:val="00A32360"/>
    <w:rsid w:val="00A5477C"/>
    <w:rsid w:val="00A71146"/>
    <w:rsid w:val="00A92769"/>
    <w:rsid w:val="00AA47AE"/>
    <w:rsid w:val="00AA5277"/>
    <w:rsid w:val="00AB2A8B"/>
    <w:rsid w:val="00AC4B51"/>
    <w:rsid w:val="00AD5098"/>
    <w:rsid w:val="00AE0C77"/>
    <w:rsid w:val="00AE6D99"/>
    <w:rsid w:val="00B56E6E"/>
    <w:rsid w:val="00B62487"/>
    <w:rsid w:val="00B63DC7"/>
    <w:rsid w:val="00B64D75"/>
    <w:rsid w:val="00B90D97"/>
    <w:rsid w:val="00B93AD8"/>
    <w:rsid w:val="00BB0633"/>
    <w:rsid w:val="00BB0F2C"/>
    <w:rsid w:val="00BE4A01"/>
    <w:rsid w:val="00BE6D10"/>
    <w:rsid w:val="00C25FC5"/>
    <w:rsid w:val="00C40F6D"/>
    <w:rsid w:val="00C42AD5"/>
    <w:rsid w:val="00C476DB"/>
    <w:rsid w:val="00C52DF1"/>
    <w:rsid w:val="00C568F0"/>
    <w:rsid w:val="00C65B4F"/>
    <w:rsid w:val="00C91656"/>
    <w:rsid w:val="00CC741A"/>
    <w:rsid w:val="00CF1A03"/>
    <w:rsid w:val="00D01FFD"/>
    <w:rsid w:val="00D064E0"/>
    <w:rsid w:val="00D24F3C"/>
    <w:rsid w:val="00D25125"/>
    <w:rsid w:val="00D34DFC"/>
    <w:rsid w:val="00D36899"/>
    <w:rsid w:val="00D500D1"/>
    <w:rsid w:val="00D60080"/>
    <w:rsid w:val="00D646B6"/>
    <w:rsid w:val="00D67D78"/>
    <w:rsid w:val="00D8707C"/>
    <w:rsid w:val="00DA3C03"/>
    <w:rsid w:val="00DB4F2F"/>
    <w:rsid w:val="00DC6367"/>
    <w:rsid w:val="00DE3D18"/>
    <w:rsid w:val="00DE5070"/>
    <w:rsid w:val="00DE6C27"/>
    <w:rsid w:val="00E04C4D"/>
    <w:rsid w:val="00E200DC"/>
    <w:rsid w:val="00E41E80"/>
    <w:rsid w:val="00E47010"/>
    <w:rsid w:val="00E60482"/>
    <w:rsid w:val="00E62C34"/>
    <w:rsid w:val="00E745DE"/>
    <w:rsid w:val="00E74BF3"/>
    <w:rsid w:val="00E74C4C"/>
    <w:rsid w:val="00E902D0"/>
    <w:rsid w:val="00E94D2C"/>
    <w:rsid w:val="00EA0524"/>
    <w:rsid w:val="00ED3F0C"/>
    <w:rsid w:val="00EE5548"/>
    <w:rsid w:val="00F25902"/>
    <w:rsid w:val="00F379A7"/>
    <w:rsid w:val="00F40E5B"/>
    <w:rsid w:val="00F5754A"/>
    <w:rsid w:val="00F63071"/>
    <w:rsid w:val="00F74EAE"/>
    <w:rsid w:val="00F814FF"/>
    <w:rsid w:val="00F84CEC"/>
    <w:rsid w:val="00F85FF4"/>
    <w:rsid w:val="00FB00D7"/>
    <w:rsid w:val="00FC5BD8"/>
    <w:rsid w:val="00FD7047"/>
    <w:rsid w:val="00FE0D0C"/>
    <w:rsid w:val="00FE628E"/>
    <w:rsid w:val="01AE4AC9"/>
    <w:rsid w:val="020302D2"/>
    <w:rsid w:val="034B6AC4"/>
    <w:rsid w:val="036C79F3"/>
    <w:rsid w:val="05355EBB"/>
    <w:rsid w:val="055FF1ED"/>
    <w:rsid w:val="0585CB15"/>
    <w:rsid w:val="05FF0FF3"/>
    <w:rsid w:val="062030DA"/>
    <w:rsid w:val="06369B67"/>
    <w:rsid w:val="06A9936E"/>
    <w:rsid w:val="070F71D1"/>
    <w:rsid w:val="07492A2B"/>
    <w:rsid w:val="07CACDF5"/>
    <w:rsid w:val="082C24F3"/>
    <w:rsid w:val="08EF6DF4"/>
    <w:rsid w:val="090816C6"/>
    <w:rsid w:val="0936718D"/>
    <w:rsid w:val="09B22EB4"/>
    <w:rsid w:val="0A3E34A2"/>
    <w:rsid w:val="0A7033E5"/>
    <w:rsid w:val="0C739D7C"/>
    <w:rsid w:val="0C7592C0"/>
    <w:rsid w:val="0CC405A1"/>
    <w:rsid w:val="0CEB53B0"/>
    <w:rsid w:val="104E9A73"/>
    <w:rsid w:val="1100C0A0"/>
    <w:rsid w:val="126438E5"/>
    <w:rsid w:val="12C34A34"/>
    <w:rsid w:val="12CCBF56"/>
    <w:rsid w:val="14076192"/>
    <w:rsid w:val="15856BA6"/>
    <w:rsid w:val="159EB026"/>
    <w:rsid w:val="1658AF29"/>
    <w:rsid w:val="17B6F5EC"/>
    <w:rsid w:val="17B88C95"/>
    <w:rsid w:val="18615835"/>
    <w:rsid w:val="18809F7A"/>
    <w:rsid w:val="18ACCC28"/>
    <w:rsid w:val="1A428D2F"/>
    <w:rsid w:val="1A8CAC43"/>
    <w:rsid w:val="1BFE274C"/>
    <w:rsid w:val="1E1EB120"/>
    <w:rsid w:val="1F7D4BF5"/>
    <w:rsid w:val="1FEF0ED6"/>
    <w:rsid w:val="2103A492"/>
    <w:rsid w:val="22E356EE"/>
    <w:rsid w:val="2330857F"/>
    <w:rsid w:val="235DAF25"/>
    <w:rsid w:val="24007F2B"/>
    <w:rsid w:val="24706401"/>
    <w:rsid w:val="26E80A15"/>
    <w:rsid w:val="26F94F89"/>
    <w:rsid w:val="27F8C5BD"/>
    <w:rsid w:val="2807E1C5"/>
    <w:rsid w:val="288E5FCD"/>
    <w:rsid w:val="28A98AAF"/>
    <w:rsid w:val="29D8C13B"/>
    <w:rsid w:val="29EAD7BC"/>
    <w:rsid w:val="2A8D1E6E"/>
    <w:rsid w:val="2B4E984A"/>
    <w:rsid w:val="2BC8AB78"/>
    <w:rsid w:val="2C9D1B6F"/>
    <w:rsid w:val="2DFF7505"/>
    <w:rsid w:val="2E9D46E0"/>
    <w:rsid w:val="311FB63E"/>
    <w:rsid w:val="31D9661C"/>
    <w:rsid w:val="324C96DE"/>
    <w:rsid w:val="32B1D932"/>
    <w:rsid w:val="34B6E810"/>
    <w:rsid w:val="34CCA25A"/>
    <w:rsid w:val="35B7526B"/>
    <w:rsid w:val="3623AF07"/>
    <w:rsid w:val="37D18058"/>
    <w:rsid w:val="37DB0475"/>
    <w:rsid w:val="38096089"/>
    <w:rsid w:val="384F9642"/>
    <w:rsid w:val="38815DDC"/>
    <w:rsid w:val="390E93D0"/>
    <w:rsid w:val="3919AFC6"/>
    <w:rsid w:val="3B793600"/>
    <w:rsid w:val="3C6FED53"/>
    <w:rsid w:val="3DBB36A3"/>
    <w:rsid w:val="3E10C615"/>
    <w:rsid w:val="3E340B98"/>
    <w:rsid w:val="3F40B8A6"/>
    <w:rsid w:val="401839C5"/>
    <w:rsid w:val="40386B3C"/>
    <w:rsid w:val="40C3C719"/>
    <w:rsid w:val="40DF40E3"/>
    <w:rsid w:val="41DA4712"/>
    <w:rsid w:val="4222D78E"/>
    <w:rsid w:val="42251629"/>
    <w:rsid w:val="4238B434"/>
    <w:rsid w:val="4252E373"/>
    <w:rsid w:val="42ECAFE4"/>
    <w:rsid w:val="435513BB"/>
    <w:rsid w:val="43823A7A"/>
    <w:rsid w:val="4457FAA5"/>
    <w:rsid w:val="44B29417"/>
    <w:rsid w:val="45A44C67"/>
    <w:rsid w:val="463DD091"/>
    <w:rsid w:val="46E60460"/>
    <w:rsid w:val="48C2D5C1"/>
    <w:rsid w:val="48CAD9AD"/>
    <w:rsid w:val="48CB17EC"/>
    <w:rsid w:val="49537D06"/>
    <w:rsid w:val="4977B30B"/>
    <w:rsid w:val="4A1C93B8"/>
    <w:rsid w:val="4B7CB121"/>
    <w:rsid w:val="4E01457C"/>
    <w:rsid w:val="4F5D2E24"/>
    <w:rsid w:val="4FFC2815"/>
    <w:rsid w:val="507B996D"/>
    <w:rsid w:val="51954A6A"/>
    <w:rsid w:val="5226C2E6"/>
    <w:rsid w:val="52342723"/>
    <w:rsid w:val="529D587A"/>
    <w:rsid w:val="561F0497"/>
    <w:rsid w:val="5656ABEE"/>
    <w:rsid w:val="567FE3B8"/>
    <w:rsid w:val="56A1C6B0"/>
    <w:rsid w:val="56F655F5"/>
    <w:rsid w:val="5701CCD0"/>
    <w:rsid w:val="5714463C"/>
    <w:rsid w:val="5785FC0D"/>
    <w:rsid w:val="5947C5F8"/>
    <w:rsid w:val="59C4C80F"/>
    <w:rsid w:val="5C449FCB"/>
    <w:rsid w:val="5C8A737E"/>
    <w:rsid w:val="5CF81509"/>
    <w:rsid w:val="5F37D237"/>
    <w:rsid w:val="5F38CA23"/>
    <w:rsid w:val="5F6C9D9C"/>
    <w:rsid w:val="5FF13804"/>
    <w:rsid w:val="600B2D89"/>
    <w:rsid w:val="60E3AE0F"/>
    <w:rsid w:val="60ECB1B7"/>
    <w:rsid w:val="613D966C"/>
    <w:rsid w:val="62B64818"/>
    <w:rsid w:val="633022B8"/>
    <w:rsid w:val="640BD752"/>
    <w:rsid w:val="64560B62"/>
    <w:rsid w:val="648F04D5"/>
    <w:rsid w:val="66A95926"/>
    <w:rsid w:val="67C86F26"/>
    <w:rsid w:val="67FA7B71"/>
    <w:rsid w:val="68917493"/>
    <w:rsid w:val="68EB1489"/>
    <w:rsid w:val="697E5BBF"/>
    <w:rsid w:val="6A1D7BA9"/>
    <w:rsid w:val="6B8960F3"/>
    <w:rsid w:val="6BF54D63"/>
    <w:rsid w:val="6E1771F5"/>
    <w:rsid w:val="6E866CEE"/>
    <w:rsid w:val="6F67740F"/>
    <w:rsid w:val="6FC5C891"/>
    <w:rsid w:val="7232D451"/>
    <w:rsid w:val="723D4CCF"/>
    <w:rsid w:val="72AD7FB1"/>
    <w:rsid w:val="72DDBF05"/>
    <w:rsid w:val="7342AC03"/>
    <w:rsid w:val="73EC51F7"/>
    <w:rsid w:val="77081B21"/>
    <w:rsid w:val="79E04F71"/>
    <w:rsid w:val="79E2C5D8"/>
    <w:rsid w:val="7A647DB4"/>
    <w:rsid w:val="7AD73E8F"/>
    <w:rsid w:val="7B494FC0"/>
    <w:rsid w:val="7C94F129"/>
    <w:rsid w:val="7D8C5C84"/>
    <w:rsid w:val="7DF954ED"/>
    <w:rsid w:val="7ED5C4B9"/>
    <w:rsid w:val="7F468161"/>
    <w:rsid w:val="7F97CEDF"/>
    <w:rsid w:val="7FF2F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E1E9"/>
  <w15:docId w15:val="{E2978939-FE91-4627-8746-6A4D365F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4A6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1D03B0"/>
    <w:pPr>
      <w:spacing w:before="120" w:after="120"/>
      <w:jc w:val="center"/>
    </w:pPr>
    <w:rPr>
      <w:rFonts w:ascii="Gill Sans MT" w:hAnsi="Gill Sans MT"/>
      <w:b/>
      <w:sz w:val="32"/>
      <w:szCs w:val="32"/>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0A1830"/>
    <w:pPr>
      <w:spacing w:before="360" w:after="120"/>
    </w:pPr>
    <w:rPr>
      <w:rFonts w:ascii="Gill Sans MT" w:hAnsi="Gill Sans MT"/>
      <w:b/>
      <w:i/>
    </w:rPr>
  </w:style>
  <w:style w:type="character" w:customStyle="1" w:styleId="Subhead1slChar">
    <w:name w:val="Subhead 1_sl Char"/>
    <w:basedOn w:val="DefaultParagraphFont"/>
    <w:link w:val="Subhead1sl"/>
    <w:rsid w:val="001D03B0"/>
    <w:rPr>
      <w:rFonts w:ascii="Gill Sans MT" w:hAnsi="Gill Sans MT"/>
      <w:b/>
      <w:sz w:val="32"/>
      <w:szCs w:val="32"/>
    </w:rPr>
  </w:style>
  <w:style w:type="paragraph" w:customStyle="1" w:styleId="Basiccopysl">
    <w:name w:val="Basic copy_sl"/>
    <w:basedOn w:val="Normal"/>
    <w:link w:val="BasiccopyslChar"/>
    <w:qFormat/>
    <w:rsid w:val="009148B6"/>
    <w:pPr>
      <w:spacing w:after="120" w:line="276" w:lineRule="auto"/>
    </w:pPr>
    <w:rPr>
      <w:rFonts w:ascii="Garamond" w:hAnsi="Garamond"/>
    </w:rPr>
  </w:style>
  <w:style w:type="character" w:customStyle="1" w:styleId="Subhead2slChar">
    <w:name w:val="Subhead 2_sl Char"/>
    <w:basedOn w:val="DefaultParagraphFont"/>
    <w:link w:val="Subhead2sl"/>
    <w:rsid w:val="000A183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rFonts w:ascii="Garamond" w:hAnsi="Garamond"/>
    </w:rPr>
  </w:style>
  <w:style w:type="character" w:customStyle="1" w:styleId="BasiccopyslChar">
    <w:name w:val="Basic copy_sl Char"/>
    <w:basedOn w:val="DefaultParagraphFont"/>
    <w:link w:val="Basiccopysl"/>
    <w:rsid w:val="009148B6"/>
    <w:rPr>
      <w:rFonts w:ascii="Garamond" w:eastAsia="Times New Roman" w:hAnsi="Garamond" w:cs="Times New Roman"/>
      <w:sz w:val="24"/>
      <w:szCs w:val="24"/>
    </w:rPr>
  </w:style>
  <w:style w:type="paragraph" w:customStyle="1" w:styleId="Numberedlistsl">
    <w:name w:val="Numbered list_sl"/>
    <w:basedOn w:val="Normal"/>
    <w:link w:val="NumberedlistslChar"/>
    <w:qFormat/>
    <w:rsid w:val="00317735"/>
    <w:pPr>
      <w:numPr>
        <w:numId w:val="2"/>
      </w:numPr>
      <w:spacing w:after="120"/>
      <w:ind w:left="720"/>
    </w:pPr>
    <w:rPr>
      <w:rFonts w:ascii="Garamond" w:hAnsi="Garamond"/>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rFonts w:ascii="Garamond" w:hAnsi="Garamond"/>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rFonts w:ascii="Garamond" w:hAnsi="Garamond"/>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Times New Roman" w:hAnsi="Garamond" w:cs="Times New Roman"/>
      <w:b/>
      <w:sz w:val="24"/>
      <w:szCs w:val="24"/>
    </w:rPr>
  </w:style>
  <w:style w:type="paragraph" w:styleId="ListParagraph">
    <w:name w:val="List Paragraph"/>
    <w:basedOn w:val="Normal"/>
    <w:uiPriority w:val="34"/>
    <w:qFormat/>
    <w:rsid w:val="001D03B0"/>
    <w:pPr>
      <w:ind w:left="720"/>
      <w:contextualSpacing/>
    </w:pPr>
  </w:style>
  <w:style w:type="paragraph" w:customStyle="1" w:styleId="Basiccopyindentedsl">
    <w:name w:val="Basic copy_indented_sl"/>
    <w:basedOn w:val="Basiccopysl"/>
    <w:qFormat/>
    <w:rsid w:val="000A1830"/>
    <w:pPr>
      <w:ind w:left="720"/>
    </w:pPr>
  </w:style>
  <w:style w:type="paragraph" w:customStyle="1" w:styleId="Basiccopycenteredsl">
    <w:name w:val="Basic copy_centered_sl"/>
    <w:basedOn w:val="Basiccopysl"/>
    <w:qFormat/>
    <w:rsid w:val="000A1830"/>
    <w:pPr>
      <w:jc w:val="center"/>
    </w:pPr>
    <w:rPr>
      <w:b/>
    </w:rPr>
  </w:style>
  <w:style w:type="character" w:customStyle="1" w:styleId="Heading2Char">
    <w:name w:val="Heading 2 Char"/>
    <w:basedOn w:val="DefaultParagraphFont"/>
    <w:link w:val="Heading2"/>
    <w:rsid w:val="00374A60"/>
    <w:rPr>
      <w:rFonts w:ascii="Times New Roman" w:eastAsia="Times New Roman" w:hAnsi="Times New Roman" w:cs="Times New Roman"/>
      <w:b/>
      <w:sz w:val="24"/>
      <w:szCs w:val="24"/>
    </w:rPr>
  </w:style>
  <w:style w:type="paragraph" w:styleId="Revision">
    <w:name w:val="Revision"/>
    <w:hidden/>
    <w:uiPriority w:val="99"/>
    <w:semiHidden/>
    <w:rsid w:val="004023FD"/>
    <w:pPr>
      <w:spacing w:after="0"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CF1A03"/>
    <w:pPr>
      <w:autoSpaceDE w:val="0"/>
      <w:autoSpaceDN w:val="0"/>
      <w:adjustRightInd w:val="0"/>
      <w:spacing w:line="288" w:lineRule="auto"/>
      <w:textAlignment w:val="center"/>
    </w:pPr>
    <w:rPr>
      <w:rFonts w:ascii="Minion Pro" w:eastAsiaTheme="minorHAnsi" w:hAnsi="Minion Pro" w:cs="Minion Pro"/>
      <w:color w:val="000000"/>
    </w:rPr>
  </w:style>
  <w:style w:type="paragraph" w:customStyle="1" w:styleId="Bulletboldsl">
    <w:name w:val="Bullet bold_sl"/>
    <w:basedOn w:val="Bulletsl"/>
    <w:rsid w:val="005F1098"/>
    <w:pPr>
      <w:spacing w:before="240" w:line="276" w:lineRule="auto"/>
    </w:pPr>
    <w:rPr>
      <w:rFonts w:eastAsiaTheme="minorHAnsi" w:cstheme="minorBidi"/>
      <w:b/>
      <w:iCs/>
    </w:rPr>
  </w:style>
  <w:style w:type="table" w:styleId="TableGrid">
    <w:name w:val="Table Grid"/>
    <w:basedOn w:val="TableNormal"/>
    <w:uiPriority w:val="59"/>
    <w:rsid w:val="00BB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0">
    <w:name w:val="Basic copy indented_sl"/>
    <w:basedOn w:val="Basiccopysl"/>
    <w:rsid w:val="00BB0633"/>
    <w:pPr>
      <w:ind w:left="720"/>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5702">
      <w:bodyDiv w:val="1"/>
      <w:marLeft w:val="0"/>
      <w:marRight w:val="0"/>
      <w:marTop w:val="0"/>
      <w:marBottom w:val="0"/>
      <w:divBdr>
        <w:top w:val="none" w:sz="0" w:space="0" w:color="auto"/>
        <w:left w:val="none" w:sz="0" w:space="0" w:color="auto"/>
        <w:bottom w:val="none" w:sz="0" w:space="0" w:color="auto"/>
        <w:right w:val="none" w:sz="0" w:space="0" w:color="auto"/>
      </w:divBdr>
    </w:div>
    <w:div w:id="787821346">
      <w:bodyDiv w:val="1"/>
      <w:marLeft w:val="0"/>
      <w:marRight w:val="0"/>
      <w:marTop w:val="0"/>
      <w:marBottom w:val="0"/>
      <w:divBdr>
        <w:top w:val="none" w:sz="0" w:space="0" w:color="auto"/>
        <w:left w:val="none" w:sz="0" w:space="0" w:color="auto"/>
        <w:bottom w:val="none" w:sz="0" w:space="0" w:color="auto"/>
        <w:right w:val="none" w:sz="0" w:space="0" w:color="auto"/>
      </w:divBdr>
      <w:divsChild>
        <w:div w:id="138881535">
          <w:marLeft w:val="0"/>
          <w:marRight w:val="0"/>
          <w:marTop w:val="0"/>
          <w:marBottom w:val="0"/>
          <w:divBdr>
            <w:top w:val="none" w:sz="0" w:space="0" w:color="auto"/>
            <w:left w:val="none" w:sz="0" w:space="0" w:color="auto"/>
            <w:bottom w:val="none" w:sz="0" w:space="0" w:color="auto"/>
            <w:right w:val="none" w:sz="0" w:space="0" w:color="auto"/>
          </w:divBdr>
        </w:div>
        <w:div w:id="157623491">
          <w:marLeft w:val="0"/>
          <w:marRight w:val="0"/>
          <w:marTop w:val="0"/>
          <w:marBottom w:val="0"/>
          <w:divBdr>
            <w:top w:val="none" w:sz="0" w:space="0" w:color="auto"/>
            <w:left w:val="none" w:sz="0" w:space="0" w:color="auto"/>
            <w:bottom w:val="none" w:sz="0" w:space="0" w:color="auto"/>
            <w:right w:val="none" w:sz="0" w:space="0" w:color="auto"/>
          </w:divBdr>
        </w:div>
        <w:div w:id="294915637">
          <w:marLeft w:val="0"/>
          <w:marRight w:val="0"/>
          <w:marTop w:val="0"/>
          <w:marBottom w:val="0"/>
          <w:divBdr>
            <w:top w:val="none" w:sz="0" w:space="0" w:color="auto"/>
            <w:left w:val="none" w:sz="0" w:space="0" w:color="auto"/>
            <w:bottom w:val="none" w:sz="0" w:space="0" w:color="auto"/>
            <w:right w:val="none" w:sz="0" w:space="0" w:color="auto"/>
          </w:divBdr>
          <w:divsChild>
            <w:div w:id="396824095">
              <w:marLeft w:val="0"/>
              <w:marRight w:val="0"/>
              <w:marTop w:val="0"/>
              <w:marBottom w:val="0"/>
              <w:divBdr>
                <w:top w:val="none" w:sz="0" w:space="0" w:color="auto"/>
                <w:left w:val="none" w:sz="0" w:space="0" w:color="auto"/>
                <w:bottom w:val="none" w:sz="0" w:space="0" w:color="auto"/>
                <w:right w:val="none" w:sz="0" w:space="0" w:color="auto"/>
              </w:divBdr>
            </w:div>
            <w:div w:id="768619183">
              <w:marLeft w:val="0"/>
              <w:marRight w:val="0"/>
              <w:marTop w:val="0"/>
              <w:marBottom w:val="0"/>
              <w:divBdr>
                <w:top w:val="none" w:sz="0" w:space="0" w:color="auto"/>
                <w:left w:val="none" w:sz="0" w:space="0" w:color="auto"/>
                <w:bottom w:val="none" w:sz="0" w:space="0" w:color="auto"/>
                <w:right w:val="none" w:sz="0" w:space="0" w:color="auto"/>
              </w:divBdr>
            </w:div>
            <w:div w:id="1444378252">
              <w:marLeft w:val="0"/>
              <w:marRight w:val="0"/>
              <w:marTop w:val="0"/>
              <w:marBottom w:val="0"/>
              <w:divBdr>
                <w:top w:val="none" w:sz="0" w:space="0" w:color="auto"/>
                <w:left w:val="none" w:sz="0" w:space="0" w:color="auto"/>
                <w:bottom w:val="none" w:sz="0" w:space="0" w:color="auto"/>
                <w:right w:val="none" w:sz="0" w:space="0" w:color="auto"/>
              </w:divBdr>
            </w:div>
            <w:div w:id="1483080358">
              <w:marLeft w:val="0"/>
              <w:marRight w:val="0"/>
              <w:marTop w:val="0"/>
              <w:marBottom w:val="0"/>
              <w:divBdr>
                <w:top w:val="none" w:sz="0" w:space="0" w:color="auto"/>
                <w:left w:val="none" w:sz="0" w:space="0" w:color="auto"/>
                <w:bottom w:val="none" w:sz="0" w:space="0" w:color="auto"/>
                <w:right w:val="none" w:sz="0" w:space="0" w:color="auto"/>
              </w:divBdr>
            </w:div>
            <w:div w:id="1506481349">
              <w:marLeft w:val="0"/>
              <w:marRight w:val="0"/>
              <w:marTop w:val="0"/>
              <w:marBottom w:val="0"/>
              <w:divBdr>
                <w:top w:val="none" w:sz="0" w:space="0" w:color="auto"/>
                <w:left w:val="none" w:sz="0" w:space="0" w:color="auto"/>
                <w:bottom w:val="none" w:sz="0" w:space="0" w:color="auto"/>
                <w:right w:val="none" w:sz="0" w:space="0" w:color="auto"/>
              </w:divBdr>
            </w:div>
          </w:divsChild>
        </w:div>
        <w:div w:id="601501229">
          <w:marLeft w:val="0"/>
          <w:marRight w:val="0"/>
          <w:marTop w:val="0"/>
          <w:marBottom w:val="0"/>
          <w:divBdr>
            <w:top w:val="none" w:sz="0" w:space="0" w:color="auto"/>
            <w:left w:val="none" w:sz="0" w:space="0" w:color="auto"/>
            <w:bottom w:val="none" w:sz="0" w:space="0" w:color="auto"/>
            <w:right w:val="none" w:sz="0" w:space="0" w:color="auto"/>
          </w:divBdr>
          <w:divsChild>
            <w:div w:id="411396741">
              <w:marLeft w:val="0"/>
              <w:marRight w:val="0"/>
              <w:marTop w:val="0"/>
              <w:marBottom w:val="0"/>
              <w:divBdr>
                <w:top w:val="none" w:sz="0" w:space="0" w:color="auto"/>
                <w:left w:val="none" w:sz="0" w:space="0" w:color="auto"/>
                <w:bottom w:val="none" w:sz="0" w:space="0" w:color="auto"/>
                <w:right w:val="none" w:sz="0" w:space="0" w:color="auto"/>
              </w:divBdr>
            </w:div>
            <w:div w:id="555121997">
              <w:marLeft w:val="0"/>
              <w:marRight w:val="0"/>
              <w:marTop w:val="0"/>
              <w:marBottom w:val="0"/>
              <w:divBdr>
                <w:top w:val="none" w:sz="0" w:space="0" w:color="auto"/>
                <w:left w:val="none" w:sz="0" w:space="0" w:color="auto"/>
                <w:bottom w:val="none" w:sz="0" w:space="0" w:color="auto"/>
                <w:right w:val="none" w:sz="0" w:space="0" w:color="auto"/>
              </w:divBdr>
            </w:div>
            <w:div w:id="858004364">
              <w:marLeft w:val="0"/>
              <w:marRight w:val="0"/>
              <w:marTop w:val="0"/>
              <w:marBottom w:val="0"/>
              <w:divBdr>
                <w:top w:val="none" w:sz="0" w:space="0" w:color="auto"/>
                <w:left w:val="none" w:sz="0" w:space="0" w:color="auto"/>
                <w:bottom w:val="none" w:sz="0" w:space="0" w:color="auto"/>
                <w:right w:val="none" w:sz="0" w:space="0" w:color="auto"/>
              </w:divBdr>
            </w:div>
            <w:div w:id="1817647851">
              <w:marLeft w:val="0"/>
              <w:marRight w:val="0"/>
              <w:marTop w:val="0"/>
              <w:marBottom w:val="0"/>
              <w:divBdr>
                <w:top w:val="none" w:sz="0" w:space="0" w:color="auto"/>
                <w:left w:val="none" w:sz="0" w:space="0" w:color="auto"/>
                <w:bottom w:val="none" w:sz="0" w:space="0" w:color="auto"/>
                <w:right w:val="none" w:sz="0" w:space="0" w:color="auto"/>
              </w:divBdr>
            </w:div>
            <w:div w:id="1867213824">
              <w:marLeft w:val="0"/>
              <w:marRight w:val="0"/>
              <w:marTop w:val="0"/>
              <w:marBottom w:val="0"/>
              <w:divBdr>
                <w:top w:val="none" w:sz="0" w:space="0" w:color="auto"/>
                <w:left w:val="none" w:sz="0" w:space="0" w:color="auto"/>
                <w:bottom w:val="none" w:sz="0" w:space="0" w:color="auto"/>
                <w:right w:val="none" w:sz="0" w:space="0" w:color="auto"/>
              </w:divBdr>
            </w:div>
          </w:divsChild>
        </w:div>
        <w:div w:id="739713806">
          <w:marLeft w:val="0"/>
          <w:marRight w:val="0"/>
          <w:marTop w:val="0"/>
          <w:marBottom w:val="0"/>
          <w:divBdr>
            <w:top w:val="none" w:sz="0" w:space="0" w:color="auto"/>
            <w:left w:val="none" w:sz="0" w:space="0" w:color="auto"/>
            <w:bottom w:val="none" w:sz="0" w:space="0" w:color="auto"/>
            <w:right w:val="none" w:sz="0" w:space="0" w:color="auto"/>
          </w:divBdr>
        </w:div>
        <w:div w:id="780345615">
          <w:marLeft w:val="0"/>
          <w:marRight w:val="0"/>
          <w:marTop w:val="0"/>
          <w:marBottom w:val="0"/>
          <w:divBdr>
            <w:top w:val="none" w:sz="0" w:space="0" w:color="auto"/>
            <w:left w:val="none" w:sz="0" w:space="0" w:color="auto"/>
            <w:bottom w:val="none" w:sz="0" w:space="0" w:color="auto"/>
            <w:right w:val="none" w:sz="0" w:space="0" w:color="auto"/>
          </w:divBdr>
          <w:divsChild>
            <w:div w:id="117996180">
              <w:marLeft w:val="0"/>
              <w:marRight w:val="0"/>
              <w:marTop w:val="0"/>
              <w:marBottom w:val="0"/>
              <w:divBdr>
                <w:top w:val="none" w:sz="0" w:space="0" w:color="auto"/>
                <w:left w:val="none" w:sz="0" w:space="0" w:color="auto"/>
                <w:bottom w:val="none" w:sz="0" w:space="0" w:color="auto"/>
                <w:right w:val="none" w:sz="0" w:space="0" w:color="auto"/>
              </w:divBdr>
            </w:div>
            <w:div w:id="229465913">
              <w:marLeft w:val="0"/>
              <w:marRight w:val="0"/>
              <w:marTop w:val="0"/>
              <w:marBottom w:val="0"/>
              <w:divBdr>
                <w:top w:val="none" w:sz="0" w:space="0" w:color="auto"/>
                <w:left w:val="none" w:sz="0" w:space="0" w:color="auto"/>
                <w:bottom w:val="none" w:sz="0" w:space="0" w:color="auto"/>
                <w:right w:val="none" w:sz="0" w:space="0" w:color="auto"/>
              </w:divBdr>
            </w:div>
            <w:div w:id="637615573">
              <w:marLeft w:val="0"/>
              <w:marRight w:val="0"/>
              <w:marTop w:val="0"/>
              <w:marBottom w:val="0"/>
              <w:divBdr>
                <w:top w:val="none" w:sz="0" w:space="0" w:color="auto"/>
                <w:left w:val="none" w:sz="0" w:space="0" w:color="auto"/>
                <w:bottom w:val="none" w:sz="0" w:space="0" w:color="auto"/>
                <w:right w:val="none" w:sz="0" w:space="0" w:color="auto"/>
              </w:divBdr>
            </w:div>
            <w:div w:id="1114793044">
              <w:marLeft w:val="0"/>
              <w:marRight w:val="0"/>
              <w:marTop w:val="0"/>
              <w:marBottom w:val="0"/>
              <w:divBdr>
                <w:top w:val="none" w:sz="0" w:space="0" w:color="auto"/>
                <w:left w:val="none" w:sz="0" w:space="0" w:color="auto"/>
                <w:bottom w:val="none" w:sz="0" w:space="0" w:color="auto"/>
                <w:right w:val="none" w:sz="0" w:space="0" w:color="auto"/>
              </w:divBdr>
            </w:div>
            <w:div w:id="2143502821">
              <w:marLeft w:val="0"/>
              <w:marRight w:val="0"/>
              <w:marTop w:val="0"/>
              <w:marBottom w:val="0"/>
              <w:divBdr>
                <w:top w:val="none" w:sz="0" w:space="0" w:color="auto"/>
                <w:left w:val="none" w:sz="0" w:space="0" w:color="auto"/>
                <w:bottom w:val="none" w:sz="0" w:space="0" w:color="auto"/>
                <w:right w:val="none" w:sz="0" w:space="0" w:color="auto"/>
              </w:divBdr>
            </w:div>
          </w:divsChild>
        </w:div>
        <w:div w:id="784348187">
          <w:marLeft w:val="0"/>
          <w:marRight w:val="0"/>
          <w:marTop w:val="0"/>
          <w:marBottom w:val="0"/>
          <w:divBdr>
            <w:top w:val="none" w:sz="0" w:space="0" w:color="auto"/>
            <w:left w:val="none" w:sz="0" w:space="0" w:color="auto"/>
            <w:bottom w:val="none" w:sz="0" w:space="0" w:color="auto"/>
            <w:right w:val="none" w:sz="0" w:space="0" w:color="auto"/>
          </w:divBdr>
        </w:div>
        <w:div w:id="864291629">
          <w:marLeft w:val="0"/>
          <w:marRight w:val="0"/>
          <w:marTop w:val="0"/>
          <w:marBottom w:val="0"/>
          <w:divBdr>
            <w:top w:val="none" w:sz="0" w:space="0" w:color="auto"/>
            <w:left w:val="none" w:sz="0" w:space="0" w:color="auto"/>
            <w:bottom w:val="none" w:sz="0" w:space="0" w:color="auto"/>
            <w:right w:val="none" w:sz="0" w:space="0" w:color="auto"/>
          </w:divBdr>
          <w:divsChild>
            <w:div w:id="263614458">
              <w:marLeft w:val="0"/>
              <w:marRight w:val="0"/>
              <w:marTop w:val="0"/>
              <w:marBottom w:val="0"/>
              <w:divBdr>
                <w:top w:val="none" w:sz="0" w:space="0" w:color="auto"/>
                <w:left w:val="none" w:sz="0" w:space="0" w:color="auto"/>
                <w:bottom w:val="none" w:sz="0" w:space="0" w:color="auto"/>
                <w:right w:val="none" w:sz="0" w:space="0" w:color="auto"/>
              </w:divBdr>
            </w:div>
            <w:div w:id="443234122">
              <w:marLeft w:val="0"/>
              <w:marRight w:val="0"/>
              <w:marTop w:val="0"/>
              <w:marBottom w:val="0"/>
              <w:divBdr>
                <w:top w:val="none" w:sz="0" w:space="0" w:color="auto"/>
                <w:left w:val="none" w:sz="0" w:space="0" w:color="auto"/>
                <w:bottom w:val="none" w:sz="0" w:space="0" w:color="auto"/>
                <w:right w:val="none" w:sz="0" w:space="0" w:color="auto"/>
              </w:divBdr>
            </w:div>
            <w:div w:id="632754962">
              <w:marLeft w:val="0"/>
              <w:marRight w:val="0"/>
              <w:marTop w:val="0"/>
              <w:marBottom w:val="0"/>
              <w:divBdr>
                <w:top w:val="none" w:sz="0" w:space="0" w:color="auto"/>
                <w:left w:val="none" w:sz="0" w:space="0" w:color="auto"/>
                <w:bottom w:val="none" w:sz="0" w:space="0" w:color="auto"/>
                <w:right w:val="none" w:sz="0" w:space="0" w:color="auto"/>
              </w:divBdr>
            </w:div>
            <w:div w:id="1362513997">
              <w:marLeft w:val="0"/>
              <w:marRight w:val="0"/>
              <w:marTop w:val="0"/>
              <w:marBottom w:val="0"/>
              <w:divBdr>
                <w:top w:val="none" w:sz="0" w:space="0" w:color="auto"/>
                <w:left w:val="none" w:sz="0" w:space="0" w:color="auto"/>
                <w:bottom w:val="none" w:sz="0" w:space="0" w:color="auto"/>
                <w:right w:val="none" w:sz="0" w:space="0" w:color="auto"/>
              </w:divBdr>
            </w:div>
            <w:div w:id="1775830093">
              <w:marLeft w:val="0"/>
              <w:marRight w:val="0"/>
              <w:marTop w:val="0"/>
              <w:marBottom w:val="0"/>
              <w:divBdr>
                <w:top w:val="none" w:sz="0" w:space="0" w:color="auto"/>
                <w:left w:val="none" w:sz="0" w:space="0" w:color="auto"/>
                <w:bottom w:val="none" w:sz="0" w:space="0" w:color="auto"/>
                <w:right w:val="none" w:sz="0" w:space="0" w:color="auto"/>
              </w:divBdr>
            </w:div>
          </w:divsChild>
        </w:div>
        <w:div w:id="977148162">
          <w:marLeft w:val="0"/>
          <w:marRight w:val="0"/>
          <w:marTop w:val="0"/>
          <w:marBottom w:val="0"/>
          <w:divBdr>
            <w:top w:val="none" w:sz="0" w:space="0" w:color="auto"/>
            <w:left w:val="none" w:sz="0" w:space="0" w:color="auto"/>
            <w:bottom w:val="none" w:sz="0" w:space="0" w:color="auto"/>
            <w:right w:val="none" w:sz="0" w:space="0" w:color="auto"/>
          </w:divBdr>
        </w:div>
        <w:div w:id="996035655">
          <w:marLeft w:val="0"/>
          <w:marRight w:val="0"/>
          <w:marTop w:val="0"/>
          <w:marBottom w:val="0"/>
          <w:divBdr>
            <w:top w:val="none" w:sz="0" w:space="0" w:color="auto"/>
            <w:left w:val="none" w:sz="0" w:space="0" w:color="auto"/>
            <w:bottom w:val="none" w:sz="0" w:space="0" w:color="auto"/>
            <w:right w:val="none" w:sz="0" w:space="0" w:color="auto"/>
          </w:divBdr>
        </w:div>
        <w:div w:id="1011034011">
          <w:marLeft w:val="0"/>
          <w:marRight w:val="0"/>
          <w:marTop w:val="0"/>
          <w:marBottom w:val="0"/>
          <w:divBdr>
            <w:top w:val="none" w:sz="0" w:space="0" w:color="auto"/>
            <w:left w:val="none" w:sz="0" w:space="0" w:color="auto"/>
            <w:bottom w:val="none" w:sz="0" w:space="0" w:color="auto"/>
            <w:right w:val="none" w:sz="0" w:space="0" w:color="auto"/>
          </w:divBdr>
        </w:div>
        <w:div w:id="1021660577">
          <w:marLeft w:val="0"/>
          <w:marRight w:val="0"/>
          <w:marTop w:val="0"/>
          <w:marBottom w:val="0"/>
          <w:divBdr>
            <w:top w:val="none" w:sz="0" w:space="0" w:color="auto"/>
            <w:left w:val="none" w:sz="0" w:space="0" w:color="auto"/>
            <w:bottom w:val="none" w:sz="0" w:space="0" w:color="auto"/>
            <w:right w:val="none" w:sz="0" w:space="0" w:color="auto"/>
          </w:divBdr>
        </w:div>
        <w:div w:id="1619988422">
          <w:marLeft w:val="0"/>
          <w:marRight w:val="0"/>
          <w:marTop w:val="0"/>
          <w:marBottom w:val="0"/>
          <w:divBdr>
            <w:top w:val="none" w:sz="0" w:space="0" w:color="auto"/>
            <w:left w:val="none" w:sz="0" w:space="0" w:color="auto"/>
            <w:bottom w:val="none" w:sz="0" w:space="0" w:color="auto"/>
            <w:right w:val="none" w:sz="0" w:space="0" w:color="auto"/>
          </w:divBdr>
        </w:div>
        <w:div w:id="1631127837">
          <w:marLeft w:val="0"/>
          <w:marRight w:val="0"/>
          <w:marTop w:val="0"/>
          <w:marBottom w:val="0"/>
          <w:divBdr>
            <w:top w:val="none" w:sz="0" w:space="0" w:color="auto"/>
            <w:left w:val="none" w:sz="0" w:space="0" w:color="auto"/>
            <w:bottom w:val="none" w:sz="0" w:space="0" w:color="auto"/>
            <w:right w:val="none" w:sz="0" w:space="0" w:color="auto"/>
          </w:divBdr>
          <w:divsChild>
            <w:div w:id="337388240">
              <w:marLeft w:val="0"/>
              <w:marRight w:val="0"/>
              <w:marTop w:val="0"/>
              <w:marBottom w:val="0"/>
              <w:divBdr>
                <w:top w:val="none" w:sz="0" w:space="0" w:color="auto"/>
                <w:left w:val="none" w:sz="0" w:space="0" w:color="auto"/>
                <w:bottom w:val="none" w:sz="0" w:space="0" w:color="auto"/>
                <w:right w:val="none" w:sz="0" w:space="0" w:color="auto"/>
              </w:divBdr>
            </w:div>
            <w:div w:id="1003320351">
              <w:marLeft w:val="0"/>
              <w:marRight w:val="0"/>
              <w:marTop w:val="0"/>
              <w:marBottom w:val="0"/>
              <w:divBdr>
                <w:top w:val="none" w:sz="0" w:space="0" w:color="auto"/>
                <w:left w:val="none" w:sz="0" w:space="0" w:color="auto"/>
                <w:bottom w:val="none" w:sz="0" w:space="0" w:color="auto"/>
                <w:right w:val="none" w:sz="0" w:space="0" w:color="auto"/>
              </w:divBdr>
            </w:div>
            <w:div w:id="2062094736">
              <w:marLeft w:val="0"/>
              <w:marRight w:val="0"/>
              <w:marTop w:val="0"/>
              <w:marBottom w:val="0"/>
              <w:divBdr>
                <w:top w:val="none" w:sz="0" w:space="0" w:color="auto"/>
                <w:left w:val="none" w:sz="0" w:space="0" w:color="auto"/>
                <w:bottom w:val="none" w:sz="0" w:space="0" w:color="auto"/>
                <w:right w:val="none" w:sz="0" w:space="0" w:color="auto"/>
              </w:divBdr>
            </w:div>
          </w:divsChild>
        </w:div>
        <w:div w:id="1670668598">
          <w:marLeft w:val="0"/>
          <w:marRight w:val="0"/>
          <w:marTop w:val="0"/>
          <w:marBottom w:val="0"/>
          <w:divBdr>
            <w:top w:val="none" w:sz="0" w:space="0" w:color="auto"/>
            <w:left w:val="none" w:sz="0" w:space="0" w:color="auto"/>
            <w:bottom w:val="none" w:sz="0" w:space="0" w:color="auto"/>
            <w:right w:val="none" w:sz="0" w:space="0" w:color="auto"/>
          </w:divBdr>
        </w:div>
        <w:div w:id="1740666661">
          <w:marLeft w:val="0"/>
          <w:marRight w:val="0"/>
          <w:marTop w:val="0"/>
          <w:marBottom w:val="0"/>
          <w:divBdr>
            <w:top w:val="none" w:sz="0" w:space="0" w:color="auto"/>
            <w:left w:val="none" w:sz="0" w:space="0" w:color="auto"/>
            <w:bottom w:val="none" w:sz="0" w:space="0" w:color="auto"/>
            <w:right w:val="none" w:sz="0" w:space="0" w:color="auto"/>
          </w:divBdr>
        </w:div>
        <w:div w:id="1758597536">
          <w:marLeft w:val="0"/>
          <w:marRight w:val="0"/>
          <w:marTop w:val="0"/>
          <w:marBottom w:val="0"/>
          <w:divBdr>
            <w:top w:val="none" w:sz="0" w:space="0" w:color="auto"/>
            <w:left w:val="none" w:sz="0" w:space="0" w:color="auto"/>
            <w:bottom w:val="none" w:sz="0" w:space="0" w:color="auto"/>
            <w:right w:val="none" w:sz="0" w:space="0" w:color="auto"/>
          </w:divBdr>
          <w:divsChild>
            <w:div w:id="566963721">
              <w:marLeft w:val="0"/>
              <w:marRight w:val="0"/>
              <w:marTop w:val="0"/>
              <w:marBottom w:val="0"/>
              <w:divBdr>
                <w:top w:val="none" w:sz="0" w:space="0" w:color="auto"/>
                <w:left w:val="none" w:sz="0" w:space="0" w:color="auto"/>
                <w:bottom w:val="none" w:sz="0" w:space="0" w:color="auto"/>
                <w:right w:val="none" w:sz="0" w:space="0" w:color="auto"/>
              </w:divBdr>
            </w:div>
            <w:div w:id="1676105435">
              <w:marLeft w:val="0"/>
              <w:marRight w:val="0"/>
              <w:marTop w:val="0"/>
              <w:marBottom w:val="0"/>
              <w:divBdr>
                <w:top w:val="none" w:sz="0" w:space="0" w:color="auto"/>
                <w:left w:val="none" w:sz="0" w:space="0" w:color="auto"/>
                <w:bottom w:val="none" w:sz="0" w:space="0" w:color="auto"/>
                <w:right w:val="none" w:sz="0" w:space="0" w:color="auto"/>
              </w:divBdr>
            </w:div>
            <w:div w:id="1765688179">
              <w:marLeft w:val="0"/>
              <w:marRight w:val="0"/>
              <w:marTop w:val="0"/>
              <w:marBottom w:val="0"/>
              <w:divBdr>
                <w:top w:val="none" w:sz="0" w:space="0" w:color="auto"/>
                <w:left w:val="none" w:sz="0" w:space="0" w:color="auto"/>
                <w:bottom w:val="none" w:sz="0" w:space="0" w:color="auto"/>
                <w:right w:val="none" w:sz="0" w:space="0" w:color="auto"/>
              </w:divBdr>
            </w:div>
            <w:div w:id="1830755669">
              <w:marLeft w:val="0"/>
              <w:marRight w:val="0"/>
              <w:marTop w:val="0"/>
              <w:marBottom w:val="0"/>
              <w:divBdr>
                <w:top w:val="none" w:sz="0" w:space="0" w:color="auto"/>
                <w:left w:val="none" w:sz="0" w:space="0" w:color="auto"/>
                <w:bottom w:val="none" w:sz="0" w:space="0" w:color="auto"/>
                <w:right w:val="none" w:sz="0" w:space="0" w:color="auto"/>
              </w:divBdr>
            </w:div>
            <w:div w:id="2020303358">
              <w:marLeft w:val="0"/>
              <w:marRight w:val="0"/>
              <w:marTop w:val="0"/>
              <w:marBottom w:val="0"/>
              <w:divBdr>
                <w:top w:val="none" w:sz="0" w:space="0" w:color="auto"/>
                <w:left w:val="none" w:sz="0" w:space="0" w:color="auto"/>
                <w:bottom w:val="none" w:sz="0" w:space="0" w:color="auto"/>
                <w:right w:val="none" w:sz="0" w:space="0" w:color="auto"/>
              </w:divBdr>
            </w:div>
          </w:divsChild>
        </w:div>
        <w:div w:id="1794785333">
          <w:marLeft w:val="0"/>
          <w:marRight w:val="0"/>
          <w:marTop w:val="0"/>
          <w:marBottom w:val="0"/>
          <w:divBdr>
            <w:top w:val="none" w:sz="0" w:space="0" w:color="auto"/>
            <w:left w:val="none" w:sz="0" w:space="0" w:color="auto"/>
            <w:bottom w:val="none" w:sz="0" w:space="0" w:color="auto"/>
            <w:right w:val="none" w:sz="0" w:space="0" w:color="auto"/>
          </w:divBdr>
        </w:div>
        <w:div w:id="1931692277">
          <w:marLeft w:val="0"/>
          <w:marRight w:val="0"/>
          <w:marTop w:val="0"/>
          <w:marBottom w:val="0"/>
          <w:divBdr>
            <w:top w:val="none" w:sz="0" w:space="0" w:color="auto"/>
            <w:left w:val="none" w:sz="0" w:space="0" w:color="auto"/>
            <w:bottom w:val="none" w:sz="0" w:space="0" w:color="auto"/>
            <w:right w:val="none" w:sz="0" w:space="0" w:color="auto"/>
          </w:divBdr>
        </w:div>
        <w:div w:id="2005886948">
          <w:marLeft w:val="0"/>
          <w:marRight w:val="0"/>
          <w:marTop w:val="0"/>
          <w:marBottom w:val="0"/>
          <w:divBdr>
            <w:top w:val="none" w:sz="0" w:space="0" w:color="auto"/>
            <w:left w:val="none" w:sz="0" w:space="0" w:color="auto"/>
            <w:bottom w:val="none" w:sz="0" w:space="0" w:color="auto"/>
            <w:right w:val="none" w:sz="0" w:space="0" w:color="auto"/>
          </w:divBdr>
        </w:div>
        <w:div w:id="204821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4382-F615-4F78-BB37-E604821C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B0BCC-DFB2-471A-8628-73736CBE4B49}">
  <ds:schemaRefs>
    <ds:schemaRef ds:uri="http://schemas.microsoft.com/office/2006/metadata/properties"/>
    <ds:schemaRef ds:uri="http://schemas.microsoft.com/office/infopath/2007/PartnerControls"/>
    <ds:schemaRef ds:uri="9af227aa-5493-4bfe-a302-9771bcf92926"/>
  </ds:schemaRefs>
</ds:datastoreItem>
</file>

<file path=customXml/itemProps3.xml><?xml version="1.0" encoding="utf-8"?>
<ds:datastoreItem xmlns:ds="http://schemas.openxmlformats.org/officeDocument/2006/customXml" ds:itemID="{CFBDD6BA-83E1-43C1-B899-C2BA2475AB61}">
  <ds:schemaRefs>
    <ds:schemaRef ds:uri="http://schemas.microsoft.com/sharepoint/v3/contenttype/forms"/>
  </ds:schemaRefs>
</ds:datastoreItem>
</file>

<file path=customXml/itemProps4.xml><?xml version="1.0" encoding="utf-8"?>
<ds:datastoreItem xmlns:ds="http://schemas.openxmlformats.org/officeDocument/2006/customXml" ds:itemID="{35F3E695-74BB-4AAD-9C5E-6915CB66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2105</Words>
  <Characters>11348</Characters>
  <Application>Microsoft Office Word</Application>
  <DocSecurity>0</DocSecurity>
  <Lines>174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35</cp:revision>
  <cp:lastPrinted>2018-10-24T23:38:00Z</cp:lastPrinted>
  <dcterms:created xsi:type="dcterms:W3CDTF">2020-05-28T21:34:00Z</dcterms:created>
  <dcterms:modified xsi:type="dcterms:W3CDTF">2024-01-22T19:53:00Z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810807387</vt:i4>
  </property>
  <property fmtid="{D5CDD505-2E9C-101B-9397-08002B2CF9AE}" pid="3" name="_NewReviewCycle">
    <vt:lpwstr/>
  </property>
  <property fmtid="{D5CDD505-2E9C-101B-9397-08002B2CF9AE}" pid="4" name="_EmailSubject">
    <vt:lpwstr>Timbs v  Indiana_Draft 3</vt:lpwstr>
  </property>
  <property fmtid="{D5CDD505-2E9C-101B-9397-08002B2CF9AE}" pid="5" name="_AuthorEmail">
    <vt:lpwstr>jgreen@sidley.com</vt:lpwstr>
  </property>
  <property fmtid="{D5CDD505-2E9C-101B-9397-08002B2CF9AE}" pid="6" name="_AuthorEmailDisplayName">
    <vt:lpwstr>Green, Jeffrey T.</vt:lpwstr>
  </property>
  <property fmtid="{D5CDD505-2E9C-101B-9397-08002B2CF9AE}" pid="7" name="_ReviewingToolsShownOnce">
    <vt:lpwstr/>
  </property>
  <property fmtid="{D5CDD505-2E9C-101B-9397-08002B2CF9AE}" pid="8" name="ContentTypeId">
    <vt:lpwstr>0x010100C2E8957C50B509419C47FA4575E8EAD0</vt:lpwstr>
  </property>
</Properties>
</file>