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FB0C312" w:rsidR="005311FB" w:rsidRPr="0084194A" w:rsidRDefault="000C1EB1" w:rsidP="0084194A">
      <w:pPr>
        <w:pStyle w:val="Title1sl"/>
        <w:pBdr>
          <w:bottom w:val="single" w:sz="12" w:space="1" w:color="auto"/>
        </w:pBdr>
        <w:spacing w:before="240" w:after="120"/>
        <w:rPr>
          <w:sz w:val="40"/>
          <w:szCs w:val="40"/>
        </w:rPr>
      </w:pPr>
      <w:r w:rsidRPr="0084194A">
        <w:rPr>
          <w:i/>
          <w:iCs/>
          <w:sz w:val="40"/>
          <w:szCs w:val="40"/>
        </w:rPr>
        <w:t>Miranda v. Arizona</w:t>
      </w:r>
      <w:r w:rsidR="00F64E56" w:rsidRPr="0084194A">
        <w:rPr>
          <w:sz w:val="40"/>
          <w:szCs w:val="40"/>
        </w:rPr>
        <w:t xml:space="preserve"> / </w:t>
      </w:r>
      <w:r w:rsidR="00B83484" w:rsidRPr="0084194A">
        <w:rPr>
          <w:sz w:val="40"/>
          <w:szCs w:val="40"/>
        </w:rPr>
        <w:t>Mini-Moot Court Activity</w:t>
      </w:r>
    </w:p>
    <w:p w14:paraId="4EF5B85E" w14:textId="2EDA4FDE" w:rsidR="0096254D" w:rsidRDefault="000C1EB1" w:rsidP="001C0EDD">
      <w:pPr>
        <w:pStyle w:val="Subhead1sl"/>
        <w:spacing w:after="360"/>
      </w:pPr>
      <w:r>
        <w:rPr>
          <w:i/>
          <w:iCs/>
        </w:rPr>
        <w:t>Florida v. Powell</w:t>
      </w:r>
      <w:r w:rsidR="0096254D">
        <w:t xml:space="preserve"> (20</w:t>
      </w:r>
      <w:r>
        <w:t>1</w:t>
      </w:r>
      <w:r w:rsidR="0096254D">
        <w:t xml:space="preserve">0) </w:t>
      </w:r>
    </w:p>
    <w:p w14:paraId="192CABB6" w14:textId="77777777" w:rsidR="00B83484" w:rsidRDefault="00B83484" w:rsidP="00570E4F">
      <w:pPr>
        <w:pStyle w:val="Heading2"/>
        <w:spacing w:before="360" w:after="120"/>
        <w:ind w:left="0"/>
      </w:pPr>
      <w:r>
        <w:t>An Overview of a Mini-Moot Court</w:t>
      </w:r>
    </w:p>
    <w:p w14:paraId="61C41D89" w14:textId="77777777" w:rsidR="00B83484" w:rsidRDefault="00B83484" w:rsidP="00BB74E4">
      <w:pPr>
        <w:pStyle w:val="BodyText"/>
        <w:spacing w:after="120" w:line="276" w:lineRule="auto"/>
        <w:ind w:right="1066"/>
      </w:pPr>
      <w:r>
        <w:t>A moot court is a simulation of an appeals court or Supreme Court hearing. The court is asked to rule on a lower court's decision. No witnesses are called, nor are the basic facts in a case disputed. Arguments are prepared and presented on a legal question (e.g., the constitutionality of a law or government action or the interpretation of a federal statute).</w:t>
      </w:r>
    </w:p>
    <w:p w14:paraId="312D23F4" w14:textId="77777777" w:rsidR="00B83484" w:rsidRPr="00112B95" w:rsidRDefault="00B83484" w:rsidP="00D7277C">
      <w:pPr>
        <w:pStyle w:val="Subhead1sl"/>
        <w:keepNext w:val="0"/>
      </w:pPr>
      <w:r w:rsidRPr="00112B95">
        <w:t>Activities</w:t>
      </w:r>
    </w:p>
    <w:p w14:paraId="2BC91126" w14:textId="23965273" w:rsidR="00B83484" w:rsidRPr="0084194A" w:rsidRDefault="00B83484" w:rsidP="00CB09BD">
      <w:pPr>
        <w:pStyle w:val="Stepsl"/>
        <w:numPr>
          <w:ilvl w:val="0"/>
          <w:numId w:val="21"/>
        </w:numPr>
        <w:spacing w:after="120"/>
        <w:ind w:left="540" w:hanging="540"/>
        <w:rPr>
          <w:bCs/>
        </w:rPr>
      </w:pPr>
      <w:r w:rsidRPr="0084194A">
        <w:rPr>
          <w:b/>
        </w:rPr>
        <w:t xml:space="preserve">Review the </w:t>
      </w:r>
      <w:r w:rsidRPr="0084194A">
        <w:rPr>
          <w:b/>
          <w:u w:val="single"/>
        </w:rPr>
        <w:t>facts</w:t>
      </w:r>
      <w:r w:rsidRPr="0084194A">
        <w:rPr>
          <w:b/>
        </w:rPr>
        <w:t xml:space="preserve"> of the case:</w:t>
      </w:r>
      <w:r w:rsidRPr="0084194A">
        <w:rPr>
          <w:bCs/>
        </w:rPr>
        <w:t xml:space="preserve"> In pairs, read the facts, issues, and constitutional provisions and precedents of </w:t>
      </w:r>
      <w:r w:rsidR="001B38C6" w:rsidRPr="0084194A">
        <w:rPr>
          <w:bCs/>
          <w:i/>
          <w:iCs/>
        </w:rPr>
        <w:t>Florida v. Powell</w:t>
      </w:r>
      <w:r w:rsidRPr="0084194A">
        <w:rPr>
          <w:bCs/>
        </w:rPr>
        <w:t xml:space="preserve"> (20</w:t>
      </w:r>
      <w:r w:rsidR="001B38C6" w:rsidRPr="0084194A">
        <w:rPr>
          <w:bCs/>
        </w:rPr>
        <w:t>1</w:t>
      </w:r>
      <w:r w:rsidRPr="0084194A">
        <w:rPr>
          <w:bCs/>
        </w:rPr>
        <w:t>0).</w:t>
      </w:r>
    </w:p>
    <w:p w14:paraId="5BA3998C" w14:textId="77777777" w:rsidR="00B83484" w:rsidRPr="0084194A" w:rsidRDefault="00B83484" w:rsidP="00CB09BD">
      <w:pPr>
        <w:pStyle w:val="Basiccopysl"/>
        <w:ind w:left="540"/>
        <w:rPr>
          <w:b/>
          <w:bCs/>
          <w:sz w:val="24"/>
          <w:szCs w:val="24"/>
        </w:rPr>
      </w:pPr>
      <w:r w:rsidRPr="0084194A">
        <w:rPr>
          <w:b/>
          <w:bCs/>
          <w:sz w:val="24"/>
          <w:szCs w:val="24"/>
        </w:rPr>
        <w:t>Useful Vocabulary:</w:t>
      </w:r>
    </w:p>
    <w:p w14:paraId="2E467949" w14:textId="77777777" w:rsidR="00B83484" w:rsidRPr="0084194A" w:rsidRDefault="00B83484" w:rsidP="00CB09BD">
      <w:pPr>
        <w:pStyle w:val="Bulletsl"/>
        <w:ind w:left="900"/>
      </w:pPr>
      <w:r w:rsidRPr="0084194A">
        <w:rPr>
          <w:b/>
          <w:bCs/>
        </w:rPr>
        <w:t>Petitioner:</w:t>
      </w:r>
      <w:r w:rsidRPr="0084194A">
        <w:t xml:space="preserve"> The person/organization/company who lost in the lower court and now appeals the lower court decision to a higher court.</w:t>
      </w:r>
    </w:p>
    <w:p w14:paraId="60A7AECC" w14:textId="77777777" w:rsidR="00B83484" w:rsidRPr="0084194A" w:rsidRDefault="00B83484" w:rsidP="00CB09BD">
      <w:pPr>
        <w:pStyle w:val="Bulletsl"/>
        <w:ind w:left="900"/>
      </w:pPr>
      <w:r w:rsidRPr="0084194A">
        <w:rPr>
          <w:b/>
          <w:bCs/>
        </w:rPr>
        <w:t>Respondent:</w:t>
      </w:r>
      <w:r w:rsidRPr="0084194A">
        <w:t xml:space="preserve"> The person/organization/company who won in the lower court and now argues that the lower court decision was correct.</w:t>
      </w:r>
    </w:p>
    <w:p w14:paraId="70AB4E45" w14:textId="77777777" w:rsidR="00B83484" w:rsidRPr="0084194A" w:rsidRDefault="00B83484" w:rsidP="00CB09BD">
      <w:pPr>
        <w:pStyle w:val="Basiccopysl"/>
        <w:spacing w:before="240"/>
        <w:ind w:left="540"/>
        <w:rPr>
          <w:i/>
          <w:iCs/>
          <w:sz w:val="24"/>
          <w:szCs w:val="24"/>
        </w:rPr>
      </w:pPr>
      <w:r w:rsidRPr="0084194A">
        <w:rPr>
          <w:b/>
          <w:bCs/>
          <w:i/>
          <w:iCs/>
          <w:sz w:val="24"/>
          <w:szCs w:val="24"/>
        </w:rPr>
        <w:t>Note:</w:t>
      </w:r>
      <w:r w:rsidRPr="0084194A">
        <w:rPr>
          <w:i/>
          <w:iCs/>
          <w:sz w:val="24"/>
          <w:szCs w:val="24"/>
        </w:rPr>
        <w:t xml:space="preserve"> In some states, different terms may be used such as appellant and appellee.</w:t>
      </w:r>
    </w:p>
    <w:p w14:paraId="07EBA056" w14:textId="77777777" w:rsidR="00B83484" w:rsidRPr="0084194A" w:rsidRDefault="00B83484" w:rsidP="00CB09BD">
      <w:pPr>
        <w:pStyle w:val="Basiccopysl"/>
        <w:ind w:left="540"/>
        <w:rPr>
          <w:sz w:val="24"/>
          <w:szCs w:val="24"/>
        </w:rPr>
      </w:pPr>
      <w:r w:rsidRPr="0084194A">
        <w:rPr>
          <w:sz w:val="24"/>
          <w:szCs w:val="24"/>
        </w:rPr>
        <w:t>With your partner, discuss the following questions:</w:t>
      </w:r>
    </w:p>
    <w:p w14:paraId="7572CACC" w14:textId="77777777" w:rsidR="00B83484" w:rsidRPr="0084194A" w:rsidRDefault="00B83484" w:rsidP="00CB09BD">
      <w:pPr>
        <w:pStyle w:val="Bulletsl"/>
        <w:ind w:left="900"/>
      </w:pPr>
      <w:r w:rsidRPr="0084194A">
        <w:t>What happened in this case?</w:t>
      </w:r>
    </w:p>
    <w:p w14:paraId="4FDADFDB" w14:textId="22D1B6B2" w:rsidR="00B83484" w:rsidRPr="0084194A" w:rsidRDefault="00B83484" w:rsidP="00CB09BD">
      <w:pPr>
        <w:pStyle w:val="Bulletsl"/>
        <w:ind w:left="900"/>
      </w:pPr>
      <w:r w:rsidRPr="0084194A">
        <w:t>Who are the people/organizations/companies involved?</w:t>
      </w:r>
    </w:p>
    <w:p w14:paraId="1ACAB631" w14:textId="4857B234" w:rsidR="00B83484" w:rsidRPr="0084194A" w:rsidRDefault="00B83484" w:rsidP="00CB09BD">
      <w:pPr>
        <w:pStyle w:val="Bulletsl"/>
        <w:ind w:left="900"/>
      </w:pPr>
      <w:r w:rsidRPr="0084194A">
        <w:t>How did the lower court rule on this case?</w:t>
      </w:r>
    </w:p>
    <w:p w14:paraId="6DBC4346" w14:textId="77777777" w:rsidR="00B83484" w:rsidRPr="0084194A" w:rsidRDefault="00B83484" w:rsidP="00CB09BD">
      <w:pPr>
        <w:pStyle w:val="Bulletsl"/>
        <w:ind w:left="900"/>
      </w:pPr>
      <w:r w:rsidRPr="0084194A">
        <w:t>Who is the petitioner? Who is the respondent?</w:t>
      </w:r>
    </w:p>
    <w:p w14:paraId="6A6DCD96" w14:textId="77777777" w:rsidR="00B83484" w:rsidRPr="0084194A" w:rsidRDefault="00B83484" w:rsidP="00CB09BD">
      <w:pPr>
        <w:pStyle w:val="Bulletsl"/>
        <w:ind w:left="900"/>
      </w:pPr>
      <w:r w:rsidRPr="0084194A">
        <w:t>What is the legal question that has to be resolved in this case?</w:t>
      </w:r>
    </w:p>
    <w:p w14:paraId="1174E8C2" w14:textId="702BD2AD" w:rsidR="00B83484" w:rsidRPr="0084194A" w:rsidRDefault="00B83484" w:rsidP="00CB09BD">
      <w:pPr>
        <w:pStyle w:val="Bulletsl"/>
        <w:ind w:left="900"/>
      </w:pPr>
      <w:r w:rsidRPr="0084194A">
        <w:t xml:space="preserve">How might </w:t>
      </w:r>
      <w:r w:rsidR="00DC169B">
        <w:rPr>
          <w:i/>
          <w:iCs/>
        </w:rPr>
        <w:t>Miranda v. Arizona</w:t>
      </w:r>
      <w:r w:rsidRPr="0084194A">
        <w:t xml:space="preserve"> apply to this case?</w:t>
      </w:r>
    </w:p>
    <w:p w14:paraId="4422E437" w14:textId="77777777" w:rsidR="00CB09BD" w:rsidRPr="0084194A" w:rsidRDefault="00CB09BD" w:rsidP="00CB09BD">
      <w:pPr>
        <w:pStyle w:val="Stepsl"/>
        <w:numPr>
          <w:ilvl w:val="0"/>
          <w:numId w:val="21"/>
        </w:numPr>
        <w:spacing w:before="240" w:after="120"/>
        <w:ind w:left="540" w:hanging="540"/>
        <w:rPr>
          <w:b/>
        </w:rPr>
      </w:pPr>
      <w:r w:rsidRPr="0084194A">
        <w:rPr>
          <w:b/>
        </w:rPr>
        <w:t xml:space="preserve">Identify the </w:t>
      </w:r>
      <w:r w:rsidRPr="0084194A">
        <w:rPr>
          <w:b/>
          <w:u w:val="single"/>
        </w:rPr>
        <w:t>issue</w:t>
      </w:r>
      <w:r w:rsidRPr="0084194A">
        <w:rPr>
          <w:b/>
        </w:rPr>
        <w:t xml:space="preserve"> in this case:</w:t>
      </w:r>
    </w:p>
    <w:p w14:paraId="0999E3BB" w14:textId="77777777" w:rsidR="00CB09BD" w:rsidRPr="0084194A" w:rsidRDefault="00CB09BD" w:rsidP="00CB09BD">
      <w:pPr>
        <w:pStyle w:val="Bulletsl"/>
        <w:ind w:left="900"/>
      </w:pPr>
      <w:r w:rsidRPr="0084194A">
        <w:t>Who was the actor(s)?</w:t>
      </w:r>
    </w:p>
    <w:p w14:paraId="6FC236ED" w14:textId="77777777" w:rsidR="00CB09BD" w:rsidRPr="0084194A" w:rsidRDefault="00CB09BD" w:rsidP="00CB09BD">
      <w:pPr>
        <w:pStyle w:val="Bulletsl"/>
        <w:ind w:left="900"/>
      </w:pPr>
      <w:r w:rsidRPr="0084194A">
        <w:t>What is the specific part of the Constitution involved?</w:t>
      </w:r>
    </w:p>
    <w:p w14:paraId="08C21292" w14:textId="77777777" w:rsidR="00CB09BD" w:rsidRPr="0084194A" w:rsidRDefault="00CB09BD" w:rsidP="00CB09BD">
      <w:pPr>
        <w:pStyle w:val="Bulletsl"/>
        <w:ind w:left="900"/>
      </w:pPr>
      <w:r w:rsidRPr="0084194A">
        <w:t>Who was affected by the action(s)?</w:t>
      </w:r>
    </w:p>
    <w:p w14:paraId="184F10E1" w14:textId="77777777" w:rsidR="00CB09BD" w:rsidRPr="0084194A" w:rsidRDefault="00CB09BD" w:rsidP="00CB09BD">
      <w:pPr>
        <w:pStyle w:val="Bulletsl"/>
        <w:ind w:left="900"/>
      </w:pPr>
      <w:r w:rsidRPr="0084194A">
        <w:t>What caused the controversy?</w:t>
      </w:r>
    </w:p>
    <w:p w14:paraId="2C47572A" w14:textId="13E39B8B" w:rsidR="00CB09BD" w:rsidRPr="0084194A" w:rsidRDefault="00CB09BD" w:rsidP="00CB09BD">
      <w:pPr>
        <w:pStyle w:val="Stepsl"/>
        <w:numPr>
          <w:ilvl w:val="0"/>
          <w:numId w:val="21"/>
        </w:numPr>
        <w:spacing w:before="240" w:after="120"/>
        <w:ind w:left="540" w:hanging="540"/>
        <w:rPr>
          <w:b/>
        </w:rPr>
      </w:pPr>
      <w:r w:rsidRPr="0084194A">
        <w:rPr>
          <w:b/>
        </w:rPr>
        <w:lastRenderedPageBreak/>
        <w:t>You will be assigned a role:</w:t>
      </w:r>
      <w:r w:rsidRPr="0084194A">
        <w:rPr>
          <w:bCs/>
        </w:rPr>
        <w:t xml:space="preserve"> You will be assigned to be a petitioner, respondent</w:t>
      </w:r>
      <w:r w:rsidR="0084194A" w:rsidRPr="0084194A">
        <w:rPr>
          <w:bCs/>
        </w:rPr>
        <w:t>,</w:t>
      </w:r>
      <w:r w:rsidRPr="0084194A">
        <w:rPr>
          <w:bCs/>
        </w:rPr>
        <w:t xml:space="preserve"> or justice for the mini-moot court. You will meet with others in the class who will play the same role to prepare.</w:t>
      </w:r>
    </w:p>
    <w:p w14:paraId="1E1AEF47" w14:textId="77777777" w:rsidR="00CB09BD" w:rsidRPr="0084194A" w:rsidRDefault="00CB09BD" w:rsidP="00CB09BD">
      <w:pPr>
        <w:pStyle w:val="Stepsl"/>
        <w:numPr>
          <w:ilvl w:val="0"/>
          <w:numId w:val="21"/>
        </w:numPr>
        <w:spacing w:before="240" w:after="120"/>
        <w:ind w:left="540" w:hanging="540"/>
        <w:rPr>
          <w:b/>
        </w:rPr>
      </w:pPr>
      <w:r w:rsidRPr="0084194A">
        <w:rPr>
          <w:b/>
        </w:rPr>
        <w:t>Prepare for your role in groups:</w:t>
      </w:r>
    </w:p>
    <w:p w14:paraId="0A5A374F" w14:textId="77777777" w:rsidR="00CB09BD" w:rsidRPr="0084194A" w:rsidRDefault="00CB09BD" w:rsidP="00CB09BD">
      <w:pPr>
        <w:pStyle w:val="Basiccopysl"/>
        <w:ind w:left="540"/>
        <w:rPr>
          <w:b/>
          <w:bCs/>
          <w:sz w:val="24"/>
          <w:szCs w:val="24"/>
          <w:u w:val="single"/>
        </w:rPr>
      </w:pPr>
      <w:r w:rsidRPr="0084194A">
        <w:rPr>
          <w:b/>
          <w:bCs/>
          <w:sz w:val="24"/>
          <w:szCs w:val="24"/>
          <w:u w:val="single"/>
        </w:rPr>
        <w:t xml:space="preserve">Petitioner/respondent attorney group preparation: </w:t>
      </w:r>
    </w:p>
    <w:p w14:paraId="4208943C" w14:textId="77777777" w:rsidR="00CB09BD" w:rsidRPr="0084194A" w:rsidRDefault="00CB09BD" w:rsidP="00CB09BD">
      <w:pPr>
        <w:pStyle w:val="Basiccopysl"/>
        <w:ind w:left="540"/>
        <w:rPr>
          <w:sz w:val="24"/>
          <w:szCs w:val="24"/>
        </w:rPr>
      </w:pPr>
      <w:r w:rsidRPr="0084194A">
        <w:rPr>
          <w:sz w:val="24"/>
          <w:szCs w:val="24"/>
        </w:rPr>
        <w:t>Each group of students should consider:</w:t>
      </w:r>
    </w:p>
    <w:p w14:paraId="5E2BA706" w14:textId="77777777" w:rsidR="00CB09BD" w:rsidRPr="0084194A" w:rsidRDefault="00CB09BD" w:rsidP="00CB09BD">
      <w:pPr>
        <w:pStyle w:val="Bulletsl"/>
        <w:ind w:left="900"/>
      </w:pPr>
      <w:r w:rsidRPr="0084194A">
        <w:t>What does each side (party) want?</w:t>
      </w:r>
    </w:p>
    <w:p w14:paraId="4BB37A3B" w14:textId="77777777" w:rsidR="00CB09BD" w:rsidRPr="0084194A" w:rsidRDefault="00CB09BD" w:rsidP="00CB09BD">
      <w:pPr>
        <w:pStyle w:val="Bulletsl"/>
        <w:ind w:left="900"/>
      </w:pPr>
      <w:r w:rsidRPr="0084194A">
        <w:t>What are the arguments in favor of and against each side?</w:t>
      </w:r>
    </w:p>
    <w:p w14:paraId="3F64F63C" w14:textId="77777777" w:rsidR="00CB09BD" w:rsidRPr="0084194A" w:rsidRDefault="00CB09BD" w:rsidP="00CB09BD">
      <w:pPr>
        <w:pStyle w:val="Bulletsl"/>
        <w:ind w:left="900"/>
      </w:pPr>
      <w:r w:rsidRPr="0084194A">
        <w:t>Which arguments are the most persuasive? Why? What counter arguments should you anticipate and how will you rebut them?</w:t>
      </w:r>
    </w:p>
    <w:p w14:paraId="1F473C9B" w14:textId="6FC05CF2" w:rsidR="00CB09BD" w:rsidRPr="0084194A" w:rsidRDefault="00CB09BD" w:rsidP="00CB09BD">
      <w:pPr>
        <w:pStyle w:val="Bulletsl"/>
        <w:ind w:left="900"/>
      </w:pPr>
      <w:r w:rsidRPr="0084194A">
        <w:t xml:space="preserve">How do the legal precedents, including </w:t>
      </w:r>
      <w:r w:rsidR="001B38C6" w:rsidRPr="0084194A">
        <w:rPr>
          <w:i/>
          <w:iCs/>
        </w:rPr>
        <w:t>Miranda v. Arizona,</w:t>
      </w:r>
      <w:r w:rsidR="001B38C6" w:rsidRPr="0084194A">
        <w:t xml:space="preserve"> </w:t>
      </w:r>
      <w:r w:rsidRPr="0084194A">
        <w:t>influence this case? (A precedent is a previously decided case recognized as the authority for future cases on that issue. Using precedents allows for the development of more sophisticated arguments.)</w:t>
      </w:r>
    </w:p>
    <w:p w14:paraId="0AECD3DD" w14:textId="77777777" w:rsidR="00CB09BD" w:rsidRPr="0084194A" w:rsidRDefault="00CB09BD" w:rsidP="00CB09BD">
      <w:pPr>
        <w:pStyle w:val="Bulletsl"/>
        <w:ind w:left="900"/>
      </w:pPr>
      <w:r w:rsidRPr="0084194A">
        <w:t>What might be the consequences of each possible decision? To each side? To society?</w:t>
      </w:r>
    </w:p>
    <w:p w14:paraId="3A8878B0" w14:textId="77777777" w:rsidR="00CB09BD" w:rsidRPr="0084194A" w:rsidRDefault="00CB09BD" w:rsidP="00CB09BD">
      <w:pPr>
        <w:pStyle w:val="Bulletsl"/>
        <w:ind w:left="900"/>
      </w:pPr>
      <w:r w:rsidRPr="0084194A">
        <w:t>Are there any alternatives besides what each side is demanding?</w:t>
      </w:r>
    </w:p>
    <w:p w14:paraId="208AC2A5" w14:textId="77777777" w:rsidR="00CB09BD" w:rsidRPr="0084194A" w:rsidRDefault="00CB09BD" w:rsidP="00CB09BD">
      <w:pPr>
        <w:pStyle w:val="Basiccopysl"/>
        <w:spacing w:before="240"/>
        <w:ind w:left="540"/>
        <w:rPr>
          <w:b/>
          <w:bCs/>
          <w:i/>
          <w:iCs/>
          <w:sz w:val="24"/>
          <w:szCs w:val="24"/>
        </w:rPr>
      </w:pPr>
      <w:r w:rsidRPr="0084194A">
        <w:rPr>
          <w:b/>
          <w:bCs/>
          <w:i/>
          <w:iCs/>
          <w:sz w:val="24"/>
          <w:szCs w:val="24"/>
        </w:rPr>
        <w:t xml:space="preserve">Note: </w:t>
      </w:r>
      <w:r w:rsidRPr="0084194A">
        <w:rPr>
          <w:i/>
          <w:iCs/>
          <w:sz w:val="24"/>
          <w:szCs w:val="24"/>
        </w:rPr>
        <w:t>Your team should consider all of the facts in the summary. You may not argue the accuracy of the facts. Your arguments do not need to only be rooted in legal technicalities. Any argument that is persuasive from a philosophical, theoretical, conceptual, or practical standpoint can be made. Teams should rely on principles found or implied in the United States Constitution.</w:t>
      </w:r>
    </w:p>
    <w:p w14:paraId="2E4DFE40" w14:textId="77777777" w:rsidR="00CB09BD" w:rsidRPr="0084194A" w:rsidRDefault="00CB09BD" w:rsidP="00CB09BD">
      <w:pPr>
        <w:pStyle w:val="Basiccopysl"/>
        <w:ind w:left="540"/>
        <w:rPr>
          <w:b/>
          <w:bCs/>
          <w:sz w:val="24"/>
          <w:szCs w:val="24"/>
          <w:u w:val="single"/>
        </w:rPr>
      </w:pPr>
      <w:r w:rsidRPr="0084194A">
        <w:rPr>
          <w:b/>
          <w:bCs/>
          <w:sz w:val="24"/>
          <w:szCs w:val="24"/>
          <w:u w:val="single"/>
        </w:rPr>
        <w:t xml:space="preserve">Justice/judge preparation: </w:t>
      </w:r>
    </w:p>
    <w:p w14:paraId="429C9F35" w14:textId="6624D6B6" w:rsidR="00CB09BD" w:rsidRPr="0084194A" w:rsidRDefault="00CB09BD" w:rsidP="00CB09BD">
      <w:pPr>
        <w:pStyle w:val="Basiccopysl"/>
        <w:ind w:left="540"/>
        <w:rPr>
          <w:sz w:val="24"/>
          <w:szCs w:val="24"/>
        </w:rPr>
      </w:pPr>
      <w:r w:rsidRPr="0084194A">
        <w:rPr>
          <w:sz w:val="24"/>
          <w:szCs w:val="24"/>
        </w:rPr>
        <w:t>You should meet with the other justices to discuss the issue involved and any case precedents. You should prepare at least five questions for each side that you need to have answered by the attorneys in order to reach a decision. The questions should not ask about the accuracy of the facts, but rather how the established facts, constitutional provisions, and precedents support each argument. Think about possible hypothetical problems to ask. How will the decision in this case affect other cases in the future?</w:t>
      </w:r>
    </w:p>
    <w:p w14:paraId="60E40CAA" w14:textId="096CB6B4" w:rsidR="00CB09BD" w:rsidRPr="0084194A" w:rsidRDefault="00CB09BD" w:rsidP="00CB09BD">
      <w:pPr>
        <w:pStyle w:val="Stepsl"/>
        <w:numPr>
          <w:ilvl w:val="0"/>
          <w:numId w:val="21"/>
        </w:numPr>
        <w:spacing w:before="240" w:after="120"/>
        <w:ind w:left="540" w:hanging="540"/>
        <w:rPr>
          <w:b/>
        </w:rPr>
      </w:pPr>
      <w:r w:rsidRPr="0084194A">
        <w:rPr>
          <w:b/>
        </w:rPr>
        <w:t>The mini-moot court:</w:t>
      </w:r>
    </w:p>
    <w:p w14:paraId="27C6C45B" w14:textId="77777777" w:rsidR="00CB09BD" w:rsidRPr="0084194A" w:rsidRDefault="00CB09BD" w:rsidP="00CB09BD">
      <w:pPr>
        <w:pStyle w:val="Basiccopysl"/>
        <w:ind w:left="540"/>
        <w:rPr>
          <w:sz w:val="24"/>
          <w:szCs w:val="24"/>
        </w:rPr>
      </w:pPr>
      <w:r w:rsidRPr="0084194A">
        <w:rPr>
          <w:sz w:val="24"/>
          <w:szCs w:val="24"/>
        </w:rPr>
        <w:t>Move to a mini-moot triad. Each triad will have a justice, a petitioner, and a respondent.</w:t>
      </w:r>
    </w:p>
    <w:p w14:paraId="0F678E6F" w14:textId="77777777" w:rsidR="00CB09BD" w:rsidRPr="0084194A" w:rsidRDefault="00CB09BD" w:rsidP="00CB09BD">
      <w:pPr>
        <w:pStyle w:val="Basiccopysl"/>
        <w:ind w:left="540"/>
        <w:rPr>
          <w:sz w:val="24"/>
          <w:szCs w:val="24"/>
        </w:rPr>
      </w:pPr>
      <w:r w:rsidRPr="0084194A">
        <w:rPr>
          <w:sz w:val="24"/>
          <w:szCs w:val="24"/>
        </w:rPr>
        <w:t>The justice will run the mini-moot court. The justice should ask each side to present their arguments in the following order:</w:t>
      </w:r>
    </w:p>
    <w:p w14:paraId="12CFF4B8" w14:textId="77777777" w:rsidR="00CB09BD" w:rsidRPr="0084194A" w:rsidRDefault="00CB09BD" w:rsidP="00CB09BD">
      <w:pPr>
        <w:pStyle w:val="BodyText"/>
      </w:pPr>
    </w:p>
    <w:tbl>
      <w:tblPr>
        <w:tblpPr w:leftFromText="180" w:rightFromText="180" w:vertAnchor="text" w:horzAnchor="margin" w:tblpXSpec="center"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2566"/>
        <w:gridCol w:w="2439"/>
      </w:tblGrid>
      <w:tr w:rsidR="00CB09BD" w:rsidRPr="0084194A" w14:paraId="50D768F9" w14:textId="77777777" w:rsidTr="00CB09BD">
        <w:trPr>
          <w:trHeight w:val="510"/>
        </w:trPr>
        <w:tc>
          <w:tcPr>
            <w:tcW w:w="2583" w:type="dxa"/>
            <w:shd w:val="clear" w:color="auto" w:fill="F1F1F1"/>
          </w:tcPr>
          <w:p w14:paraId="4EEBF9C1" w14:textId="77777777" w:rsidR="00CB09BD" w:rsidRPr="0084194A" w:rsidRDefault="00CB09BD" w:rsidP="00EE348E">
            <w:pPr>
              <w:pStyle w:val="TableParagraph"/>
              <w:spacing w:before="119"/>
              <w:rPr>
                <w:rFonts w:ascii="Garamond"/>
                <w:b/>
                <w:sz w:val="24"/>
                <w:szCs w:val="24"/>
              </w:rPr>
            </w:pPr>
            <w:r w:rsidRPr="0084194A">
              <w:rPr>
                <w:rFonts w:ascii="Garamond"/>
                <w:b/>
                <w:sz w:val="24"/>
                <w:szCs w:val="24"/>
              </w:rPr>
              <w:lastRenderedPageBreak/>
              <w:t>Initial Presentation</w:t>
            </w:r>
          </w:p>
        </w:tc>
        <w:tc>
          <w:tcPr>
            <w:tcW w:w="2566" w:type="dxa"/>
            <w:shd w:val="clear" w:color="auto" w:fill="F1F1F1"/>
          </w:tcPr>
          <w:p w14:paraId="4DD942D2" w14:textId="77777777" w:rsidR="00CB09BD" w:rsidRPr="0084194A" w:rsidRDefault="00CB09BD" w:rsidP="00EE348E">
            <w:pPr>
              <w:pStyle w:val="TableParagraph"/>
              <w:spacing w:before="119"/>
              <w:rPr>
                <w:rFonts w:ascii="Garamond"/>
                <w:sz w:val="24"/>
                <w:szCs w:val="24"/>
              </w:rPr>
            </w:pPr>
            <w:r w:rsidRPr="0084194A">
              <w:rPr>
                <w:rFonts w:ascii="Garamond"/>
                <w:sz w:val="24"/>
                <w:szCs w:val="24"/>
              </w:rPr>
              <w:t>Petitioner</w:t>
            </w:r>
          </w:p>
        </w:tc>
        <w:tc>
          <w:tcPr>
            <w:tcW w:w="2439" w:type="dxa"/>
            <w:tcBorders>
              <w:right w:val="nil"/>
            </w:tcBorders>
            <w:shd w:val="clear" w:color="auto" w:fill="F1F1F1"/>
          </w:tcPr>
          <w:p w14:paraId="22E546BC" w14:textId="662F262B" w:rsidR="00CB09BD" w:rsidRPr="0084194A" w:rsidRDefault="00CB09BD" w:rsidP="00EE348E">
            <w:pPr>
              <w:pStyle w:val="TableParagraph"/>
              <w:spacing w:before="119"/>
              <w:rPr>
                <w:rFonts w:ascii="Garamond"/>
                <w:sz w:val="24"/>
                <w:szCs w:val="24"/>
              </w:rPr>
            </w:pPr>
            <w:r w:rsidRPr="0084194A">
              <w:rPr>
                <w:noProof/>
                <w:sz w:val="24"/>
                <w:szCs w:val="24"/>
              </w:rPr>
              <mc:AlternateContent>
                <mc:Choice Requires="wps">
                  <w:drawing>
                    <wp:anchor distT="0" distB="0" distL="114300" distR="114300" simplePos="0" relativeHeight="251659264" behindDoc="0" locked="0" layoutInCell="1" allowOverlap="1" wp14:anchorId="37841345" wp14:editId="02327E97">
                      <wp:simplePos x="0" y="0"/>
                      <wp:positionH relativeFrom="page">
                        <wp:posOffset>1537970</wp:posOffset>
                      </wp:positionH>
                      <wp:positionV relativeFrom="paragraph">
                        <wp:posOffset>5715</wp:posOffset>
                      </wp:positionV>
                      <wp:extent cx="8890" cy="341630"/>
                      <wp:effectExtent l="0" t="3810" r="635" b="698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41630"/>
                              </a:xfrm>
                              <a:custGeom>
                                <a:avLst/>
                                <a:gdLst>
                                  <a:gd name="T0" fmla="+- 0 9930 9929"/>
                                  <a:gd name="T1" fmla="*/ T0 w 14"/>
                                  <a:gd name="T2" fmla="+- 0 -1731 -2259"/>
                                  <a:gd name="T3" fmla="*/ -1731 h 538"/>
                                  <a:gd name="T4" fmla="+- 0 9943 9929"/>
                                  <a:gd name="T5" fmla="*/ T4 w 14"/>
                                  <a:gd name="T6" fmla="+- 0 -1721 -2259"/>
                                  <a:gd name="T7" fmla="*/ -1721 h 538"/>
                                  <a:gd name="T8" fmla="+- 0 9942 9929"/>
                                  <a:gd name="T9" fmla="*/ T8 w 14"/>
                                  <a:gd name="T10" fmla="+- 0 -2250 -2259"/>
                                  <a:gd name="T11" fmla="*/ -2250 h 538"/>
                                  <a:gd name="T12" fmla="+- 0 9929 9929"/>
                                  <a:gd name="T13" fmla="*/ T12 w 14"/>
                                  <a:gd name="T14" fmla="+- 0 -2259 -2259"/>
                                  <a:gd name="T15" fmla="*/ -2259 h 538"/>
                                  <a:gd name="T16" fmla="+- 0 9930 9929"/>
                                  <a:gd name="T17" fmla="*/ T16 w 14"/>
                                  <a:gd name="T18" fmla="+- 0 -1731 -2259"/>
                                  <a:gd name="T19" fmla="*/ -1731 h 538"/>
                                </a:gdLst>
                                <a:ahLst/>
                                <a:cxnLst>
                                  <a:cxn ang="0">
                                    <a:pos x="T1" y="T3"/>
                                  </a:cxn>
                                  <a:cxn ang="0">
                                    <a:pos x="T5" y="T7"/>
                                  </a:cxn>
                                  <a:cxn ang="0">
                                    <a:pos x="T9" y="T11"/>
                                  </a:cxn>
                                  <a:cxn ang="0">
                                    <a:pos x="T13" y="T15"/>
                                  </a:cxn>
                                  <a:cxn ang="0">
                                    <a:pos x="T17" y="T19"/>
                                  </a:cxn>
                                </a:cxnLst>
                                <a:rect l="0" t="0" r="r" b="b"/>
                                <a:pathLst>
                                  <a:path w="14" h="538">
                                    <a:moveTo>
                                      <a:pt x="1" y="528"/>
                                    </a:moveTo>
                                    <a:lnTo>
                                      <a:pt x="14" y="538"/>
                                    </a:lnTo>
                                    <a:lnTo>
                                      <a:pt x="13" y="9"/>
                                    </a:lnTo>
                                    <a:lnTo>
                                      <a:pt x="0" y="0"/>
                                    </a:lnTo>
                                    <a:lnTo>
                                      <a:pt x="1" y="5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EA7F" id="Freeform: Shape 1" o:spid="_x0000_s1026" style="position:absolute;margin-left:121.1pt;margin-top:.45pt;width:.7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" path="m1,528r13,10l13,9,,,1,528xe" fillcolor="black" stroked="f">
                      <v:path arrowok="t" o:connecttype="custom" o:connectlocs="635,-1099185;8890,-1092835;8255,-1428750;0,-1434465;635,-1099185" o:connectangles="0,0,0,0,0"/>
                      <w10:wrap anchorx="page"/>
                    </v:shape>
                  </w:pict>
                </mc:Fallback>
              </mc:AlternateContent>
            </w:r>
            <w:r w:rsidRPr="0084194A">
              <w:rPr>
                <w:rFonts w:ascii="Garamond"/>
                <w:sz w:val="24"/>
                <w:szCs w:val="24"/>
              </w:rPr>
              <w:t>3 minutes</w:t>
            </w:r>
          </w:p>
        </w:tc>
      </w:tr>
      <w:tr w:rsidR="00CB09BD" w:rsidRPr="0084194A" w14:paraId="5236DA4A" w14:textId="77777777" w:rsidTr="00CB09BD">
        <w:trPr>
          <w:trHeight w:val="520"/>
        </w:trPr>
        <w:tc>
          <w:tcPr>
            <w:tcW w:w="2583" w:type="dxa"/>
          </w:tcPr>
          <w:p w14:paraId="72E2E7A7" w14:textId="77777777" w:rsidR="00CB09BD" w:rsidRPr="0084194A" w:rsidRDefault="00CB09BD" w:rsidP="00EE348E">
            <w:pPr>
              <w:pStyle w:val="TableParagraph"/>
              <w:spacing w:before="119"/>
              <w:rPr>
                <w:rFonts w:ascii="Garamond"/>
                <w:b/>
                <w:sz w:val="24"/>
                <w:szCs w:val="24"/>
              </w:rPr>
            </w:pPr>
            <w:r w:rsidRPr="0084194A">
              <w:rPr>
                <w:rFonts w:ascii="Garamond"/>
                <w:b/>
                <w:sz w:val="24"/>
                <w:szCs w:val="24"/>
              </w:rPr>
              <w:t>Initial Presentation</w:t>
            </w:r>
          </w:p>
        </w:tc>
        <w:tc>
          <w:tcPr>
            <w:tcW w:w="2566" w:type="dxa"/>
          </w:tcPr>
          <w:p w14:paraId="05DDF1A6" w14:textId="77777777" w:rsidR="00CB09BD" w:rsidRPr="0084194A" w:rsidRDefault="00CB09BD" w:rsidP="00EE348E">
            <w:pPr>
              <w:pStyle w:val="TableParagraph"/>
              <w:spacing w:before="119"/>
              <w:rPr>
                <w:rFonts w:ascii="Garamond"/>
                <w:sz w:val="24"/>
                <w:szCs w:val="24"/>
              </w:rPr>
            </w:pPr>
            <w:r w:rsidRPr="0084194A">
              <w:rPr>
                <w:rFonts w:ascii="Garamond"/>
                <w:sz w:val="24"/>
                <w:szCs w:val="24"/>
              </w:rPr>
              <w:t>Respondent</w:t>
            </w:r>
          </w:p>
        </w:tc>
        <w:tc>
          <w:tcPr>
            <w:tcW w:w="2439" w:type="dxa"/>
          </w:tcPr>
          <w:p w14:paraId="2E8C2A13" w14:textId="77777777" w:rsidR="00CB09BD" w:rsidRPr="0084194A" w:rsidRDefault="00CB09BD" w:rsidP="00EE348E">
            <w:pPr>
              <w:pStyle w:val="TableParagraph"/>
              <w:spacing w:before="119"/>
              <w:rPr>
                <w:rFonts w:ascii="Garamond"/>
                <w:sz w:val="24"/>
                <w:szCs w:val="24"/>
              </w:rPr>
            </w:pPr>
            <w:r w:rsidRPr="0084194A">
              <w:rPr>
                <w:rFonts w:ascii="Garamond"/>
                <w:sz w:val="24"/>
                <w:szCs w:val="24"/>
              </w:rPr>
              <w:t>3 minutes</w:t>
            </w:r>
          </w:p>
        </w:tc>
      </w:tr>
      <w:tr w:rsidR="00CB09BD" w:rsidRPr="0084194A" w14:paraId="7EA1968E" w14:textId="77777777" w:rsidTr="00CB09BD">
        <w:trPr>
          <w:trHeight w:val="510"/>
        </w:trPr>
        <w:tc>
          <w:tcPr>
            <w:tcW w:w="2583" w:type="dxa"/>
            <w:shd w:val="clear" w:color="auto" w:fill="F1F1F1"/>
          </w:tcPr>
          <w:p w14:paraId="1D613C5A" w14:textId="77777777" w:rsidR="00CB09BD" w:rsidRPr="0084194A" w:rsidRDefault="00CB09BD" w:rsidP="00EE348E">
            <w:pPr>
              <w:pStyle w:val="TableParagraph"/>
              <w:spacing w:before="119"/>
              <w:rPr>
                <w:rFonts w:ascii="Garamond"/>
                <w:b/>
                <w:sz w:val="24"/>
                <w:szCs w:val="24"/>
              </w:rPr>
            </w:pPr>
            <w:r w:rsidRPr="0084194A">
              <w:rPr>
                <w:rFonts w:ascii="Garamond"/>
                <w:b/>
                <w:sz w:val="24"/>
                <w:szCs w:val="24"/>
              </w:rPr>
              <w:t>Rebuttal</w:t>
            </w:r>
          </w:p>
        </w:tc>
        <w:tc>
          <w:tcPr>
            <w:tcW w:w="2566" w:type="dxa"/>
            <w:shd w:val="clear" w:color="auto" w:fill="F1F1F1"/>
          </w:tcPr>
          <w:p w14:paraId="3654F8A6" w14:textId="77777777" w:rsidR="00CB09BD" w:rsidRPr="0084194A" w:rsidRDefault="00CB09BD" w:rsidP="00EE348E">
            <w:pPr>
              <w:pStyle w:val="TableParagraph"/>
              <w:spacing w:before="119"/>
              <w:rPr>
                <w:rFonts w:ascii="Garamond"/>
                <w:sz w:val="24"/>
                <w:szCs w:val="24"/>
              </w:rPr>
            </w:pPr>
            <w:r w:rsidRPr="0084194A">
              <w:rPr>
                <w:rFonts w:ascii="Garamond"/>
                <w:sz w:val="24"/>
                <w:szCs w:val="24"/>
              </w:rPr>
              <w:t>Petitioner</w:t>
            </w:r>
          </w:p>
        </w:tc>
        <w:tc>
          <w:tcPr>
            <w:tcW w:w="2439" w:type="dxa"/>
            <w:shd w:val="clear" w:color="auto" w:fill="F1F1F1"/>
          </w:tcPr>
          <w:p w14:paraId="74D3DBBB" w14:textId="77777777" w:rsidR="00CB09BD" w:rsidRPr="0084194A" w:rsidRDefault="00CB09BD" w:rsidP="00EE348E">
            <w:pPr>
              <w:pStyle w:val="TableParagraph"/>
              <w:spacing w:before="119"/>
              <w:rPr>
                <w:rFonts w:ascii="Garamond"/>
                <w:sz w:val="24"/>
                <w:szCs w:val="24"/>
              </w:rPr>
            </w:pPr>
            <w:r w:rsidRPr="0084194A">
              <w:rPr>
                <w:rFonts w:ascii="Garamond"/>
                <w:sz w:val="24"/>
                <w:szCs w:val="24"/>
              </w:rPr>
              <w:t>2 minutes</w:t>
            </w:r>
          </w:p>
        </w:tc>
      </w:tr>
      <w:tr w:rsidR="00CB09BD" w:rsidRPr="0084194A" w14:paraId="75EF2B94" w14:textId="77777777" w:rsidTr="00CB09BD">
        <w:trPr>
          <w:trHeight w:val="511"/>
        </w:trPr>
        <w:tc>
          <w:tcPr>
            <w:tcW w:w="2583" w:type="dxa"/>
          </w:tcPr>
          <w:p w14:paraId="1819CF15" w14:textId="77777777" w:rsidR="00CB09BD" w:rsidRPr="0084194A" w:rsidRDefault="00CB09BD" w:rsidP="00EE348E">
            <w:pPr>
              <w:pStyle w:val="TableParagraph"/>
              <w:spacing w:before="119"/>
              <w:rPr>
                <w:rFonts w:ascii="Garamond"/>
                <w:b/>
                <w:sz w:val="24"/>
                <w:szCs w:val="24"/>
              </w:rPr>
            </w:pPr>
            <w:r w:rsidRPr="0084194A">
              <w:rPr>
                <w:rFonts w:ascii="Garamond"/>
                <w:b/>
                <w:sz w:val="24"/>
                <w:szCs w:val="24"/>
              </w:rPr>
              <w:t>Rebuttal</w:t>
            </w:r>
          </w:p>
        </w:tc>
        <w:tc>
          <w:tcPr>
            <w:tcW w:w="2566" w:type="dxa"/>
          </w:tcPr>
          <w:p w14:paraId="312A1818" w14:textId="77777777" w:rsidR="00CB09BD" w:rsidRPr="0084194A" w:rsidRDefault="00CB09BD" w:rsidP="00EE348E">
            <w:pPr>
              <w:pStyle w:val="TableParagraph"/>
              <w:spacing w:before="119"/>
              <w:rPr>
                <w:rFonts w:ascii="Garamond"/>
                <w:sz w:val="24"/>
                <w:szCs w:val="24"/>
              </w:rPr>
            </w:pPr>
            <w:r w:rsidRPr="0084194A">
              <w:rPr>
                <w:rFonts w:ascii="Garamond"/>
                <w:sz w:val="24"/>
                <w:szCs w:val="24"/>
              </w:rPr>
              <w:t>Respondent</w:t>
            </w:r>
          </w:p>
        </w:tc>
        <w:tc>
          <w:tcPr>
            <w:tcW w:w="2439" w:type="dxa"/>
          </w:tcPr>
          <w:p w14:paraId="36EB24CA" w14:textId="77777777" w:rsidR="00CB09BD" w:rsidRPr="0084194A" w:rsidRDefault="00CB09BD" w:rsidP="00EE348E">
            <w:pPr>
              <w:pStyle w:val="TableParagraph"/>
              <w:spacing w:before="119"/>
              <w:rPr>
                <w:rFonts w:ascii="Garamond"/>
                <w:sz w:val="24"/>
                <w:szCs w:val="24"/>
              </w:rPr>
            </w:pPr>
            <w:r w:rsidRPr="0084194A">
              <w:rPr>
                <w:rFonts w:ascii="Garamond"/>
                <w:sz w:val="24"/>
                <w:szCs w:val="24"/>
              </w:rPr>
              <w:t>2 minutes</w:t>
            </w:r>
          </w:p>
        </w:tc>
      </w:tr>
    </w:tbl>
    <w:p w14:paraId="7367B091" w14:textId="77777777" w:rsidR="00CB09BD" w:rsidRPr="0084194A" w:rsidRDefault="00CB09BD" w:rsidP="00CB09BD">
      <w:pPr>
        <w:pStyle w:val="BodyText"/>
      </w:pPr>
    </w:p>
    <w:p w14:paraId="6BEDA8C7" w14:textId="77777777" w:rsidR="00CB09BD" w:rsidRPr="0084194A" w:rsidRDefault="00CB09BD" w:rsidP="00CB09BD">
      <w:pPr>
        <w:pStyle w:val="BodyText"/>
      </w:pPr>
    </w:p>
    <w:p w14:paraId="1770CF1C" w14:textId="77777777" w:rsidR="00CB09BD" w:rsidRPr="0084194A" w:rsidRDefault="00CB09BD" w:rsidP="00CB09BD">
      <w:pPr>
        <w:pStyle w:val="BodyText"/>
      </w:pPr>
    </w:p>
    <w:p w14:paraId="5DC61F8A" w14:textId="77777777" w:rsidR="00CB09BD" w:rsidRPr="0084194A" w:rsidRDefault="00CB09BD" w:rsidP="00CB09BD">
      <w:pPr>
        <w:pStyle w:val="BodyText"/>
      </w:pPr>
    </w:p>
    <w:p w14:paraId="14B4DE15" w14:textId="77777777" w:rsidR="00CB09BD" w:rsidRPr="0084194A" w:rsidRDefault="00CB09BD" w:rsidP="00CB09BD">
      <w:pPr>
        <w:pStyle w:val="BodyText"/>
      </w:pPr>
    </w:p>
    <w:p w14:paraId="79B88326" w14:textId="77777777" w:rsidR="00CB09BD" w:rsidRPr="0084194A" w:rsidRDefault="00CB09BD" w:rsidP="00CB09BD">
      <w:pPr>
        <w:pStyle w:val="BodyText"/>
      </w:pPr>
    </w:p>
    <w:p w14:paraId="368C397F" w14:textId="77777777" w:rsidR="00CB09BD" w:rsidRPr="0084194A" w:rsidRDefault="00CB09BD" w:rsidP="00CB09BD">
      <w:pPr>
        <w:pStyle w:val="BodyText"/>
      </w:pPr>
    </w:p>
    <w:p w14:paraId="3C869E2B" w14:textId="77777777" w:rsidR="00CB09BD" w:rsidRPr="0084194A" w:rsidRDefault="00CB09BD" w:rsidP="00CB09BD">
      <w:pPr>
        <w:pStyle w:val="BodyText"/>
      </w:pPr>
    </w:p>
    <w:p w14:paraId="19E55EAB" w14:textId="77777777" w:rsidR="00CB09BD" w:rsidRPr="0084194A" w:rsidRDefault="00CB09BD" w:rsidP="00CB09BD">
      <w:pPr>
        <w:pStyle w:val="BodyText"/>
        <w:spacing w:before="4"/>
      </w:pPr>
    </w:p>
    <w:p w14:paraId="0F6D91F4" w14:textId="77777777" w:rsidR="00CB09BD" w:rsidRPr="0084194A" w:rsidRDefault="00CB09BD" w:rsidP="00CB09BD">
      <w:pPr>
        <w:pStyle w:val="Basiccopysl"/>
        <w:ind w:left="540"/>
        <w:rPr>
          <w:sz w:val="24"/>
          <w:szCs w:val="24"/>
        </w:rPr>
      </w:pPr>
      <w:r w:rsidRPr="0084194A">
        <w:rPr>
          <w:sz w:val="24"/>
          <w:szCs w:val="24"/>
        </w:rPr>
        <w:t>Each side gets three minutes for its basic argument and two minutes for rebuttal. Your teacher will be the official timekeeper of the proceedings.</w:t>
      </w:r>
    </w:p>
    <w:p w14:paraId="7984EA38" w14:textId="77777777" w:rsidR="00CB09BD" w:rsidRPr="0084194A" w:rsidRDefault="00CB09BD" w:rsidP="00CB09BD">
      <w:pPr>
        <w:pStyle w:val="Basiccopysl"/>
        <w:ind w:left="540"/>
        <w:rPr>
          <w:sz w:val="24"/>
          <w:szCs w:val="24"/>
        </w:rPr>
      </w:pPr>
      <w:r w:rsidRPr="0084194A">
        <w:rPr>
          <w:sz w:val="24"/>
          <w:szCs w:val="24"/>
        </w:rPr>
        <w:t xml:space="preserve">The justice may ask questions at any time in an effort to clarify the arguments. Time continues to run as the justice interrupts to ask questions. </w:t>
      </w:r>
    </w:p>
    <w:p w14:paraId="7B1A6977" w14:textId="77777777" w:rsidR="00CB09BD" w:rsidRPr="0084194A" w:rsidRDefault="00CB09BD" w:rsidP="00CB09BD">
      <w:pPr>
        <w:pStyle w:val="Basiccopysl"/>
        <w:ind w:left="540"/>
        <w:rPr>
          <w:sz w:val="24"/>
          <w:szCs w:val="24"/>
        </w:rPr>
      </w:pPr>
      <w:r w:rsidRPr="0084194A">
        <w:rPr>
          <w:sz w:val="24"/>
          <w:szCs w:val="24"/>
        </w:rPr>
        <w:t>After all arguments have been presented, the justice should consider the arguments and reach a decision. Justices should write their decisions and a brief explanation of the reason they reached that decision including specific arguments and precedents.</w:t>
      </w:r>
    </w:p>
    <w:p w14:paraId="06784E5A" w14:textId="77777777" w:rsidR="00CB09BD" w:rsidRPr="0084194A" w:rsidRDefault="00CB09BD" w:rsidP="00CB09BD">
      <w:pPr>
        <w:pStyle w:val="Stepsl"/>
        <w:numPr>
          <w:ilvl w:val="0"/>
          <w:numId w:val="21"/>
        </w:numPr>
        <w:spacing w:before="240" w:after="120"/>
        <w:ind w:left="540" w:hanging="540"/>
        <w:rPr>
          <w:b/>
        </w:rPr>
      </w:pPr>
      <w:r w:rsidRPr="0084194A">
        <w:rPr>
          <w:b/>
        </w:rPr>
        <w:t xml:space="preserve">Handing down decisions: </w:t>
      </w:r>
      <w:r w:rsidRPr="0084194A">
        <w:rPr>
          <w:bCs/>
        </w:rPr>
        <w:t>Return to your original seats to listen to each justice hand down their decisions and the reasons behind them.</w:t>
      </w:r>
    </w:p>
    <w:p w14:paraId="114B05BF" w14:textId="15BC684E" w:rsidR="00CB09BD" w:rsidRPr="0084194A" w:rsidRDefault="00CB09BD" w:rsidP="00CB09BD">
      <w:pPr>
        <w:pStyle w:val="Basiccopysl"/>
        <w:ind w:left="540"/>
        <w:rPr>
          <w:sz w:val="24"/>
          <w:szCs w:val="24"/>
        </w:rPr>
        <w:sectPr w:rsidR="00CB09BD" w:rsidRPr="0084194A"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84194A">
        <w:rPr>
          <w:sz w:val="24"/>
          <w:szCs w:val="24"/>
        </w:rPr>
        <w:t xml:space="preserve">Your teacher will share the Court’s decision in </w:t>
      </w:r>
      <w:r w:rsidR="001B38C6" w:rsidRPr="0084194A">
        <w:rPr>
          <w:i/>
          <w:iCs/>
          <w:sz w:val="24"/>
          <w:szCs w:val="24"/>
        </w:rPr>
        <w:t>Florida v. Powell</w:t>
      </w:r>
      <w:r w:rsidRPr="0084194A">
        <w:rPr>
          <w:sz w:val="24"/>
          <w:szCs w:val="24"/>
        </w:rPr>
        <w:t>.</w:t>
      </w:r>
    </w:p>
    <w:p w14:paraId="1110081A" w14:textId="59139F9C" w:rsidR="00DE4019" w:rsidRPr="0084194A" w:rsidRDefault="00DE4019" w:rsidP="009C7FF4">
      <w:pPr>
        <w:pStyle w:val="Subhead1sl"/>
        <w:spacing w:before="240" w:after="240"/>
        <w:jc w:val="center"/>
        <w:rPr>
          <w:sz w:val="32"/>
          <w:szCs w:val="32"/>
        </w:rPr>
      </w:pPr>
      <w:r w:rsidRPr="0084194A">
        <w:rPr>
          <w:i/>
          <w:iCs/>
          <w:sz w:val="32"/>
          <w:szCs w:val="32"/>
        </w:rPr>
        <w:lastRenderedPageBreak/>
        <w:t>Florida v. Powell</w:t>
      </w:r>
      <w:r w:rsidR="0084194A" w:rsidRPr="0084194A">
        <w:rPr>
          <w:sz w:val="32"/>
          <w:szCs w:val="32"/>
        </w:rPr>
        <w:t xml:space="preserve"> (2010)</w:t>
      </w:r>
    </w:p>
    <w:p w14:paraId="2F1381AC" w14:textId="77777777" w:rsidR="00DE4019" w:rsidRDefault="00DE4019" w:rsidP="00DE4019">
      <w:pPr>
        <w:pStyle w:val="Basiccopycenteredsl"/>
      </w:pPr>
      <w:r w:rsidRPr="00B62239">
        <w:t xml:space="preserve">Argued: </w:t>
      </w:r>
      <w:r w:rsidRPr="00C24579">
        <w:rPr>
          <w:b w:val="0"/>
        </w:rPr>
        <w:t>December 7, 2009</w:t>
      </w:r>
    </w:p>
    <w:p w14:paraId="1A626E1E" w14:textId="070680C7" w:rsidR="00DE4019" w:rsidRPr="00C24579" w:rsidRDefault="00DE4019" w:rsidP="00DE4019">
      <w:pPr>
        <w:pStyle w:val="Basiccopycenteredsl"/>
      </w:pPr>
      <w:r>
        <w:t>Decided:</w:t>
      </w:r>
      <w:r w:rsidR="009C7FF4">
        <w:t xml:space="preserve"> </w:t>
      </w:r>
      <w:r w:rsidRPr="00C24579">
        <w:rPr>
          <w:b w:val="0"/>
        </w:rPr>
        <w:t>February 23, 2010</w:t>
      </w:r>
      <w:r>
        <w:t xml:space="preserve"> </w:t>
      </w:r>
    </w:p>
    <w:p w14:paraId="4D272514" w14:textId="77777777" w:rsidR="00DE4019" w:rsidRPr="00574BDA" w:rsidRDefault="00DE4019" w:rsidP="00DE4019">
      <w:pPr>
        <w:pStyle w:val="Subhead2sl"/>
      </w:pPr>
      <w:r w:rsidRPr="00574BDA">
        <w:t>Facts</w:t>
      </w:r>
    </w:p>
    <w:p w14:paraId="71C6423C" w14:textId="3F25B23E" w:rsidR="00DE4019" w:rsidRPr="00574BDA" w:rsidRDefault="00DE4019" w:rsidP="0084194A">
      <w:pPr>
        <w:pStyle w:val="Basiccopysl"/>
        <w:rPr>
          <w:sz w:val="24"/>
          <w:szCs w:val="24"/>
        </w:rPr>
      </w:pPr>
      <w:r w:rsidRPr="00574BDA">
        <w:rPr>
          <w:sz w:val="24"/>
          <w:szCs w:val="24"/>
        </w:rPr>
        <w:t xml:space="preserve">Television shows about police have made Americans familiar with their rights when it comes to being questioned by police. Here is a typical Miranda </w:t>
      </w:r>
      <w:r w:rsidR="0084194A" w:rsidRPr="00574BDA">
        <w:rPr>
          <w:sz w:val="24"/>
          <w:szCs w:val="24"/>
        </w:rPr>
        <w:t>w</w:t>
      </w:r>
      <w:r w:rsidRPr="00574BDA">
        <w:rPr>
          <w:sz w:val="24"/>
          <w:szCs w:val="24"/>
        </w:rPr>
        <w:t>arning used by a police department:</w:t>
      </w:r>
    </w:p>
    <w:p w14:paraId="5DE7ED0F" w14:textId="2666542D" w:rsidR="00DE4019" w:rsidRPr="00574BDA" w:rsidRDefault="00DE4019" w:rsidP="00574BDA">
      <w:pPr>
        <w:pStyle w:val="Bulletsl"/>
        <w:numPr>
          <w:ilvl w:val="0"/>
          <w:numId w:val="0"/>
        </w:numPr>
        <w:spacing w:line="276" w:lineRule="auto"/>
        <w:ind w:left="720"/>
      </w:pPr>
      <w:r w:rsidRPr="00574BDA">
        <w:t>You have the right to remain silent.</w:t>
      </w:r>
      <w:r w:rsidR="009C7FF4" w:rsidRPr="00574BDA">
        <w:t xml:space="preserve"> </w:t>
      </w:r>
    </w:p>
    <w:p w14:paraId="257E3CA1" w14:textId="35834D1D" w:rsidR="00DE4019" w:rsidRPr="00574BDA" w:rsidRDefault="00DE4019" w:rsidP="00574BDA">
      <w:pPr>
        <w:pStyle w:val="Bulletsl"/>
        <w:numPr>
          <w:ilvl w:val="0"/>
          <w:numId w:val="0"/>
        </w:numPr>
        <w:spacing w:line="276" w:lineRule="auto"/>
        <w:ind w:left="720"/>
      </w:pPr>
      <w:r w:rsidRPr="00574BDA">
        <w:t>Anything you say can be used against you in court.</w:t>
      </w:r>
      <w:r w:rsidR="009C7FF4" w:rsidRPr="00574BDA">
        <w:t xml:space="preserve"> </w:t>
      </w:r>
    </w:p>
    <w:p w14:paraId="76E8C0B4" w14:textId="6432997E" w:rsidR="00DE4019" w:rsidRPr="00574BDA" w:rsidRDefault="00DE4019" w:rsidP="00574BDA">
      <w:pPr>
        <w:pStyle w:val="Bulletsl"/>
        <w:numPr>
          <w:ilvl w:val="0"/>
          <w:numId w:val="0"/>
        </w:numPr>
        <w:spacing w:line="276" w:lineRule="auto"/>
        <w:ind w:left="720"/>
      </w:pPr>
      <w:r w:rsidRPr="00574BDA">
        <w:t>You have the right to consult with an attorney before answering any questions and the right to have an attorney present during questioning.</w:t>
      </w:r>
      <w:r w:rsidR="009C7FF4" w:rsidRPr="00574BDA">
        <w:t xml:space="preserve"> </w:t>
      </w:r>
    </w:p>
    <w:p w14:paraId="5A35BFE3" w14:textId="77777777" w:rsidR="00DE4019" w:rsidRPr="00574BDA" w:rsidRDefault="00DE4019" w:rsidP="00574BDA">
      <w:pPr>
        <w:pStyle w:val="Bulletsl"/>
        <w:numPr>
          <w:ilvl w:val="0"/>
          <w:numId w:val="0"/>
        </w:numPr>
        <w:spacing w:line="276" w:lineRule="auto"/>
        <w:ind w:left="720"/>
      </w:pPr>
      <w:r w:rsidRPr="00574BDA">
        <w:t xml:space="preserve">If you can’t afford a lawyer, one will be appointed for you. </w:t>
      </w:r>
    </w:p>
    <w:p w14:paraId="5B0F431A" w14:textId="23C6A512" w:rsidR="00DE4019" w:rsidRPr="00574BDA" w:rsidRDefault="00DE4019" w:rsidP="0084194A">
      <w:pPr>
        <w:pStyle w:val="Basiccopysl"/>
        <w:rPr>
          <w:sz w:val="24"/>
          <w:szCs w:val="24"/>
        </w:rPr>
      </w:pPr>
      <w:r w:rsidRPr="00574BDA">
        <w:rPr>
          <w:sz w:val="24"/>
          <w:szCs w:val="24"/>
        </w:rPr>
        <w:t>These warnings aim to protect a person’s right to be free from compelled self-incrimination during a custodial interrogation.</w:t>
      </w:r>
      <w:r w:rsidR="009C7FF4" w:rsidRPr="00574BDA">
        <w:rPr>
          <w:sz w:val="24"/>
          <w:szCs w:val="24"/>
        </w:rPr>
        <w:t xml:space="preserve"> </w:t>
      </w:r>
      <w:r w:rsidRPr="00574BDA">
        <w:rPr>
          <w:sz w:val="24"/>
          <w:szCs w:val="24"/>
        </w:rPr>
        <w:t xml:space="preserve">However, the words used in </w:t>
      </w:r>
      <w:r w:rsidRPr="00574BDA">
        <w:rPr>
          <w:iCs/>
          <w:sz w:val="24"/>
          <w:szCs w:val="24"/>
        </w:rPr>
        <w:t>Miranda</w:t>
      </w:r>
      <w:r w:rsidRPr="00574BDA">
        <w:rPr>
          <w:i/>
          <w:sz w:val="24"/>
          <w:szCs w:val="24"/>
        </w:rPr>
        <w:t xml:space="preserve"> </w:t>
      </w:r>
      <w:r w:rsidRPr="00574BDA">
        <w:rPr>
          <w:sz w:val="24"/>
          <w:szCs w:val="24"/>
        </w:rPr>
        <w:t>warnings need not be the same across all police departments.</w:t>
      </w:r>
      <w:r w:rsidR="009C7FF4" w:rsidRPr="00574BDA">
        <w:rPr>
          <w:sz w:val="24"/>
          <w:szCs w:val="24"/>
        </w:rPr>
        <w:t xml:space="preserve"> </w:t>
      </w:r>
      <w:r w:rsidRPr="00574BDA">
        <w:rPr>
          <w:sz w:val="24"/>
          <w:szCs w:val="24"/>
        </w:rPr>
        <w:t xml:space="preserve">Because different departments may use different wording in their warnings, the clarity of a </w:t>
      </w:r>
      <w:r w:rsidRPr="00574BDA">
        <w:rPr>
          <w:iCs/>
          <w:sz w:val="24"/>
          <w:szCs w:val="24"/>
        </w:rPr>
        <w:t>Miranda</w:t>
      </w:r>
      <w:r w:rsidRPr="00574BDA">
        <w:rPr>
          <w:i/>
          <w:sz w:val="24"/>
          <w:szCs w:val="24"/>
        </w:rPr>
        <w:t xml:space="preserve"> </w:t>
      </w:r>
      <w:r w:rsidRPr="00574BDA">
        <w:rPr>
          <w:sz w:val="24"/>
          <w:szCs w:val="24"/>
        </w:rPr>
        <w:t>warning to a suspect may be an issue.</w:t>
      </w:r>
      <w:r w:rsidR="009C7FF4" w:rsidRPr="00574BDA">
        <w:rPr>
          <w:sz w:val="24"/>
          <w:szCs w:val="24"/>
        </w:rPr>
        <w:t xml:space="preserve"> </w:t>
      </w:r>
      <w:r w:rsidRPr="00574BDA">
        <w:rPr>
          <w:sz w:val="24"/>
          <w:szCs w:val="24"/>
        </w:rPr>
        <w:t xml:space="preserve">That was the question in </w:t>
      </w:r>
      <w:r w:rsidRPr="00574BDA">
        <w:rPr>
          <w:i/>
          <w:sz w:val="24"/>
          <w:szCs w:val="24"/>
        </w:rPr>
        <w:t>Florida v. Powell</w:t>
      </w:r>
      <w:r w:rsidRPr="00574BDA">
        <w:rPr>
          <w:sz w:val="24"/>
          <w:szCs w:val="24"/>
        </w:rPr>
        <w:t xml:space="preserve">, where the defendant claimed that the warning police gave to him did not clearly convey his right to the presence of an attorney </w:t>
      </w:r>
      <w:r w:rsidRPr="00574BDA">
        <w:rPr>
          <w:i/>
          <w:sz w:val="24"/>
          <w:szCs w:val="24"/>
        </w:rPr>
        <w:t>during</w:t>
      </w:r>
      <w:r w:rsidRPr="00574BDA">
        <w:rPr>
          <w:sz w:val="24"/>
          <w:szCs w:val="24"/>
        </w:rPr>
        <w:t xml:space="preserve"> questioning, as opposed to his right to talk to a lawyer before questioning.</w:t>
      </w:r>
    </w:p>
    <w:p w14:paraId="738E1BE7" w14:textId="37E44358" w:rsidR="00DE4019" w:rsidRPr="00574BDA" w:rsidRDefault="00DE4019" w:rsidP="0084194A">
      <w:pPr>
        <w:pStyle w:val="Basiccopysl"/>
        <w:rPr>
          <w:sz w:val="24"/>
          <w:szCs w:val="24"/>
        </w:rPr>
      </w:pPr>
      <w:r w:rsidRPr="00574BDA">
        <w:rPr>
          <w:sz w:val="24"/>
          <w:szCs w:val="24"/>
        </w:rPr>
        <w:t xml:space="preserve">Kevin Powell, a former felon, was charged with unlawful possession of a firearm, arrested and taken to the Tampa </w:t>
      </w:r>
      <w:r w:rsidR="00574BDA" w:rsidRPr="00574BDA">
        <w:rPr>
          <w:sz w:val="24"/>
          <w:szCs w:val="24"/>
        </w:rPr>
        <w:t>P</w:t>
      </w:r>
      <w:r w:rsidRPr="00574BDA">
        <w:rPr>
          <w:sz w:val="24"/>
          <w:szCs w:val="24"/>
        </w:rPr>
        <w:t xml:space="preserve">olice </w:t>
      </w:r>
      <w:r w:rsidR="00574BDA" w:rsidRPr="00574BDA">
        <w:rPr>
          <w:sz w:val="24"/>
          <w:szCs w:val="24"/>
        </w:rPr>
        <w:t>D</w:t>
      </w:r>
      <w:r w:rsidRPr="00574BDA">
        <w:rPr>
          <w:sz w:val="24"/>
          <w:szCs w:val="24"/>
        </w:rPr>
        <w:t>epartment.</w:t>
      </w:r>
      <w:r w:rsidR="009C7FF4" w:rsidRPr="00574BDA">
        <w:rPr>
          <w:sz w:val="24"/>
          <w:szCs w:val="24"/>
        </w:rPr>
        <w:t xml:space="preserve"> </w:t>
      </w:r>
      <w:r w:rsidRPr="00574BDA">
        <w:rPr>
          <w:sz w:val="24"/>
          <w:szCs w:val="24"/>
        </w:rPr>
        <w:t>Prior to being questioned by the police, Powell was read the standard Tampa warnings form:</w:t>
      </w:r>
    </w:p>
    <w:p w14:paraId="2DD1567E" w14:textId="69D76AD7" w:rsidR="00DE4019" w:rsidRPr="00574BDA" w:rsidRDefault="00DE4019" w:rsidP="00FA477C">
      <w:pPr>
        <w:pStyle w:val="Basiccopysl"/>
        <w:ind w:left="720"/>
        <w:rPr>
          <w:sz w:val="24"/>
          <w:szCs w:val="24"/>
        </w:rPr>
      </w:pPr>
      <w:r w:rsidRPr="00574BDA">
        <w:rPr>
          <w:sz w:val="24"/>
          <w:szCs w:val="24"/>
        </w:rPr>
        <w:t>You have the right to remain silent.</w:t>
      </w:r>
      <w:r w:rsidR="009C7FF4" w:rsidRPr="00574BDA">
        <w:rPr>
          <w:sz w:val="24"/>
          <w:szCs w:val="24"/>
        </w:rPr>
        <w:t xml:space="preserve"> </w:t>
      </w:r>
      <w:r w:rsidRPr="00574BDA">
        <w:rPr>
          <w:sz w:val="24"/>
          <w:szCs w:val="24"/>
        </w:rPr>
        <w:t>If you give up the right to remain silent, anything you say can be used against you in court.</w:t>
      </w:r>
      <w:r w:rsidR="009C7FF4" w:rsidRPr="00574BDA">
        <w:rPr>
          <w:sz w:val="24"/>
          <w:szCs w:val="24"/>
        </w:rPr>
        <w:t xml:space="preserve"> </w:t>
      </w:r>
      <w:r w:rsidRPr="00574BDA">
        <w:rPr>
          <w:sz w:val="24"/>
          <w:szCs w:val="24"/>
        </w:rPr>
        <w:t>You have the right to talk to a lawyer before answering any of our questions.</w:t>
      </w:r>
      <w:r w:rsidR="009C7FF4" w:rsidRPr="00574BDA">
        <w:rPr>
          <w:sz w:val="24"/>
          <w:szCs w:val="24"/>
        </w:rPr>
        <w:t xml:space="preserve"> </w:t>
      </w:r>
      <w:r w:rsidRPr="00574BDA">
        <w:rPr>
          <w:sz w:val="24"/>
          <w:szCs w:val="24"/>
        </w:rPr>
        <w:t>If you cannot afford to hire a lawyer, one will be appointed for you without cost and before any questioning.</w:t>
      </w:r>
      <w:r w:rsidR="009C7FF4" w:rsidRPr="00574BDA">
        <w:rPr>
          <w:sz w:val="24"/>
          <w:szCs w:val="24"/>
        </w:rPr>
        <w:t xml:space="preserve"> </w:t>
      </w:r>
      <w:r w:rsidRPr="00574BDA">
        <w:rPr>
          <w:sz w:val="24"/>
          <w:szCs w:val="24"/>
        </w:rPr>
        <w:t>You have the right to use any of these rights at any time you want during this interview.</w:t>
      </w:r>
      <w:r w:rsidR="009C7FF4" w:rsidRPr="00574BDA">
        <w:rPr>
          <w:sz w:val="24"/>
          <w:szCs w:val="24"/>
        </w:rPr>
        <w:t xml:space="preserve"> </w:t>
      </w:r>
      <w:r w:rsidRPr="00574BDA">
        <w:rPr>
          <w:sz w:val="24"/>
          <w:szCs w:val="24"/>
        </w:rPr>
        <w:t xml:space="preserve"> </w:t>
      </w:r>
    </w:p>
    <w:p w14:paraId="52EFF710" w14:textId="373E464C" w:rsidR="00DE4019" w:rsidRPr="00574BDA" w:rsidRDefault="00DE4019" w:rsidP="0084194A">
      <w:pPr>
        <w:pStyle w:val="Basiccopysl"/>
        <w:rPr>
          <w:sz w:val="24"/>
          <w:szCs w:val="24"/>
        </w:rPr>
      </w:pPr>
      <w:r w:rsidRPr="00574BDA">
        <w:rPr>
          <w:sz w:val="24"/>
          <w:szCs w:val="24"/>
        </w:rPr>
        <w:t xml:space="preserve">Unlike the majority of police department warning forms, the Tampa form does not advise individuals expressly of their right to have a lawyer present </w:t>
      </w:r>
      <w:r w:rsidRPr="00574BDA">
        <w:rPr>
          <w:i/>
          <w:sz w:val="24"/>
          <w:szCs w:val="24"/>
        </w:rPr>
        <w:t xml:space="preserve">during </w:t>
      </w:r>
      <w:r w:rsidRPr="00574BDA">
        <w:rPr>
          <w:sz w:val="24"/>
          <w:szCs w:val="24"/>
        </w:rPr>
        <w:t>questioning.</w:t>
      </w:r>
      <w:r w:rsidR="009C7FF4" w:rsidRPr="00574BDA">
        <w:rPr>
          <w:sz w:val="24"/>
          <w:szCs w:val="24"/>
        </w:rPr>
        <w:t xml:space="preserve"> </w:t>
      </w:r>
      <w:r w:rsidRPr="00574BDA">
        <w:rPr>
          <w:sz w:val="24"/>
          <w:szCs w:val="24"/>
        </w:rPr>
        <w:t xml:space="preserve">Powell agreed to talk to the officers, and signed a form waiving his </w:t>
      </w:r>
      <w:r w:rsidRPr="00574BDA">
        <w:rPr>
          <w:iCs/>
          <w:sz w:val="24"/>
          <w:szCs w:val="24"/>
        </w:rPr>
        <w:t>Miranda</w:t>
      </w:r>
      <w:r w:rsidRPr="00574BDA">
        <w:rPr>
          <w:i/>
          <w:sz w:val="24"/>
          <w:szCs w:val="24"/>
        </w:rPr>
        <w:t xml:space="preserve"> </w:t>
      </w:r>
      <w:r w:rsidRPr="00574BDA">
        <w:rPr>
          <w:sz w:val="24"/>
          <w:szCs w:val="24"/>
        </w:rPr>
        <w:t>rights and stating that he would talk without an attorney present.</w:t>
      </w:r>
      <w:r w:rsidR="009C7FF4" w:rsidRPr="00574BDA">
        <w:rPr>
          <w:sz w:val="24"/>
          <w:szCs w:val="24"/>
        </w:rPr>
        <w:t xml:space="preserve"> </w:t>
      </w:r>
      <w:r w:rsidRPr="00574BDA">
        <w:rPr>
          <w:sz w:val="24"/>
          <w:szCs w:val="24"/>
        </w:rPr>
        <w:t xml:space="preserve">Powell then made incriminating statements to the officers </w:t>
      </w:r>
      <w:r w:rsidR="00574BDA">
        <w:rPr>
          <w:sz w:val="24"/>
          <w:szCs w:val="24"/>
        </w:rPr>
        <w:t>that</w:t>
      </w:r>
      <w:r w:rsidRPr="00574BDA">
        <w:rPr>
          <w:sz w:val="24"/>
          <w:szCs w:val="24"/>
        </w:rPr>
        <w:t xml:space="preserve"> were used against him at trial.</w:t>
      </w:r>
      <w:r w:rsidR="009C7FF4" w:rsidRPr="00574BDA">
        <w:rPr>
          <w:sz w:val="24"/>
          <w:szCs w:val="24"/>
        </w:rPr>
        <w:t xml:space="preserve"> </w:t>
      </w:r>
      <w:r w:rsidRPr="00574BDA">
        <w:rPr>
          <w:sz w:val="24"/>
          <w:szCs w:val="24"/>
        </w:rPr>
        <w:t xml:space="preserve">He was found guilty and sentenced to </w:t>
      </w:r>
      <w:r w:rsidR="00574BDA">
        <w:rPr>
          <w:sz w:val="24"/>
          <w:szCs w:val="24"/>
        </w:rPr>
        <w:t>10</w:t>
      </w:r>
      <w:r w:rsidRPr="00574BDA">
        <w:rPr>
          <w:sz w:val="24"/>
          <w:szCs w:val="24"/>
        </w:rPr>
        <w:t xml:space="preserve"> years in prison.</w:t>
      </w:r>
    </w:p>
    <w:p w14:paraId="5AE6121A" w14:textId="45D695E4" w:rsidR="00DE4019" w:rsidRPr="00574BDA" w:rsidRDefault="00DE4019" w:rsidP="0084194A">
      <w:pPr>
        <w:pStyle w:val="Basiccopysl"/>
        <w:rPr>
          <w:sz w:val="24"/>
          <w:szCs w:val="24"/>
          <w:u w:val="single"/>
        </w:rPr>
      </w:pPr>
      <w:r w:rsidRPr="00574BDA">
        <w:rPr>
          <w:sz w:val="24"/>
          <w:szCs w:val="24"/>
        </w:rPr>
        <w:t xml:space="preserve">Powell appealed his conviction, arguing that his </w:t>
      </w:r>
      <w:r w:rsidRPr="00574BDA">
        <w:rPr>
          <w:iCs/>
          <w:sz w:val="24"/>
          <w:szCs w:val="24"/>
        </w:rPr>
        <w:t>Miranda</w:t>
      </w:r>
      <w:r w:rsidRPr="00574BDA">
        <w:rPr>
          <w:sz w:val="24"/>
          <w:szCs w:val="24"/>
        </w:rPr>
        <w:t xml:space="preserve"> rights were violated.</w:t>
      </w:r>
      <w:r w:rsidR="009C7FF4" w:rsidRPr="00574BDA">
        <w:rPr>
          <w:sz w:val="24"/>
          <w:szCs w:val="24"/>
        </w:rPr>
        <w:t xml:space="preserve"> </w:t>
      </w:r>
      <w:r w:rsidRPr="00574BDA">
        <w:rPr>
          <w:sz w:val="24"/>
          <w:szCs w:val="24"/>
        </w:rPr>
        <w:t xml:space="preserve">He claimed that the wording of his </w:t>
      </w:r>
      <w:r w:rsidRPr="00574BDA">
        <w:rPr>
          <w:iCs/>
          <w:sz w:val="24"/>
          <w:szCs w:val="24"/>
        </w:rPr>
        <w:t>Miranda</w:t>
      </w:r>
      <w:r w:rsidRPr="00574BDA">
        <w:rPr>
          <w:i/>
          <w:sz w:val="24"/>
          <w:szCs w:val="24"/>
        </w:rPr>
        <w:t xml:space="preserve"> </w:t>
      </w:r>
      <w:r w:rsidRPr="00574BDA">
        <w:rPr>
          <w:sz w:val="24"/>
          <w:szCs w:val="24"/>
        </w:rPr>
        <w:t>warning on the right to counsel</w:t>
      </w:r>
      <w:r w:rsidR="00574BDA">
        <w:rPr>
          <w:sz w:val="24"/>
          <w:szCs w:val="24"/>
        </w:rPr>
        <w:t>—</w:t>
      </w:r>
      <w:r w:rsidRPr="00574BDA">
        <w:rPr>
          <w:sz w:val="24"/>
          <w:szCs w:val="24"/>
        </w:rPr>
        <w:t>“You have the right to talk to a lawyer before answering any of our questions”</w:t>
      </w:r>
      <w:r w:rsidR="00574BDA">
        <w:rPr>
          <w:sz w:val="24"/>
          <w:szCs w:val="24"/>
        </w:rPr>
        <w:t>—</w:t>
      </w:r>
      <w:r w:rsidRPr="00574BDA">
        <w:rPr>
          <w:sz w:val="24"/>
          <w:szCs w:val="24"/>
        </w:rPr>
        <w:t>was insufficient.</w:t>
      </w:r>
      <w:r w:rsidR="009C7FF4" w:rsidRPr="00574BDA">
        <w:rPr>
          <w:sz w:val="24"/>
          <w:szCs w:val="24"/>
        </w:rPr>
        <w:t xml:space="preserve"> </w:t>
      </w:r>
      <w:r w:rsidRPr="00574BDA">
        <w:rPr>
          <w:sz w:val="24"/>
          <w:szCs w:val="24"/>
        </w:rPr>
        <w:t xml:space="preserve">Powell said that it suggested he could only consult with a lawyer </w:t>
      </w:r>
      <w:r w:rsidRPr="00574BDA">
        <w:rPr>
          <w:i/>
          <w:sz w:val="24"/>
          <w:szCs w:val="24"/>
        </w:rPr>
        <w:t xml:space="preserve">before </w:t>
      </w:r>
      <w:r w:rsidRPr="00574BDA">
        <w:rPr>
          <w:sz w:val="24"/>
          <w:szCs w:val="24"/>
        </w:rPr>
        <w:t xml:space="preserve">questioning and did not make clear his right to the presence of an </w:t>
      </w:r>
      <w:r w:rsidRPr="00574BDA">
        <w:rPr>
          <w:sz w:val="24"/>
          <w:szCs w:val="24"/>
        </w:rPr>
        <w:lastRenderedPageBreak/>
        <w:t xml:space="preserve">attorney </w:t>
      </w:r>
      <w:r w:rsidRPr="00574BDA">
        <w:rPr>
          <w:i/>
          <w:sz w:val="24"/>
          <w:szCs w:val="24"/>
        </w:rPr>
        <w:t xml:space="preserve">during </w:t>
      </w:r>
      <w:r w:rsidRPr="00574BDA">
        <w:rPr>
          <w:sz w:val="24"/>
          <w:szCs w:val="24"/>
        </w:rPr>
        <w:t>questioning.</w:t>
      </w:r>
      <w:r w:rsidR="009C7FF4" w:rsidRPr="00574BDA">
        <w:rPr>
          <w:sz w:val="24"/>
          <w:szCs w:val="24"/>
        </w:rPr>
        <w:t xml:space="preserve"> </w:t>
      </w:r>
      <w:r w:rsidRPr="00574BDA">
        <w:rPr>
          <w:sz w:val="24"/>
          <w:szCs w:val="24"/>
        </w:rPr>
        <w:t>In response, the state argued that this final sentence of the warning</w:t>
      </w:r>
      <w:r w:rsidR="00574BDA">
        <w:rPr>
          <w:sz w:val="24"/>
          <w:szCs w:val="24"/>
        </w:rPr>
        <w:t>—</w:t>
      </w:r>
      <w:r w:rsidRPr="00574BDA">
        <w:rPr>
          <w:sz w:val="24"/>
          <w:szCs w:val="24"/>
        </w:rPr>
        <w:t>“You have the right to use any of these rights at any time you want during this interview”</w:t>
      </w:r>
      <w:r w:rsidR="00574BDA">
        <w:rPr>
          <w:sz w:val="24"/>
          <w:szCs w:val="24"/>
        </w:rPr>
        <w:t>—</w:t>
      </w:r>
      <w:r w:rsidRPr="00574BDA">
        <w:rPr>
          <w:sz w:val="24"/>
          <w:szCs w:val="24"/>
        </w:rPr>
        <w:t>adequately conveyed his right to the presence of counsel during questioning.</w:t>
      </w:r>
    </w:p>
    <w:p w14:paraId="475161DC" w14:textId="54411A80" w:rsidR="00DE4019" w:rsidRPr="00574BDA" w:rsidRDefault="00DE4019" w:rsidP="0084194A">
      <w:pPr>
        <w:pStyle w:val="Basiccopysl"/>
        <w:rPr>
          <w:sz w:val="24"/>
          <w:szCs w:val="24"/>
        </w:rPr>
      </w:pPr>
      <w:r w:rsidRPr="00574BDA">
        <w:rPr>
          <w:sz w:val="24"/>
          <w:szCs w:val="24"/>
        </w:rPr>
        <w:t xml:space="preserve">The state appellate court reversed Powell’s conviction, deciding that the </w:t>
      </w:r>
      <w:r w:rsidRPr="00574BDA">
        <w:rPr>
          <w:iCs/>
          <w:sz w:val="24"/>
          <w:szCs w:val="24"/>
        </w:rPr>
        <w:t>Miranda</w:t>
      </w:r>
      <w:r w:rsidRPr="00574BDA">
        <w:rPr>
          <w:sz w:val="24"/>
          <w:szCs w:val="24"/>
        </w:rPr>
        <w:t xml:space="preserve"> warnings given were misleading.</w:t>
      </w:r>
      <w:r w:rsidR="009C7FF4" w:rsidRPr="00574BDA">
        <w:rPr>
          <w:sz w:val="24"/>
          <w:szCs w:val="24"/>
        </w:rPr>
        <w:t xml:space="preserve"> </w:t>
      </w:r>
      <w:r w:rsidRPr="00574BDA">
        <w:rPr>
          <w:sz w:val="24"/>
          <w:szCs w:val="24"/>
        </w:rPr>
        <w:t xml:space="preserve">The Supreme Court of Florida agreed, determining that the </w:t>
      </w:r>
      <w:r w:rsidRPr="00574BDA">
        <w:rPr>
          <w:iCs/>
          <w:sz w:val="24"/>
          <w:szCs w:val="24"/>
        </w:rPr>
        <w:t xml:space="preserve">Miranda </w:t>
      </w:r>
      <w:r w:rsidRPr="00574BDA">
        <w:rPr>
          <w:sz w:val="24"/>
          <w:szCs w:val="24"/>
        </w:rPr>
        <w:t>warnings in question did not convey Powell’s right to a lawyer’s presence during and throughout questioning.</w:t>
      </w:r>
      <w:r w:rsidR="009C7FF4" w:rsidRPr="00574BDA">
        <w:rPr>
          <w:sz w:val="24"/>
          <w:szCs w:val="24"/>
        </w:rPr>
        <w:t xml:space="preserve"> </w:t>
      </w:r>
      <w:r w:rsidRPr="00574BDA">
        <w:rPr>
          <w:sz w:val="24"/>
          <w:szCs w:val="24"/>
        </w:rPr>
        <w:t>The state appealed the Florida Supreme Court’s decision</w:t>
      </w:r>
      <w:r w:rsidR="00574BDA">
        <w:rPr>
          <w:sz w:val="24"/>
          <w:szCs w:val="24"/>
        </w:rPr>
        <w:t>,</w:t>
      </w:r>
      <w:r w:rsidRPr="00574BDA">
        <w:rPr>
          <w:sz w:val="24"/>
          <w:szCs w:val="24"/>
        </w:rPr>
        <w:t xml:space="preserve"> and the U.S. Supreme Court agreed to hear the case.</w:t>
      </w:r>
    </w:p>
    <w:p w14:paraId="18241CC6" w14:textId="77777777" w:rsidR="00DE4019" w:rsidRPr="00574BDA" w:rsidRDefault="00DE4019" w:rsidP="00DE4019">
      <w:pPr>
        <w:pStyle w:val="Subhead2sl"/>
      </w:pPr>
      <w:r w:rsidRPr="00574BDA">
        <w:t>Issue</w:t>
      </w:r>
    </w:p>
    <w:p w14:paraId="3C70A854" w14:textId="77777777" w:rsidR="00DE4019" w:rsidRPr="00574BDA" w:rsidRDefault="00DE4019" w:rsidP="00DE4019">
      <w:pPr>
        <w:pStyle w:val="Basiccopysl"/>
        <w:rPr>
          <w:sz w:val="24"/>
          <w:szCs w:val="24"/>
        </w:rPr>
      </w:pPr>
      <w:r w:rsidRPr="00574BDA">
        <w:rPr>
          <w:sz w:val="24"/>
          <w:szCs w:val="24"/>
        </w:rPr>
        <w:t xml:space="preserve">Did the warnings Powell received satisfy </w:t>
      </w:r>
      <w:r w:rsidRPr="00574BDA">
        <w:rPr>
          <w:i/>
          <w:sz w:val="24"/>
          <w:szCs w:val="24"/>
        </w:rPr>
        <w:t xml:space="preserve">Miranda </w:t>
      </w:r>
      <w:r w:rsidRPr="00574BDA">
        <w:rPr>
          <w:sz w:val="24"/>
          <w:szCs w:val="24"/>
        </w:rPr>
        <w:t xml:space="preserve">by reasonably conveying his right to have a lawyer present </w:t>
      </w:r>
      <w:r w:rsidRPr="00574BDA">
        <w:rPr>
          <w:i/>
          <w:sz w:val="24"/>
          <w:szCs w:val="24"/>
        </w:rPr>
        <w:t>during</w:t>
      </w:r>
      <w:r w:rsidRPr="00574BDA">
        <w:rPr>
          <w:sz w:val="24"/>
          <w:szCs w:val="24"/>
        </w:rPr>
        <w:t xml:space="preserve"> police interrogation?</w:t>
      </w:r>
    </w:p>
    <w:p w14:paraId="48F67488" w14:textId="3B5CA857" w:rsidR="00DE4019" w:rsidRPr="00574BDA" w:rsidRDefault="00DE4019" w:rsidP="00DE4019">
      <w:pPr>
        <w:pStyle w:val="Subhead2sl"/>
      </w:pPr>
      <w:r w:rsidRPr="00574BDA">
        <w:t xml:space="preserve">Constitutional </w:t>
      </w:r>
      <w:r w:rsidR="00574BDA">
        <w:t xml:space="preserve">Amendment </w:t>
      </w:r>
      <w:r w:rsidRPr="00574BDA">
        <w:t xml:space="preserve">and </w:t>
      </w:r>
      <w:r w:rsidR="00574BDA">
        <w:t xml:space="preserve">Supreme Court </w:t>
      </w:r>
      <w:r w:rsidRPr="00574BDA">
        <w:t>Precedents</w:t>
      </w:r>
    </w:p>
    <w:p w14:paraId="31E17354" w14:textId="3151CD6A" w:rsidR="00DE4019" w:rsidRPr="00574BDA" w:rsidRDefault="00DE4019" w:rsidP="00574BDA">
      <w:pPr>
        <w:pStyle w:val="Bulletsl"/>
        <w:spacing w:before="240"/>
        <w:rPr>
          <w:b/>
        </w:rPr>
      </w:pPr>
      <w:r w:rsidRPr="00574BDA">
        <w:rPr>
          <w:b/>
        </w:rPr>
        <w:t>Fifth Amendment</w:t>
      </w:r>
      <w:r w:rsidR="00FA477C">
        <w:rPr>
          <w:b/>
        </w:rPr>
        <w:t xml:space="preserve"> to the U.S. Constitution</w:t>
      </w:r>
    </w:p>
    <w:p w14:paraId="311222E7" w14:textId="77777777" w:rsidR="00DE4019" w:rsidRPr="00574BDA" w:rsidRDefault="00DE4019" w:rsidP="00FA477C">
      <w:pPr>
        <w:pStyle w:val="Bulletsl"/>
        <w:numPr>
          <w:ilvl w:val="0"/>
          <w:numId w:val="0"/>
        </w:numPr>
        <w:spacing w:line="276" w:lineRule="auto"/>
        <w:ind w:left="1080"/>
        <w:rPr>
          <w:rFonts w:cs="Tahoma"/>
          <w:color w:val="00B0F0"/>
        </w:rPr>
      </w:pPr>
      <w:r w:rsidRPr="00574BDA">
        <w:t>“No person shall be … compelled in any criminal case to be a witness against himself; nor shall be deprived of life, liberty, or property, without due process of law …”</w:t>
      </w:r>
      <w:r w:rsidRPr="00574BDA">
        <w:rPr>
          <w:rFonts w:cs="Tahoma"/>
          <w:color w:val="00B0F0"/>
        </w:rPr>
        <w:t xml:space="preserve"> </w:t>
      </w:r>
    </w:p>
    <w:p w14:paraId="1FD1B30A" w14:textId="2A9CB0AB" w:rsidR="00DE4019" w:rsidRPr="00574BDA" w:rsidRDefault="00DE4019" w:rsidP="00FA477C">
      <w:pPr>
        <w:pStyle w:val="Bulletsl"/>
        <w:numPr>
          <w:ilvl w:val="0"/>
          <w:numId w:val="0"/>
        </w:numPr>
        <w:spacing w:line="276" w:lineRule="auto"/>
        <w:ind w:left="720"/>
      </w:pPr>
      <w:r w:rsidRPr="00574BDA">
        <w:rPr>
          <w:rFonts w:cs="Tahoma"/>
        </w:rPr>
        <w:t>This has been interpreted to mean that there is a right against compelled “self-incrimination,” or being forced to make statements used at trial to prove guilt.</w:t>
      </w:r>
      <w:r w:rsidR="009C7FF4" w:rsidRPr="00574BDA">
        <w:rPr>
          <w:rFonts w:cs="Tahoma"/>
        </w:rPr>
        <w:t xml:space="preserve"> </w:t>
      </w:r>
    </w:p>
    <w:p w14:paraId="4ACE462C" w14:textId="77777777" w:rsidR="00DE4019" w:rsidRPr="00574BDA" w:rsidRDefault="00DE4019" w:rsidP="00574BDA">
      <w:pPr>
        <w:pStyle w:val="Bulletsl"/>
        <w:spacing w:before="240"/>
        <w:rPr>
          <w:b/>
        </w:rPr>
      </w:pPr>
      <w:r w:rsidRPr="00574BDA">
        <w:rPr>
          <w:b/>
          <w:i/>
          <w:iCs/>
        </w:rPr>
        <w:t>Miranda v. Arizona</w:t>
      </w:r>
      <w:r w:rsidRPr="00574BDA">
        <w:rPr>
          <w:b/>
        </w:rPr>
        <w:t xml:space="preserve"> (1966)</w:t>
      </w:r>
    </w:p>
    <w:p w14:paraId="6666E105" w14:textId="7998E3B9" w:rsidR="00DE4019" w:rsidRPr="00574BDA" w:rsidRDefault="00DE4019" w:rsidP="00574BDA">
      <w:pPr>
        <w:pStyle w:val="Bulletsl"/>
        <w:numPr>
          <w:ilvl w:val="0"/>
          <w:numId w:val="0"/>
        </w:numPr>
        <w:spacing w:line="276" w:lineRule="auto"/>
        <w:ind w:left="720"/>
        <w:rPr>
          <w:color w:val="00B0F0"/>
        </w:rPr>
      </w:pPr>
      <w:r w:rsidRPr="00574BDA">
        <w:t>In 1963, Ernesto Miranda was arrested for kidnapping and rape.</w:t>
      </w:r>
      <w:r w:rsidR="009C7FF4" w:rsidRPr="00574BDA">
        <w:t xml:space="preserve"> </w:t>
      </w:r>
      <w:r w:rsidRPr="00574BDA">
        <w:t>After two hours of questioning by the police, Miranda confessed in writing to the crimes.</w:t>
      </w:r>
      <w:r w:rsidR="009C7FF4" w:rsidRPr="00574BDA">
        <w:t xml:space="preserve"> </w:t>
      </w:r>
      <w:r w:rsidRPr="00574BDA">
        <w:t>Miranda appealed his conviction, arguing that his confession should have been excluded from trial because he did not have an attorney present during his interrogation.</w:t>
      </w:r>
      <w:r w:rsidR="009C7FF4" w:rsidRPr="00574BDA">
        <w:t xml:space="preserve"> </w:t>
      </w:r>
      <w:r w:rsidRPr="00574BDA">
        <w:t>The U.S. Supreme Court ruled for Miranda.</w:t>
      </w:r>
      <w:r w:rsidR="009C7FF4" w:rsidRPr="00574BDA">
        <w:t xml:space="preserve"> </w:t>
      </w:r>
      <w:r w:rsidRPr="00574BDA">
        <w:t>It stated that the Constitution allows individuals to talk with an attorney both before and during police questioning and that these rights must be clearly stated to the accused.</w:t>
      </w:r>
      <w:r w:rsidR="009C7FF4" w:rsidRPr="00574BDA">
        <w:t xml:space="preserve"> </w:t>
      </w:r>
    </w:p>
    <w:p w14:paraId="13D37142" w14:textId="77777777" w:rsidR="00DE4019" w:rsidRPr="00574BDA" w:rsidRDefault="00DE4019" w:rsidP="00DE4019">
      <w:pPr>
        <w:pStyle w:val="Bulletsl"/>
        <w:rPr>
          <w:b/>
        </w:rPr>
      </w:pPr>
      <w:r w:rsidRPr="00574BDA">
        <w:rPr>
          <w:b/>
          <w:i/>
          <w:iCs/>
        </w:rPr>
        <w:t>Duckworth v. Eagan</w:t>
      </w:r>
      <w:r w:rsidRPr="00574BDA">
        <w:rPr>
          <w:b/>
        </w:rPr>
        <w:t xml:space="preserve"> (1989)</w:t>
      </w:r>
    </w:p>
    <w:p w14:paraId="31ACAECB" w14:textId="154FB251" w:rsidR="00DE4019" w:rsidRPr="00574BDA" w:rsidRDefault="00DE4019" w:rsidP="00574BDA">
      <w:pPr>
        <w:pStyle w:val="Bulletsl"/>
        <w:numPr>
          <w:ilvl w:val="0"/>
          <w:numId w:val="0"/>
        </w:numPr>
        <w:spacing w:line="276" w:lineRule="auto"/>
        <w:ind w:left="720"/>
      </w:pPr>
      <w:r w:rsidRPr="00574BDA">
        <w:t>When Jack Duckworth was arrested in 1982, he was told by the police interrogating him that he had the right to a lawyer during questioning and that a free attorney would be appointed for him if he could not pay for a lawyer himself.</w:t>
      </w:r>
      <w:r w:rsidR="009C7FF4" w:rsidRPr="00574BDA">
        <w:t xml:space="preserve"> </w:t>
      </w:r>
      <w:r w:rsidRPr="00574BDA">
        <w:t>The warnings went on to provide that such a lawyer would be appointed “if and when [Duckworth] goes to court.”</w:t>
      </w:r>
      <w:r w:rsidR="009C7FF4" w:rsidRPr="00574BDA">
        <w:t xml:space="preserve"> </w:t>
      </w:r>
      <w:r w:rsidRPr="00574BDA">
        <w:t>Duckworth argued that this wording suggested he did not have a right to appointed counsel during questioning, but only later, at court.</w:t>
      </w:r>
      <w:r w:rsidR="009C7FF4" w:rsidRPr="00574BDA">
        <w:t xml:space="preserve"> </w:t>
      </w:r>
      <w:r w:rsidRPr="00574BDA">
        <w:t>The U.S. Supreme Court approved the warnings, ruling that together, they reasonably conveyed the right to have appointed counsel during questioning.</w:t>
      </w:r>
      <w:r w:rsidR="009C7FF4" w:rsidRPr="00574BDA">
        <w:t xml:space="preserve"> </w:t>
      </w:r>
      <w:r w:rsidRPr="00574BDA">
        <w:t>The Court held that the exact language in the Miranda opinion does not need to be repeated by the police officer, so long as the Miranda rights are reasonably conveyed.</w:t>
      </w:r>
      <w:r w:rsidR="009C7FF4" w:rsidRPr="00574BDA">
        <w:t xml:space="preserve"> </w:t>
      </w:r>
    </w:p>
    <w:p w14:paraId="48F197F8" w14:textId="77777777" w:rsidR="001D0F02" w:rsidRPr="00574BDA" w:rsidRDefault="001D0F02" w:rsidP="0096254D">
      <w:pPr>
        <w:spacing w:after="0"/>
        <w:rPr>
          <w:rFonts w:ascii="Garamond" w:eastAsia="Garamond" w:hAnsi="Garamond" w:cs="Garamond"/>
          <w:sz w:val="24"/>
          <w:szCs w:val="24"/>
        </w:rPr>
        <w:sectPr w:rsidR="001D0F02" w:rsidRPr="00574BDA" w:rsidSect="00987C93">
          <w:pgSz w:w="12240" w:h="15840"/>
          <w:pgMar w:top="1440" w:right="1440" w:bottom="1440" w:left="1440" w:header="720" w:footer="720" w:gutter="0"/>
          <w:cols w:space="720"/>
          <w:titlePg/>
          <w:docGrid w:linePitch="360"/>
        </w:sectPr>
      </w:pPr>
    </w:p>
    <w:p w14:paraId="775FE0E1"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Handout 1</w:t>
      </w:r>
      <w:r>
        <w:rPr>
          <w:rFonts w:ascii="Gill Sans MT" w:hAnsi="Gill Sans MT"/>
          <w:b/>
          <w:sz w:val="44"/>
        </w:rPr>
        <w:t>: Justice/Judge</w:t>
      </w:r>
    </w:p>
    <w:p w14:paraId="34430522" w14:textId="77777777" w:rsidR="001D0F02" w:rsidRPr="000C5526" w:rsidRDefault="001D0F02" w:rsidP="001D0F02">
      <w:pPr>
        <w:spacing w:after="120"/>
        <w:rPr>
          <w:rFonts w:ascii="Gill Sans MT" w:hAnsi="Gill Sans MT"/>
          <w:sz w:val="24"/>
          <w:szCs w:val="24"/>
        </w:rPr>
      </w:pPr>
      <w:r w:rsidRPr="000C5526">
        <w:rPr>
          <w:rFonts w:ascii="Gill Sans MT" w:hAnsi="Gill Sans MT"/>
          <w:sz w:val="24"/>
          <w:szCs w:val="24"/>
        </w:rPr>
        <w:t>Prepare at least five questions to ask each side (petitioner and respondent). The questions should not ask about the accuracy of the facts, but rather how the established facts, constitutional provisions, and precedents support each argument.</w:t>
      </w:r>
    </w:p>
    <w:p w14:paraId="0A28CAB0" w14:textId="77777777" w:rsidR="001D0F02" w:rsidRPr="000C5526" w:rsidRDefault="001D0F02" w:rsidP="001D0F02">
      <w:pPr>
        <w:spacing w:after="240"/>
        <w:rPr>
          <w:rFonts w:ascii="Gill Sans MT" w:hAnsi="Gill Sans MT"/>
          <w:sz w:val="24"/>
          <w:szCs w:val="24"/>
        </w:rPr>
      </w:pPr>
      <w:r w:rsidRPr="000C5526">
        <w:rPr>
          <w:rFonts w:ascii="Gill Sans MT" w:hAnsi="Gill Sans MT"/>
          <w:sz w:val="24"/>
          <w:szCs w:val="24"/>
        </w:rPr>
        <w:t xml:space="preserve">Call the case to order by saying, “We will hear arguments today in (case name).” After hearing arguments from both the petitioner and the respondent, decide whether you think the decision of the lower court should be upheld or overturned. Be prepared to share the reasoning behind your decision. </w:t>
      </w:r>
    </w:p>
    <w:tbl>
      <w:tblPr>
        <w:tblStyle w:val="TableGrid"/>
        <w:tblW w:w="0" w:type="auto"/>
        <w:tblLook w:val="04A0" w:firstRow="1" w:lastRow="0" w:firstColumn="1" w:lastColumn="0" w:noHBand="0" w:noVBand="1"/>
      </w:tblPr>
      <w:tblGrid>
        <w:gridCol w:w="1824"/>
        <w:gridCol w:w="7526"/>
      </w:tblGrid>
      <w:tr w:rsidR="001D0F02" w14:paraId="58A9A7D5" w14:textId="77777777" w:rsidTr="00EE348E">
        <w:tc>
          <w:tcPr>
            <w:tcW w:w="1824" w:type="dxa"/>
          </w:tcPr>
          <w:p w14:paraId="59F4738A"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7526" w:type="dxa"/>
          </w:tcPr>
          <w:p w14:paraId="1201586A" w14:textId="77777777" w:rsidR="001D0F02" w:rsidRDefault="001D0F02" w:rsidP="00EE348E">
            <w:pPr>
              <w:spacing w:after="120"/>
              <w:rPr>
                <w:rFonts w:ascii="Gill Sans MT" w:hAnsi="Gill Sans MT"/>
                <w:sz w:val="24"/>
                <w:szCs w:val="24"/>
              </w:rPr>
            </w:pPr>
          </w:p>
        </w:tc>
      </w:tr>
      <w:tr w:rsidR="001D0F02" w14:paraId="50F5F7A0" w14:textId="77777777" w:rsidTr="00EE348E">
        <w:tc>
          <w:tcPr>
            <w:tcW w:w="1824" w:type="dxa"/>
          </w:tcPr>
          <w:p w14:paraId="7F988199"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Constitutional question(s):</w:t>
            </w:r>
          </w:p>
        </w:tc>
        <w:tc>
          <w:tcPr>
            <w:tcW w:w="7526" w:type="dxa"/>
          </w:tcPr>
          <w:p w14:paraId="18B0C804" w14:textId="77777777" w:rsidR="001D0F02" w:rsidRDefault="001D0F02" w:rsidP="00EE348E">
            <w:pPr>
              <w:spacing w:after="960"/>
              <w:rPr>
                <w:rFonts w:ascii="Gill Sans MT" w:hAnsi="Gill Sans MT"/>
                <w:sz w:val="24"/>
                <w:szCs w:val="24"/>
              </w:rPr>
            </w:pPr>
          </w:p>
        </w:tc>
      </w:tr>
      <w:tr w:rsidR="001D0F02" w14:paraId="623E75CE" w14:textId="77777777" w:rsidTr="00EE348E">
        <w:tc>
          <w:tcPr>
            <w:tcW w:w="9350" w:type="dxa"/>
            <w:gridSpan w:val="2"/>
          </w:tcPr>
          <w:p w14:paraId="07299B7B" w14:textId="77777777" w:rsidR="001D0F02" w:rsidRDefault="001D0F02" w:rsidP="00EE348E">
            <w:pPr>
              <w:spacing w:before="120" w:after="120"/>
              <w:rPr>
                <w:rFonts w:ascii="Gill Sans MT" w:hAnsi="Gill Sans MT"/>
                <w:sz w:val="24"/>
                <w:szCs w:val="24"/>
              </w:rPr>
            </w:pPr>
            <w:r>
              <w:rPr>
                <w:rFonts w:ascii="Gill Sans MT" w:hAnsi="Gill Sans MT"/>
                <w:b/>
                <w:sz w:val="24"/>
                <w:szCs w:val="24"/>
              </w:rPr>
              <w:t>Questions</w:t>
            </w:r>
            <w:r w:rsidRPr="00CC5CDB">
              <w:rPr>
                <w:rFonts w:ascii="Gill Sans MT" w:hAnsi="Gill Sans MT"/>
                <w:b/>
                <w:sz w:val="24"/>
                <w:szCs w:val="24"/>
              </w:rPr>
              <w:t xml:space="preserve"> for petitioner:</w:t>
            </w:r>
          </w:p>
        </w:tc>
      </w:tr>
      <w:tr w:rsidR="001D0F02" w14:paraId="020B504A" w14:textId="77777777" w:rsidTr="00EE348E">
        <w:tc>
          <w:tcPr>
            <w:tcW w:w="9350" w:type="dxa"/>
            <w:gridSpan w:val="2"/>
          </w:tcPr>
          <w:p w14:paraId="113A3B8D" w14:textId="77777777" w:rsidR="001D0F02" w:rsidRDefault="001D0F02" w:rsidP="00EE348E">
            <w:pPr>
              <w:spacing w:after="4440"/>
              <w:rPr>
                <w:rFonts w:ascii="Gill Sans MT" w:hAnsi="Gill Sans MT"/>
                <w:sz w:val="24"/>
                <w:szCs w:val="24"/>
              </w:rPr>
            </w:pPr>
          </w:p>
        </w:tc>
      </w:tr>
      <w:tr w:rsidR="001D0F02" w14:paraId="216A590E" w14:textId="77777777" w:rsidTr="00EE348E">
        <w:tc>
          <w:tcPr>
            <w:tcW w:w="9350" w:type="dxa"/>
            <w:gridSpan w:val="2"/>
          </w:tcPr>
          <w:p w14:paraId="0713E5FA" w14:textId="77777777" w:rsidR="001D0F02" w:rsidRDefault="001D0F02" w:rsidP="00EE348E">
            <w:pPr>
              <w:spacing w:before="120" w:after="120"/>
              <w:rPr>
                <w:rFonts w:ascii="Gill Sans MT" w:hAnsi="Gill Sans MT"/>
                <w:sz w:val="24"/>
                <w:szCs w:val="24"/>
              </w:rPr>
            </w:pPr>
            <w:r>
              <w:rPr>
                <w:rFonts w:ascii="Gill Sans MT" w:hAnsi="Gill Sans MT"/>
                <w:b/>
                <w:sz w:val="24"/>
                <w:szCs w:val="24"/>
              </w:rPr>
              <w:t>Questions for respondent:</w:t>
            </w:r>
          </w:p>
        </w:tc>
      </w:tr>
      <w:tr w:rsidR="001D0F02" w14:paraId="48A30B26" w14:textId="77777777" w:rsidTr="00EE348E">
        <w:tc>
          <w:tcPr>
            <w:tcW w:w="9350" w:type="dxa"/>
            <w:gridSpan w:val="2"/>
          </w:tcPr>
          <w:p w14:paraId="07E71F29" w14:textId="77777777" w:rsidR="001D0F02" w:rsidRDefault="001D0F02" w:rsidP="00EE348E">
            <w:pPr>
              <w:spacing w:before="120" w:after="1560"/>
              <w:rPr>
                <w:rFonts w:ascii="Gill Sans MT" w:hAnsi="Gill Sans MT"/>
                <w:b/>
                <w:sz w:val="24"/>
                <w:szCs w:val="24"/>
              </w:rPr>
            </w:pPr>
          </w:p>
        </w:tc>
      </w:tr>
      <w:tr w:rsidR="001D0F02" w14:paraId="4D6EA019" w14:textId="77777777" w:rsidTr="00EE348E">
        <w:trPr>
          <w:trHeight w:val="350"/>
        </w:trPr>
        <w:tc>
          <w:tcPr>
            <w:tcW w:w="9350" w:type="dxa"/>
            <w:gridSpan w:val="2"/>
          </w:tcPr>
          <w:p w14:paraId="31EF892F" w14:textId="77777777" w:rsidR="001D0F02" w:rsidRDefault="001D0F02" w:rsidP="00EE348E">
            <w:pPr>
              <w:spacing w:before="120" w:after="3120"/>
              <w:rPr>
                <w:rFonts w:ascii="Gill Sans MT" w:hAnsi="Gill Sans MT"/>
                <w:b/>
                <w:sz w:val="24"/>
                <w:szCs w:val="24"/>
              </w:rPr>
            </w:pPr>
            <w:r w:rsidRPr="00CC5CDB">
              <w:rPr>
                <w:rFonts w:ascii="Gill Sans MT" w:hAnsi="Gill Sans MT"/>
                <w:b/>
                <w:color w:val="D9D9D9" w:themeColor="background1" w:themeShade="D9"/>
                <w:sz w:val="24"/>
                <w:szCs w:val="24"/>
              </w:rPr>
              <w:lastRenderedPageBreak/>
              <w:t>Questions for respondent (cont.):</w:t>
            </w:r>
          </w:p>
        </w:tc>
      </w:tr>
      <w:tr w:rsidR="001D0F02" w14:paraId="3EB787ED" w14:textId="77777777" w:rsidTr="00EE348E">
        <w:trPr>
          <w:trHeight w:val="350"/>
        </w:trPr>
        <w:tc>
          <w:tcPr>
            <w:tcW w:w="9350" w:type="dxa"/>
            <w:gridSpan w:val="2"/>
          </w:tcPr>
          <w:p w14:paraId="2800B8A0" w14:textId="77777777" w:rsidR="001D0F02" w:rsidRDefault="001D0F02" w:rsidP="00EE348E">
            <w:pPr>
              <w:spacing w:before="120" w:after="120"/>
              <w:rPr>
                <w:rFonts w:ascii="Gill Sans MT" w:hAnsi="Gill Sans MT"/>
                <w:sz w:val="24"/>
                <w:szCs w:val="24"/>
              </w:rPr>
            </w:pPr>
            <w:r>
              <w:rPr>
                <w:rFonts w:ascii="Gill Sans MT" w:hAnsi="Gill Sans MT"/>
                <w:b/>
                <w:sz w:val="24"/>
                <w:szCs w:val="24"/>
              </w:rPr>
              <w:t>Notes on the petitioner’s argument:</w:t>
            </w:r>
          </w:p>
        </w:tc>
      </w:tr>
      <w:tr w:rsidR="001D0F02" w14:paraId="1BFBF767" w14:textId="77777777" w:rsidTr="00EE348E">
        <w:tc>
          <w:tcPr>
            <w:tcW w:w="9350" w:type="dxa"/>
            <w:gridSpan w:val="2"/>
          </w:tcPr>
          <w:p w14:paraId="21E6529C" w14:textId="77777777" w:rsidR="001D0F02" w:rsidRDefault="001D0F02" w:rsidP="00EE348E">
            <w:pPr>
              <w:spacing w:after="5000"/>
              <w:rPr>
                <w:rFonts w:ascii="Gill Sans MT" w:hAnsi="Gill Sans MT"/>
                <w:sz w:val="24"/>
                <w:szCs w:val="24"/>
              </w:rPr>
            </w:pPr>
          </w:p>
        </w:tc>
      </w:tr>
      <w:tr w:rsidR="001D0F02" w14:paraId="68A36BDC" w14:textId="77777777" w:rsidTr="00EE348E">
        <w:tc>
          <w:tcPr>
            <w:tcW w:w="9350" w:type="dxa"/>
            <w:gridSpan w:val="2"/>
          </w:tcPr>
          <w:p w14:paraId="2C4EDDE5" w14:textId="77777777" w:rsidR="001D0F02" w:rsidRDefault="001D0F02" w:rsidP="00EE348E">
            <w:pPr>
              <w:spacing w:before="120" w:after="120"/>
              <w:rPr>
                <w:rFonts w:ascii="Gill Sans MT" w:hAnsi="Gill Sans MT"/>
                <w:sz w:val="24"/>
                <w:szCs w:val="24"/>
              </w:rPr>
            </w:pPr>
            <w:r>
              <w:rPr>
                <w:rFonts w:ascii="Gill Sans MT" w:hAnsi="Gill Sans MT"/>
                <w:b/>
                <w:sz w:val="24"/>
                <w:szCs w:val="24"/>
              </w:rPr>
              <w:t>Notes on the respondent’s argument:</w:t>
            </w:r>
          </w:p>
        </w:tc>
      </w:tr>
      <w:tr w:rsidR="001D0F02" w14:paraId="70D17912" w14:textId="77777777" w:rsidTr="00EE348E">
        <w:tc>
          <w:tcPr>
            <w:tcW w:w="9350" w:type="dxa"/>
            <w:gridSpan w:val="2"/>
          </w:tcPr>
          <w:p w14:paraId="606DD6AC" w14:textId="77777777" w:rsidR="001D0F02" w:rsidRDefault="001D0F02" w:rsidP="00EE348E">
            <w:pPr>
              <w:spacing w:before="120" w:after="2280"/>
              <w:rPr>
                <w:rFonts w:ascii="Gill Sans MT" w:hAnsi="Gill Sans MT"/>
                <w:sz w:val="24"/>
                <w:szCs w:val="24"/>
              </w:rPr>
            </w:pPr>
          </w:p>
        </w:tc>
      </w:tr>
    </w:tbl>
    <w:p w14:paraId="2F1E99A8" w14:textId="77777777" w:rsidR="001D0F02" w:rsidRDefault="001D0F02" w:rsidP="001D0F02">
      <w:pPr>
        <w:spacing w:line="360" w:lineRule="auto"/>
        <w:jc w:val="both"/>
        <w:rPr>
          <w:rFonts w:ascii="Gill Sans MT" w:hAnsi="Gill Sans MT"/>
          <w:sz w:val="24"/>
          <w:szCs w:val="24"/>
        </w:rPr>
        <w:sectPr w:rsidR="001D0F02" w:rsidSect="000C5526">
          <w:headerReference w:type="default"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tbl>
      <w:tblPr>
        <w:tblStyle w:val="TableGrid"/>
        <w:tblW w:w="0" w:type="auto"/>
        <w:tblLook w:val="04A0" w:firstRow="1" w:lastRow="0" w:firstColumn="1" w:lastColumn="0" w:noHBand="0" w:noVBand="1"/>
      </w:tblPr>
      <w:tblGrid>
        <w:gridCol w:w="9350"/>
      </w:tblGrid>
      <w:tr w:rsidR="001D0F02" w14:paraId="57CCA37A" w14:textId="77777777" w:rsidTr="00EE348E">
        <w:trPr>
          <w:trHeight w:val="350"/>
        </w:trPr>
        <w:tc>
          <w:tcPr>
            <w:tcW w:w="9350" w:type="dxa"/>
          </w:tcPr>
          <w:p w14:paraId="43F98E15" w14:textId="77777777" w:rsidR="001D0F02" w:rsidRDefault="001D0F02" w:rsidP="00EE348E">
            <w:pPr>
              <w:spacing w:before="120" w:after="2760"/>
              <w:rPr>
                <w:rFonts w:ascii="Gill Sans MT" w:hAnsi="Gill Sans MT"/>
                <w:b/>
                <w:sz w:val="24"/>
                <w:szCs w:val="24"/>
              </w:rPr>
            </w:pPr>
            <w:r>
              <w:rPr>
                <w:rFonts w:ascii="Gill Sans MT" w:hAnsi="Gill Sans MT"/>
                <w:b/>
                <w:color w:val="D9D9D9" w:themeColor="background1" w:themeShade="D9"/>
                <w:sz w:val="24"/>
                <w:szCs w:val="24"/>
              </w:rPr>
              <w:lastRenderedPageBreak/>
              <w:t xml:space="preserve">Notes on </w:t>
            </w:r>
            <w:r w:rsidRPr="00CC5CDB">
              <w:rPr>
                <w:rFonts w:ascii="Gill Sans MT" w:hAnsi="Gill Sans MT"/>
                <w:b/>
                <w:color w:val="D9D9D9" w:themeColor="background1" w:themeShade="D9"/>
                <w:sz w:val="24"/>
                <w:szCs w:val="24"/>
              </w:rPr>
              <w:t>respondent</w:t>
            </w:r>
            <w:r>
              <w:rPr>
                <w:rFonts w:ascii="Gill Sans MT" w:hAnsi="Gill Sans MT"/>
                <w:b/>
                <w:color w:val="D9D9D9" w:themeColor="background1" w:themeShade="D9"/>
                <w:sz w:val="24"/>
                <w:szCs w:val="24"/>
              </w:rPr>
              <w:t>’s argument</w:t>
            </w:r>
            <w:r w:rsidRPr="00CC5CDB">
              <w:rPr>
                <w:rFonts w:ascii="Gill Sans MT" w:hAnsi="Gill Sans MT"/>
                <w:b/>
                <w:color w:val="D9D9D9" w:themeColor="background1" w:themeShade="D9"/>
                <w:sz w:val="24"/>
                <w:szCs w:val="24"/>
              </w:rPr>
              <w:t xml:space="preserve"> (cont.):</w:t>
            </w:r>
          </w:p>
        </w:tc>
      </w:tr>
      <w:tr w:rsidR="001D0F02" w14:paraId="39C6D9A6" w14:textId="77777777" w:rsidTr="00EE348E">
        <w:trPr>
          <w:trHeight w:val="350"/>
        </w:trPr>
        <w:tc>
          <w:tcPr>
            <w:tcW w:w="9350" w:type="dxa"/>
          </w:tcPr>
          <w:p w14:paraId="60A87614" w14:textId="77777777" w:rsidR="001D0F02" w:rsidRDefault="001D0F02" w:rsidP="00EE348E">
            <w:pPr>
              <w:spacing w:before="120" w:after="120"/>
              <w:rPr>
                <w:rFonts w:ascii="Gill Sans MT" w:hAnsi="Gill Sans MT"/>
                <w:sz w:val="24"/>
                <w:szCs w:val="24"/>
              </w:rPr>
            </w:pPr>
            <w:r>
              <w:rPr>
                <w:rFonts w:ascii="Gill Sans MT" w:hAnsi="Gill Sans MT"/>
                <w:b/>
                <w:sz w:val="24"/>
                <w:szCs w:val="24"/>
              </w:rPr>
              <w:t>Decision:</w:t>
            </w:r>
          </w:p>
        </w:tc>
      </w:tr>
      <w:tr w:rsidR="001D0F02" w14:paraId="20FAEFAC" w14:textId="77777777" w:rsidTr="00EE348E">
        <w:tc>
          <w:tcPr>
            <w:tcW w:w="9350" w:type="dxa"/>
          </w:tcPr>
          <w:p w14:paraId="1C987CDD" w14:textId="77777777" w:rsidR="001D0F02" w:rsidRDefault="001D0F02" w:rsidP="00EE348E">
            <w:pPr>
              <w:spacing w:after="1200"/>
              <w:rPr>
                <w:rFonts w:ascii="Gill Sans MT" w:hAnsi="Gill Sans MT"/>
                <w:sz w:val="24"/>
                <w:szCs w:val="24"/>
              </w:rPr>
            </w:pPr>
          </w:p>
        </w:tc>
      </w:tr>
      <w:tr w:rsidR="001D0F02" w14:paraId="27BF7DD9" w14:textId="77777777" w:rsidTr="00EE348E">
        <w:tc>
          <w:tcPr>
            <w:tcW w:w="9350" w:type="dxa"/>
          </w:tcPr>
          <w:p w14:paraId="55C9549A"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Reasons for decision (opinion):</w:t>
            </w:r>
          </w:p>
        </w:tc>
      </w:tr>
      <w:tr w:rsidR="001D0F02" w14:paraId="0E65E117" w14:textId="77777777" w:rsidTr="00EE348E">
        <w:tc>
          <w:tcPr>
            <w:tcW w:w="9350" w:type="dxa"/>
          </w:tcPr>
          <w:p w14:paraId="784BC8DE" w14:textId="77777777" w:rsidR="001D0F02" w:rsidRDefault="001D0F02" w:rsidP="00EE348E">
            <w:pPr>
              <w:spacing w:before="120" w:after="5640"/>
              <w:rPr>
                <w:rFonts w:ascii="Gill Sans MT" w:hAnsi="Gill Sans MT"/>
                <w:sz w:val="24"/>
                <w:szCs w:val="24"/>
              </w:rPr>
            </w:pPr>
            <w:r w:rsidRPr="00CC5CDB">
              <w:rPr>
                <w:rFonts w:ascii="Gill Sans MT" w:hAnsi="Gill Sans MT"/>
                <w:color w:val="808080" w:themeColor="background1" w:themeShade="80"/>
                <w:sz w:val="24"/>
                <w:szCs w:val="24"/>
              </w:rPr>
              <w:t>Consider the strengths of the arguments and how precedents should be applied. Be sure to consider the impact of your decision on other situations that may arise in the future. If there is a precedent that is directly on point (very similar to your case) and you decide NOT to follow that precedent, be prepared to explain why you are overturning an established precedent (this should only happen on rare occasions and for extremely compelling reasons).</w:t>
            </w:r>
          </w:p>
        </w:tc>
      </w:tr>
    </w:tbl>
    <w:p w14:paraId="7578ED51" w14:textId="77777777" w:rsidR="001D0F02" w:rsidRDefault="001D0F02" w:rsidP="001D0F02">
      <w:pPr>
        <w:spacing w:line="360" w:lineRule="auto"/>
        <w:jc w:val="both"/>
        <w:rPr>
          <w:rFonts w:ascii="Gill Sans MT" w:hAnsi="Gill Sans MT"/>
          <w:sz w:val="24"/>
          <w:szCs w:val="24"/>
        </w:rPr>
        <w:sectPr w:rsidR="001D0F02" w:rsidSect="00CC5CDB">
          <w:footerReference w:type="default" r:id="rId17"/>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3B3544F2"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 xml:space="preserve">Handout </w:t>
      </w:r>
      <w:r>
        <w:rPr>
          <w:rFonts w:ascii="Gill Sans MT" w:hAnsi="Gill Sans MT"/>
          <w:b/>
          <w:sz w:val="44"/>
        </w:rPr>
        <w:t>2</w:t>
      </w:r>
      <w:r w:rsidRPr="00CC5CDB">
        <w:rPr>
          <w:rFonts w:ascii="Gill Sans MT" w:hAnsi="Gill Sans MT"/>
          <w:b/>
          <w:sz w:val="44"/>
        </w:rPr>
        <w:t xml:space="preserve">: Petitioner </w:t>
      </w:r>
    </w:p>
    <w:p w14:paraId="05A2CFF5" w14:textId="77777777" w:rsidR="001D0F02" w:rsidRDefault="001D0F02" w:rsidP="001D0F02">
      <w:pPr>
        <w:spacing w:after="120"/>
        <w:rPr>
          <w:rFonts w:ascii="Gill Sans MT" w:hAnsi="Gill Sans MT"/>
          <w:sz w:val="24"/>
          <w:szCs w:val="24"/>
        </w:rPr>
      </w:pPr>
      <w:r w:rsidRPr="00CC5CDB">
        <w:rPr>
          <w:rFonts w:ascii="Gill Sans MT" w:hAnsi="Gill Sans MT"/>
          <w:sz w:val="24"/>
          <w:szCs w:val="24"/>
        </w:rPr>
        <w:t>Outline an argument for the petitioner using the established facts, constitutional provisions, and precedents. Predict what questions the justice/judge will ask. Take notes on the respondent’s argument to help prepare your rebuttal.</w:t>
      </w:r>
    </w:p>
    <w:p w14:paraId="5210ADE3" w14:textId="77777777" w:rsidR="001D0F02" w:rsidRPr="00CC5CDB" w:rsidRDefault="001D0F02" w:rsidP="001D0F02">
      <w:pPr>
        <w:spacing w:after="120"/>
        <w:rPr>
          <w:rFonts w:ascii="Gill Sans MT" w:hAnsi="Gill Sans MT"/>
          <w:sz w:val="24"/>
          <w:szCs w:val="24"/>
        </w:rPr>
      </w:pPr>
      <w:r w:rsidRPr="00CC5CDB">
        <w:rPr>
          <w:rFonts w:ascii="Gill Sans MT" w:hAnsi="Gill Sans MT"/>
          <w:sz w:val="24"/>
          <w:szCs w:val="24"/>
        </w:rPr>
        <w:t xml:space="preserve">In preparing your arguments, you should think about the following questions: </w:t>
      </w:r>
    </w:p>
    <w:p w14:paraId="64EBCD08" w14:textId="77777777" w:rsidR="001D0F02" w:rsidRPr="00CC5CDB" w:rsidRDefault="001D0F02" w:rsidP="001D0F02">
      <w:pPr>
        <w:pStyle w:val="ListParagraph"/>
        <w:numPr>
          <w:ilvl w:val="2"/>
          <w:numId w:val="29"/>
        </w:numPr>
        <w:spacing w:after="120" w:line="276" w:lineRule="auto"/>
        <w:ind w:left="720" w:hanging="360"/>
        <w:rPr>
          <w:rFonts w:ascii="Gill Sans MT" w:hAnsi="Gill Sans MT"/>
          <w:sz w:val="24"/>
          <w:szCs w:val="24"/>
        </w:rPr>
      </w:pPr>
      <w:r w:rsidRPr="00CC5CDB">
        <w:rPr>
          <w:rFonts w:ascii="Gill Sans MT" w:hAnsi="Gill Sans MT"/>
          <w:sz w:val="24"/>
          <w:szCs w:val="24"/>
        </w:rPr>
        <w:t>Why is the decision of the lower court wrong?</w:t>
      </w:r>
    </w:p>
    <w:p w14:paraId="45259781"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decision do you want? </w:t>
      </w:r>
    </w:p>
    <w:p w14:paraId="4E320368"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legal and policy arguments in favor of and against each side? (Anticipating the opposition can strengthen your argument.) </w:t>
      </w:r>
    </w:p>
    <w:p w14:paraId="6FB99AEC"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Which arguments are the most persuasive? Why? </w:t>
      </w:r>
    </w:p>
    <w:p w14:paraId="3E795063"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precedents and how do they influence this case? </w:t>
      </w:r>
    </w:p>
    <w:p w14:paraId="4F0DBB28" w14:textId="77777777" w:rsidR="001D0F02" w:rsidRPr="00CC5CDB" w:rsidRDefault="001D0F02" w:rsidP="001D0F02">
      <w:pPr>
        <w:pStyle w:val="ListParagraph"/>
        <w:numPr>
          <w:ilvl w:val="2"/>
          <w:numId w:val="29"/>
        </w:numPr>
        <w:spacing w:after="240" w:line="276" w:lineRule="auto"/>
        <w:ind w:left="720" w:hanging="360"/>
        <w:rPr>
          <w:rFonts w:ascii="Gill Sans MT" w:hAnsi="Gill Sans MT"/>
          <w:sz w:val="24"/>
          <w:szCs w:val="24"/>
        </w:rPr>
      </w:pPr>
      <w:r w:rsidRPr="00CC5CDB">
        <w:rPr>
          <w:rFonts w:ascii="Gill Sans MT" w:hAnsi="Gill Sans MT"/>
          <w:sz w:val="24"/>
          <w:szCs w:val="24"/>
        </w:rPr>
        <w:t xml:space="preserve">What might be the consequences of each possible decision? </w:t>
      </w:r>
    </w:p>
    <w:tbl>
      <w:tblPr>
        <w:tblStyle w:val="TableGrid"/>
        <w:tblW w:w="0" w:type="auto"/>
        <w:tblLook w:val="04A0" w:firstRow="1" w:lastRow="0" w:firstColumn="1" w:lastColumn="0" w:noHBand="0" w:noVBand="1"/>
      </w:tblPr>
      <w:tblGrid>
        <w:gridCol w:w="2875"/>
        <w:gridCol w:w="6475"/>
      </w:tblGrid>
      <w:tr w:rsidR="001D0F02" w14:paraId="11997E0E" w14:textId="77777777" w:rsidTr="00EE348E">
        <w:tc>
          <w:tcPr>
            <w:tcW w:w="2875" w:type="dxa"/>
          </w:tcPr>
          <w:p w14:paraId="5CD1DB86"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6475" w:type="dxa"/>
          </w:tcPr>
          <w:p w14:paraId="79DF9664" w14:textId="77777777" w:rsidR="001D0F02" w:rsidRDefault="001D0F02" w:rsidP="00EE348E">
            <w:pPr>
              <w:spacing w:after="120"/>
              <w:rPr>
                <w:rFonts w:ascii="Gill Sans MT" w:hAnsi="Gill Sans MT"/>
                <w:sz w:val="24"/>
                <w:szCs w:val="24"/>
              </w:rPr>
            </w:pPr>
          </w:p>
        </w:tc>
      </w:tr>
      <w:tr w:rsidR="001D0F02" w14:paraId="6B8E6D91" w14:textId="77777777" w:rsidTr="00EE348E">
        <w:tc>
          <w:tcPr>
            <w:tcW w:w="2875" w:type="dxa"/>
          </w:tcPr>
          <w:p w14:paraId="48859F26"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Petitioner:</w:t>
            </w:r>
          </w:p>
        </w:tc>
        <w:tc>
          <w:tcPr>
            <w:tcW w:w="6475" w:type="dxa"/>
          </w:tcPr>
          <w:p w14:paraId="49375A42" w14:textId="77777777" w:rsidR="001D0F02" w:rsidRDefault="001D0F02" w:rsidP="00EE348E">
            <w:pPr>
              <w:spacing w:after="120"/>
              <w:rPr>
                <w:rFonts w:ascii="Gill Sans MT" w:hAnsi="Gill Sans MT"/>
                <w:sz w:val="24"/>
                <w:szCs w:val="24"/>
              </w:rPr>
            </w:pPr>
          </w:p>
        </w:tc>
      </w:tr>
      <w:tr w:rsidR="001D0F02" w14:paraId="06E63C41" w14:textId="77777777" w:rsidTr="00EE348E">
        <w:tc>
          <w:tcPr>
            <w:tcW w:w="9350" w:type="dxa"/>
            <w:gridSpan w:val="2"/>
          </w:tcPr>
          <w:p w14:paraId="520E3A7A"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Constitutional question(s):</w:t>
            </w:r>
          </w:p>
        </w:tc>
      </w:tr>
      <w:tr w:rsidR="001D0F02" w14:paraId="72617241" w14:textId="77777777" w:rsidTr="00EE348E">
        <w:tc>
          <w:tcPr>
            <w:tcW w:w="9350" w:type="dxa"/>
            <w:gridSpan w:val="2"/>
          </w:tcPr>
          <w:p w14:paraId="49A24C99" w14:textId="77777777" w:rsidR="001D0F02" w:rsidRDefault="001D0F02" w:rsidP="00EE348E">
            <w:pPr>
              <w:spacing w:after="1200"/>
              <w:rPr>
                <w:rFonts w:ascii="Gill Sans MT" w:hAnsi="Gill Sans MT"/>
                <w:sz w:val="24"/>
                <w:szCs w:val="24"/>
              </w:rPr>
            </w:pPr>
          </w:p>
        </w:tc>
      </w:tr>
      <w:tr w:rsidR="001D0F02" w14:paraId="1EBC3F06" w14:textId="77777777" w:rsidTr="00EE348E">
        <w:tc>
          <w:tcPr>
            <w:tcW w:w="9350" w:type="dxa"/>
            <w:gridSpan w:val="2"/>
          </w:tcPr>
          <w:p w14:paraId="1F691E4D"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Precedents that support your argument:</w:t>
            </w:r>
            <w:r>
              <w:rPr>
                <w:rFonts w:ascii="Gill Sans MT" w:hAnsi="Gill Sans MT"/>
                <w:sz w:val="24"/>
                <w:szCs w:val="24"/>
              </w:rPr>
              <w:t xml:space="preserve"> </w:t>
            </w:r>
          </w:p>
        </w:tc>
      </w:tr>
      <w:tr w:rsidR="001D0F02" w14:paraId="14BD80EF" w14:textId="77777777" w:rsidTr="00EE348E">
        <w:tc>
          <w:tcPr>
            <w:tcW w:w="9350" w:type="dxa"/>
            <w:gridSpan w:val="2"/>
          </w:tcPr>
          <w:p w14:paraId="36CA94DC" w14:textId="77777777" w:rsidR="001D0F02" w:rsidRDefault="001D0F02" w:rsidP="00EE348E">
            <w:pPr>
              <w:spacing w:after="3840"/>
              <w:rPr>
                <w:rFonts w:ascii="Gill Sans MT" w:hAnsi="Gill Sans MT"/>
                <w:sz w:val="24"/>
                <w:szCs w:val="24"/>
              </w:rPr>
            </w:pPr>
          </w:p>
        </w:tc>
      </w:tr>
    </w:tbl>
    <w:p w14:paraId="45080F77" w14:textId="77777777" w:rsidR="001D0F02" w:rsidRDefault="001D0F02" w:rsidP="001D0F02">
      <w:pPr>
        <w:spacing w:after="120"/>
        <w:rPr>
          <w:rFonts w:ascii="Gill Sans MT" w:hAnsi="Gill Sans MT"/>
          <w:sz w:val="24"/>
          <w:szCs w:val="24"/>
        </w:rPr>
      </w:pPr>
    </w:p>
    <w:p w14:paraId="61461C60" w14:textId="77777777" w:rsidR="001D0F02" w:rsidRDefault="001D0F02" w:rsidP="001D0F02">
      <w:pPr>
        <w:sectPr w:rsidR="001D0F02" w:rsidSect="00CC5CDB">
          <w:footerReference w:type="default" r:id="rId18"/>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05932752" w14:textId="77777777" w:rsidTr="00EE348E">
        <w:tc>
          <w:tcPr>
            <w:tcW w:w="9350" w:type="dxa"/>
          </w:tcPr>
          <w:p w14:paraId="59BB680A" w14:textId="77777777" w:rsidR="001D0F02" w:rsidRDefault="001D0F02" w:rsidP="00EE348E">
            <w:pPr>
              <w:spacing w:before="120" w:after="120"/>
            </w:pPr>
            <w:r w:rsidRPr="00CC5CDB">
              <w:rPr>
                <w:rFonts w:ascii="Gill Sans MT" w:hAnsi="Gill Sans MT"/>
                <w:b/>
                <w:sz w:val="24"/>
                <w:szCs w:val="24"/>
              </w:rPr>
              <w:lastRenderedPageBreak/>
              <w:t>Argument for petitioner:</w:t>
            </w:r>
          </w:p>
        </w:tc>
      </w:tr>
      <w:tr w:rsidR="001D0F02" w14:paraId="45CB6D59" w14:textId="77777777" w:rsidTr="00EE348E">
        <w:tc>
          <w:tcPr>
            <w:tcW w:w="9350" w:type="dxa"/>
          </w:tcPr>
          <w:p w14:paraId="7958268A" w14:textId="77777777" w:rsidR="001D0F02" w:rsidRDefault="001D0F02" w:rsidP="00EE348E">
            <w:pPr>
              <w:spacing w:after="7080"/>
            </w:pPr>
          </w:p>
        </w:tc>
      </w:tr>
      <w:tr w:rsidR="001D0F02" w14:paraId="288ED023" w14:textId="77777777" w:rsidTr="00EE348E">
        <w:tc>
          <w:tcPr>
            <w:tcW w:w="9350" w:type="dxa"/>
          </w:tcPr>
          <w:p w14:paraId="282EDADB" w14:textId="77777777" w:rsidR="001D0F02" w:rsidRDefault="001D0F02" w:rsidP="00EE348E">
            <w:pPr>
              <w:spacing w:before="120" w:after="120"/>
            </w:pPr>
            <w:r w:rsidRPr="00CC5CDB">
              <w:rPr>
                <w:rFonts w:ascii="Gill Sans MT" w:hAnsi="Gill Sans MT"/>
                <w:b/>
                <w:sz w:val="24"/>
                <w:szCs w:val="24"/>
              </w:rPr>
              <w:t>Possible questions from justice:</w:t>
            </w:r>
          </w:p>
        </w:tc>
      </w:tr>
      <w:tr w:rsidR="001D0F02" w14:paraId="15DF7951" w14:textId="77777777" w:rsidTr="00EE348E">
        <w:tc>
          <w:tcPr>
            <w:tcW w:w="9350" w:type="dxa"/>
          </w:tcPr>
          <w:p w14:paraId="09D39A9F" w14:textId="77777777" w:rsidR="001D0F02" w:rsidRDefault="001D0F02" w:rsidP="00EE348E">
            <w:pPr>
              <w:spacing w:after="3960"/>
            </w:pPr>
          </w:p>
        </w:tc>
      </w:tr>
    </w:tbl>
    <w:p w14:paraId="393DCAB4" w14:textId="77777777" w:rsidR="001D0F02" w:rsidRDefault="001D0F02" w:rsidP="001D0F02"/>
    <w:p w14:paraId="129630AA" w14:textId="77777777" w:rsidR="001D0F02" w:rsidRDefault="001D0F02" w:rsidP="001D0F02">
      <w:pPr>
        <w:sectPr w:rsidR="001D0F02" w:rsidSect="00CC5CDB">
          <w:footerReference w:type="default" r:id="rId19"/>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6A4EABDE" w14:textId="77777777" w:rsidTr="00EE348E">
        <w:tc>
          <w:tcPr>
            <w:tcW w:w="9350" w:type="dxa"/>
          </w:tcPr>
          <w:p w14:paraId="26D591FF" w14:textId="77777777" w:rsidR="001D0F02" w:rsidRDefault="001D0F02" w:rsidP="00EE348E">
            <w:pPr>
              <w:spacing w:before="120" w:after="120"/>
            </w:pPr>
            <w:r w:rsidRPr="00CC5CDB">
              <w:rPr>
                <w:rFonts w:ascii="Gill Sans MT" w:hAnsi="Gill Sans MT"/>
                <w:b/>
                <w:sz w:val="24"/>
                <w:szCs w:val="24"/>
              </w:rPr>
              <w:lastRenderedPageBreak/>
              <w:t>Respondent argument notes:</w:t>
            </w:r>
          </w:p>
        </w:tc>
      </w:tr>
      <w:tr w:rsidR="001D0F02" w14:paraId="74ED2F5B" w14:textId="77777777" w:rsidTr="00EE348E">
        <w:tc>
          <w:tcPr>
            <w:tcW w:w="9350" w:type="dxa"/>
          </w:tcPr>
          <w:p w14:paraId="67244162" w14:textId="77777777" w:rsidR="001D0F02" w:rsidRDefault="001D0F02" w:rsidP="00EE348E">
            <w:pPr>
              <w:spacing w:after="5280"/>
            </w:pPr>
          </w:p>
        </w:tc>
      </w:tr>
      <w:tr w:rsidR="001D0F02" w14:paraId="5F7361A9" w14:textId="77777777" w:rsidTr="00EE348E">
        <w:tc>
          <w:tcPr>
            <w:tcW w:w="9350" w:type="dxa"/>
          </w:tcPr>
          <w:p w14:paraId="4A3E9F55" w14:textId="77777777" w:rsidR="001D0F02" w:rsidRDefault="001D0F02" w:rsidP="00EE348E">
            <w:pPr>
              <w:spacing w:before="120" w:after="120"/>
            </w:pPr>
            <w:r w:rsidRPr="00CC5CDB">
              <w:rPr>
                <w:rFonts w:ascii="Gill Sans MT" w:hAnsi="Gill Sans MT"/>
                <w:b/>
                <w:sz w:val="24"/>
                <w:szCs w:val="24"/>
              </w:rPr>
              <w:t>Rebuttal points:</w:t>
            </w:r>
            <w:r>
              <w:t xml:space="preserve"> </w:t>
            </w:r>
          </w:p>
        </w:tc>
      </w:tr>
      <w:tr w:rsidR="001D0F02" w14:paraId="2212AEC1" w14:textId="77777777" w:rsidTr="00EE348E">
        <w:tc>
          <w:tcPr>
            <w:tcW w:w="9350" w:type="dxa"/>
          </w:tcPr>
          <w:p w14:paraId="68766BCE" w14:textId="77777777" w:rsidR="001D0F02" w:rsidRDefault="001D0F02" w:rsidP="00EE348E">
            <w:pPr>
              <w:spacing w:after="5280"/>
            </w:pPr>
          </w:p>
        </w:tc>
      </w:tr>
    </w:tbl>
    <w:p w14:paraId="41C6F1B0" w14:textId="77777777" w:rsidR="001D0F02" w:rsidRDefault="001D0F02" w:rsidP="001D0F02"/>
    <w:p w14:paraId="0832C309" w14:textId="77777777" w:rsidR="001D0F02" w:rsidRPr="00CC5CDB" w:rsidRDefault="001D0F02" w:rsidP="001D0F02">
      <w:pPr>
        <w:sectPr w:rsidR="001D0F02" w:rsidRPr="00CC5CDB" w:rsidSect="00CC5CDB">
          <w:footerReference w:type="default" r:id="rId2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1E70D86F" w14:textId="77777777" w:rsidR="001D0F02" w:rsidRPr="00CC5CDB" w:rsidRDefault="001D0F02" w:rsidP="001D0F02">
      <w:pPr>
        <w:pBdr>
          <w:bottom w:val="single" w:sz="4" w:space="1" w:color="auto"/>
        </w:pBdr>
        <w:rPr>
          <w:rFonts w:ascii="Gill Sans MT" w:hAnsi="Gill Sans MT"/>
          <w:b/>
          <w:sz w:val="44"/>
        </w:rPr>
      </w:pPr>
      <w:r w:rsidRPr="00CC5CDB">
        <w:rPr>
          <w:rFonts w:ascii="Gill Sans MT" w:hAnsi="Gill Sans MT"/>
          <w:b/>
          <w:sz w:val="44"/>
        </w:rPr>
        <w:lastRenderedPageBreak/>
        <w:t xml:space="preserve">Handout </w:t>
      </w:r>
      <w:r>
        <w:rPr>
          <w:rFonts w:ascii="Gill Sans MT" w:hAnsi="Gill Sans MT"/>
          <w:b/>
          <w:sz w:val="44"/>
        </w:rPr>
        <w:t>3</w:t>
      </w:r>
      <w:r w:rsidRPr="00CC5CDB">
        <w:rPr>
          <w:rFonts w:ascii="Gill Sans MT" w:hAnsi="Gill Sans MT"/>
          <w:b/>
          <w:sz w:val="44"/>
        </w:rPr>
        <w:t xml:space="preserve">: </w:t>
      </w:r>
      <w:r>
        <w:rPr>
          <w:rFonts w:ascii="Gill Sans MT" w:hAnsi="Gill Sans MT"/>
          <w:b/>
          <w:sz w:val="44"/>
        </w:rPr>
        <w:t>Respondent</w:t>
      </w:r>
    </w:p>
    <w:p w14:paraId="6A2BDB96" w14:textId="77777777" w:rsidR="001D0F02" w:rsidRDefault="001D0F02" w:rsidP="001D0F02">
      <w:pPr>
        <w:spacing w:after="120"/>
        <w:rPr>
          <w:rFonts w:ascii="Gill Sans MT" w:hAnsi="Gill Sans MT"/>
          <w:sz w:val="24"/>
          <w:szCs w:val="24"/>
        </w:rPr>
      </w:pPr>
      <w:r w:rsidRPr="00CC5CDB">
        <w:rPr>
          <w:rFonts w:ascii="Gill Sans MT" w:hAnsi="Gill Sans MT"/>
          <w:sz w:val="24"/>
          <w:szCs w:val="24"/>
        </w:rPr>
        <w:t xml:space="preserve">Outline an argument for the </w:t>
      </w:r>
      <w:r>
        <w:rPr>
          <w:rFonts w:ascii="Gill Sans MT" w:hAnsi="Gill Sans MT"/>
          <w:sz w:val="24"/>
          <w:szCs w:val="24"/>
        </w:rPr>
        <w:t>respondent</w:t>
      </w:r>
      <w:r w:rsidRPr="00CC5CDB">
        <w:rPr>
          <w:rFonts w:ascii="Gill Sans MT" w:hAnsi="Gill Sans MT"/>
          <w:sz w:val="24"/>
          <w:szCs w:val="24"/>
        </w:rPr>
        <w:t xml:space="preserve"> using the established facts, constitutional provisions, and precedents. Predict what questions the justice/judge will a</w:t>
      </w:r>
      <w:r>
        <w:rPr>
          <w:rFonts w:ascii="Gill Sans MT" w:hAnsi="Gill Sans MT"/>
          <w:sz w:val="24"/>
          <w:szCs w:val="24"/>
        </w:rPr>
        <w:t>sk. Take notes on the petitioner</w:t>
      </w:r>
      <w:r w:rsidRPr="00CC5CDB">
        <w:rPr>
          <w:rFonts w:ascii="Gill Sans MT" w:hAnsi="Gill Sans MT"/>
          <w:sz w:val="24"/>
          <w:szCs w:val="24"/>
        </w:rPr>
        <w:t>’s argument to help prepare your rebuttal.</w:t>
      </w:r>
    </w:p>
    <w:p w14:paraId="2F93EB5A" w14:textId="77777777" w:rsidR="001D0F02" w:rsidRPr="00CC5CDB" w:rsidRDefault="001D0F02" w:rsidP="001D0F02">
      <w:pPr>
        <w:spacing w:after="120"/>
        <w:rPr>
          <w:rFonts w:ascii="Gill Sans MT" w:hAnsi="Gill Sans MT"/>
          <w:sz w:val="24"/>
          <w:szCs w:val="24"/>
        </w:rPr>
      </w:pPr>
      <w:r w:rsidRPr="00CC5CDB">
        <w:rPr>
          <w:rFonts w:ascii="Gill Sans MT" w:hAnsi="Gill Sans MT"/>
          <w:sz w:val="24"/>
          <w:szCs w:val="24"/>
        </w:rPr>
        <w:t xml:space="preserve">In preparing your arguments, you should think about the following questions: </w:t>
      </w:r>
    </w:p>
    <w:p w14:paraId="58B897B6" w14:textId="77777777" w:rsidR="001D0F02" w:rsidRPr="00CC5CDB" w:rsidRDefault="001D0F02" w:rsidP="001D0F02">
      <w:pPr>
        <w:pStyle w:val="ListParagraph"/>
        <w:numPr>
          <w:ilvl w:val="2"/>
          <w:numId w:val="29"/>
        </w:numPr>
        <w:spacing w:after="120" w:line="276" w:lineRule="auto"/>
        <w:ind w:left="720" w:hanging="360"/>
        <w:rPr>
          <w:rFonts w:ascii="Gill Sans MT" w:hAnsi="Gill Sans MT"/>
          <w:sz w:val="24"/>
          <w:szCs w:val="24"/>
        </w:rPr>
      </w:pPr>
      <w:r w:rsidRPr="00CC5CDB">
        <w:rPr>
          <w:rFonts w:ascii="Gill Sans MT" w:hAnsi="Gill Sans MT"/>
          <w:sz w:val="24"/>
          <w:szCs w:val="24"/>
        </w:rPr>
        <w:t xml:space="preserve">Why is the decision of the lower court </w:t>
      </w:r>
      <w:r>
        <w:rPr>
          <w:rFonts w:ascii="Gill Sans MT" w:hAnsi="Gill Sans MT"/>
          <w:sz w:val="24"/>
          <w:szCs w:val="24"/>
        </w:rPr>
        <w:t>right</w:t>
      </w:r>
      <w:r w:rsidRPr="00CC5CDB">
        <w:rPr>
          <w:rFonts w:ascii="Gill Sans MT" w:hAnsi="Gill Sans MT"/>
          <w:sz w:val="24"/>
          <w:szCs w:val="24"/>
        </w:rPr>
        <w:t>?</w:t>
      </w:r>
    </w:p>
    <w:p w14:paraId="3CA10DEA"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decision do you want? </w:t>
      </w:r>
    </w:p>
    <w:p w14:paraId="099F99F6"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legal and policy arguments in favor of and against each side? (Anticipating the opposition can strengthen your argument.) </w:t>
      </w:r>
    </w:p>
    <w:p w14:paraId="4AE21E93"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Which arguments are the most persuasive? Why? </w:t>
      </w:r>
    </w:p>
    <w:p w14:paraId="5FBBCDAF" w14:textId="77777777" w:rsidR="001D0F02" w:rsidRPr="00CC5CDB" w:rsidRDefault="001D0F02" w:rsidP="001D0F02">
      <w:pPr>
        <w:pStyle w:val="ListParagraph"/>
        <w:numPr>
          <w:ilvl w:val="2"/>
          <w:numId w:val="29"/>
        </w:numPr>
        <w:spacing w:line="276" w:lineRule="auto"/>
        <w:ind w:left="720" w:hanging="360"/>
        <w:rPr>
          <w:rFonts w:ascii="Gill Sans MT" w:hAnsi="Gill Sans MT"/>
          <w:sz w:val="24"/>
          <w:szCs w:val="24"/>
        </w:rPr>
      </w:pPr>
      <w:r w:rsidRPr="00CC5CDB">
        <w:rPr>
          <w:rFonts w:ascii="Gill Sans MT" w:hAnsi="Gill Sans MT"/>
          <w:sz w:val="24"/>
          <w:szCs w:val="24"/>
        </w:rPr>
        <w:t xml:space="preserve">What are the precedents and how do they influence this case? </w:t>
      </w:r>
    </w:p>
    <w:p w14:paraId="42CE9C13" w14:textId="77777777" w:rsidR="001D0F02" w:rsidRPr="00CC5CDB" w:rsidRDefault="001D0F02" w:rsidP="001D0F02">
      <w:pPr>
        <w:pStyle w:val="ListParagraph"/>
        <w:numPr>
          <w:ilvl w:val="2"/>
          <w:numId w:val="29"/>
        </w:numPr>
        <w:spacing w:after="240" w:line="276" w:lineRule="auto"/>
        <w:ind w:left="720" w:hanging="360"/>
        <w:rPr>
          <w:rFonts w:ascii="Gill Sans MT" w:hAnsi="Gill Sans MT"/>
          <w:sz w:val="24"/>
          <w:szCs w:val="24"/>
        </w:rPr>
      </w:pPr>
      <w:r w:rsidRPr="00CC5CDB">
        <w:rPr>
          <w:rFonts w:ascii="Gill Sans MT" w:hAnsi="Gill Sans MT"/>
          <w:sz w:val="24"/>
          <w:szCs w:val="24"/>
        </w:rPr>
        <w:t xml:space="preserve">What might be the consequences of each possible decision? </w:t>
      </w:r>
    </w:p>
    <w:tbl>
      <w:tblPr>
        <w:tblStyle w:val="TableGrid"/>
        <w:tblW w:w="0" w:type="auto"/>
        <w:tblLook w:val="04A0" w:firstRow="1" w:lastRow="0" w:firstColumn="1" w:lastColumn="0" w:noHBand="0" w:noVBand="1"/>
      </w:tblPr>
      <w:tblGrid>
        <w:gridCol w:w="2875"/>
        <w:gridCol w:w="6475"/>
      </w:tblGrid>
      <w:tr w:rsidR="001D0F02" w14:paraId="6694440C" w14:textId="77777777" w:rsidTr="00EE348E">
        <w:tc>
          <w:tcPr>
            <w:tcW w:w="2875" w:type="dxa"/>
          </w:tcPr>
          <w:p w14:paraId="0B465527" w14:textId="77777777" w:rsidR="001D0F02" w:rsidRPr="00CC5CDB" w:rsidRDefault="001D0F02" w:rsidP="00EE348E">
            <w:pPr>
              <w:spacing w:before="120" w:after="120"/>
              <w:rPr>
                <w:rFonts w:ascii="Gill Sans MT" w:hAnsi="Gill Sans MT"/>
                <w:b/>
                <w:sz w:val="24"/>
                <w:szCs w:val="24"/>
              </w:rPr>
            </w:pPr>
            <w:r w:rsidRPr="00CC5CDB">
              <w:rPr>
                <w:rFonts w:ascii="Gill Sans MT" w:hAnsi="Gill Sans MT"/>
                <w:b/>
                <w:sz w:val="24"/>
                <w:szCs w:val="24"/>
              </w:rPr>
              <w:t>Case name:</w:t>
            </w:r>
          </w:p>
        </w:tc>
        <w:tc>
          <w:tcPr>
            <w:tcW w:w="6475" w:type="dxa"/>
          </w:tcPr>
          <w:p w14:paraId="243D8140" w14:textId="77777777" w:rsidR="001D0F02" w:rsidRDefault="001D0F02" w:rsidP="00EE348E">
            <w:pPr>
              <w:spacing w:after="120"/>
              <w:rPr>
                <w:rFonts w:ascii="Gill Sans MT" w:hAnsi="Gill Sans MT"/>
                <w:sz w:val="24"/>
                <w:szCs w:val="24"/>
              </w:rPr>
            </w:pPr>
          </w:p>
        </w:tc>
      </w:tr>
      <w:tr w:rsidR="001D0F02" w14:paraId="6B17BEE0" w14:textId="77777777" w:rsidTr="00EE348E">
        <w:tc>
          <w:tcPr>
            <w:tcW w:w="2875" w:type="dxa"/>
          </w:tcPr>
          <w:p w14:paraId="61036B5B" w14:textId="77777777" w:rsidR="001D0F02" w:rsidRPr="00CC5CDB" w:rsidRDefault="001D0F02" w:rsidP="00EE348E">
            <w:pPr>
              <w:spacing w:before="120" w:after="120"/>
              <w:rPr>
                <w:rFonts w:ascii="Gill Sans MT" w:hAnsi="Gill Sans MT"/>
                <w:b/>
                <w:sz w:val="24"/>
                <w:szCs w:val="24"/>
              </w:rPr>
            </w:pPr>
            <w:r>
              <w:rPr>
                <w:rFonts w:ascii="Gill Sans MT" w:hAnsi="Gill Sans MT"/>
                <w:b/>
                <w:sz w:val="24"/>
                <w:szCs w:val="24"/>
              </w:rPr>
              <w:t>Respondent</w:t>
            </w:r>
            <w:r w:rsidRPr="00CC5CDB">
              <w:rPr>
                <w:rFonts w:ascii="Gill Sans MT" w:hAnsi="Gill Sans MT"/>
                <w:b/>
                <w:sz w:val="24"/>
                <w:szCs w:val="24"/>
              </w:rPr>
              <w:t>:</w:t>
            </w:r>
          </w:p>
        </w:tc>
        <w:tc>
          <w:tcPr>
            <w:tcW w:w="6475" w:type="dxa"/>
          </w:tcPr>
          <w:p w14:paraId="5B3A6A95" w14:textId="77777777" w:rsidR="001D0F02" w:rsidRDefault="001D0F02" w:rsidP="00EE348E">
            <w:pPr>
              <w:spacing w:after="120"/>
              <w:rPr>
                <w:rFonts w:ascii="Gill Sans MT" w:hAnsi="Gill Sans MT"/>
                <w:sz w:val="24"/>
                <w:szCs w:val="24"/>
              </w:rPr>
            </w:pPr>
          </w:p>
        </w:tc>
      </w:tr>
      <w:tr w:rsidR="001D0F02" w14:paraId="431C1EE9" w14:textId="77777777" w:rsidTr="00EE348E">
        <w:tc>
          <w:tcPr>
            <w:tcW w:w="9350" w:type="dxa"/>
            <w:gridSpan w:val="2"/>
          </w:tcPr>
          <w:p w14:paraId="09029509"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Constitutional question(s):</w:t>
            </w:r>
          </w:p>
        </w:tc>
      </w:tr>
      <w:tr w:rsidR="001D0F02" w14:paraId="66C5947C" w14:textId="77777777" w:rsidTr="00EE348E">
        <w:tc>
          <w:tcPr>
            <w:tcW w:w="9350" w:type="dxa"/>
            <w:gridSpan w:val="2"/>
          </w:tcPr>
          <w:p w14:paraId="28DAA3AB" w14:textId="77777777" w:rsidR="001D0F02" w:rsidRDefault="001D0F02" w:rsidP="00EE348E">
            <w:pPr>
              <w:spacing w:after="1200"/>
              <w:rPr>
                <w:rFonts w:ascii="Gill Sans MT" w:hAnsi="Gill Sans MT"/>
                <w:sz w:val="24"/>
                <w:szCs w:val="24"/>
              </w:rPr>
            </w:pPr>
          </w:p>
        </w:tc>
      </w:tr>
      <w:tr w:rsidR="001D0F02" w14:paraId="1FB6ED93" w14:textId="77777777" w:rsidTr="00EE348E">
        <w:tc>
          <w:tcPr>
            <w:tcW w:w="9350" w:type="dxa"/>
            <w:gridSpan w:val="2"/>
          </w:tcPr>
          <w:p w14:paraId="44DE502F" w14:textId="77777777" w:rsidR="001D0F02" w:rsidRDefault="001D0F02" w:rsidP="00EE348E">
            <w:pPr>
              <w:spacing w:before="120" w:after="120"/>
              <w:rPr>
                <w:rFonts w:ascii="Gill Sans MT" w:hAnsi="Gill Sans MT"/>
                <w:sz w:val="24"/>
                <w:szCs w:val="24"/>
              </w:rPr>
            </w:pPr>
            <w:r w:rsidRPr="00CC5CDB">
              <w:rPr>
                <w:rFonts w:ascii="Gill Sans MT" w:hAnsi="Gill Sans MT"/>
                <w:b/>
                <w:sz w:val="24"/>
                <w:szCs w:val="24"/>
              </w:rPr>
              <w:t>Precedents that support your argument:</w:t>
            </w:r>
            <w:r>
              <w:rPr>
                <w:rFonts w:ascii="Gill Sans MT" w:hAnsi="Gill Sans MT"/>
                <w:sz w:val="24"/>
                <w:szCs w:val="24"/>
              </w:rPr>
              <w:t xml:space="preserve"> </w:t>
            </w:r>
          </w:p>
        </w:tc>
      </w:tr>
      <w:tr w:rsidR="001D0F02" w14:paraId="64ED1150" w14:textId="77777777" w:rsidTr="00EE348E">
        <w:tc>
          <w:tcPr>
            <w:tcW w:w="9350" w:type="dxa"/>
            <w:gridSpan w:val="2"/>
          </w:tcPr>
          <w:p w14:paraId="47C4D35A" w14:textId="77777777" w:rsidR="001D0F02" w:rsidRDefault="001D0F02" w:rsidP="00EE348E">
            <w:pPr>
              <w:spacing w:after="3840"/>
              <w:rPr>
                <w:rFonts w:ascii="Gill Sans MT" w:hAnsi="Gill Sans MT"/>
                <w:sz w:val="24"/>
                <w:szCs w:val="24"/>
              </w:rPr>
            </w:pPr>
          </w:p>
        </w:tc>
      </w:tr>
    </w:tbl>
    <w:p w14:paraId="75BE204C" w14:textId="77777777" w:rsidR="001D0F02" w:rsidRDefault="001D0F02" w:rsidP="001D0F02">
      <w:pPr>
        <w:spacing w:after="120"/>
        <w:rPr>
          <w:rFonts w:ascii="Gill Sans MT" w:hAnsi="Gill Sans MT"/>
          <w:sz w:val="24"/>
          <w:szCs w:val="24"/>
        </w:rPr>
      </w:pPr>
    </w:p>
    <w:p w14:paraId="19E9F594" w14:textId="77777777" w:rsidR="001D0F02" w:rsidRDefault="001D0F02" w:rsidP="001D0F02">
      <w:pPr>
        <w:sectPr w:rsidR="001D0F02" w:rsidSect="00CC5CDB">
          <w:footerReference w:type="default" r:id="rId21"/>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035263D6" w14:textId="77777777" w:rsidTr="00EE348E">
        <w:tc>
          <w:tcPr>
            <w:tcW w:w="9350" w:type="dxa"/>
          </w:tcPr>
          <w:p w14:paraId="3F7EECE2" w14:textId="77777777" w:rsidR="001D0F02" w:rsidRDefault="001D0F02" w:rsidP="00EE348E">
            <w:pPr>
              <w:spacing w:before="120" w:after="120"/>
            </w:pPr>
            <w:r w:rsidRPr="00CC5CDB">
              <w:rPr>
                <w:rFonts w:ascii="Gill Sans MT" w:hAnsi="Gill Sans MT"/>
                <w:b/>
                <w:sz w:val="24"/>
                <w:szCs w:val="24"/>
              </w:rPr>
              <w:lastRenderedPageBreak/>
              <w:t xml:space="preserve">Argument for </w:t>
            </w:r>
            <w:r>
              <w:rPr>
                <w:rFonts w:ascii="Gill Sans MT" w:hAnsi="Gill Sans MT"/>
                <w:b/>
                <w:sz w:val="24"/>
                <w:szCs w:val="24"/>
              </w:rPr>
              <w:t>respondent</w:t>
            </w:r>
            <w:r w:rsidRPr="00CC5CDB">
              <w:rPr>
                <w:rFonts w:ascii="Gill Sans MT" w:hAnsi="Gill Sans MT"/>
                <w:b/>
                <w:sz w:val="24"/>
                <w:szCs w:val="24"/>
              </w:rPr>
              <w:t>:</w:t>
            </w:r>
          </w:p>
        </w:tc>
      </w:tr>
      <w:tr w:rsidR="001D0F02" w14:paraId="69D6939B" w14:textId="77777777" w:rsidTr="00EE348E">
        <w:tc>
          <w:tcPr>
            <w:tcW w:w="9350" w:type="dxa"/>
          </w:tcPr>
          <w:p w14:paraId="0ACCB208" w14:textId="77777777" w:rsidR="001D0F02" w:rsidRDefault="001D0F02" w:rsidP="00EE348E">
            <w:pPr>
              <w:spacing w:after="7080"/>
            </w:pPr>
          </w:p>
        </w:tc>
      </w:tr>
      <w:tr w:rsidR="001D0F02" w14:paraId="04482968" w14:textId="77777777" w:rsidTr="00EE348E">
        <w:tc>
          <w:tcPr>
            <w:tcW w:w="9350" w:type="dxa"/>
          </w:tcPr>
          <w:p w14:paraId="67E982B4" w14:textId="77777777" w:rsidR="001D0F02" w:rsidRDefault="001D0F02" w:rsidP="00EE348E">
            <w:pPr>
              <w:spacing w:before="120" w:after="120"/>
            </w:pPr>
            <w:r w:rsidRPr="00CC5CDB">
              <w:rPr>
                <w:rFonts w:ascii="Gill Sans MT" w:hAnsi="Gill Sans MT"/>
                <w:b/>
                <w:sz w:val="24"/>
                <w:szCs w:val="24"/>
              </w:rPr>
              <w:t>Possible questions from justice:</w:t>
            </w:r>
          </w:p>
        </w:tc>
      </w:tr>
      <w:tr w:rsidR="001D0F02" w14:paraId="619C0616" w14:textId="77777777" w:rsidTr="00EE348E">
        <w:tc>
          <w:tcPr>
            <w:tcW w:w="9350" w:type="dxa"/>
          </w:tcPr>
          <w:p w14:paraId="5F69317A" w14:textId="77777777" w:rsidR="001D0F02" w:rsidRDefault="001D0F02" w:rsidP="00EE348E">
            <w:pPr>
              <w:spacing w:after="3960"/>
            </w:pPr>
          </w:p>
        </w:tc>
      </w:tr>
    </w:tbl>
    <w:p w14:paraId="39A261FE" w14:textId="77777777" w:rsidR="001D0F02" w:rsidRDefault="001D0F02" w:rsidP="001D0F02"/>
    <w:p w14:paraId="25962B9C" w14:textId="77777777" w:rsidR="001D0F02" w:rsidRDefault="001D0F02" w:rsidP="001D0F02">
      <w:pPr>
        <w:sectPr w:rsidR="001D0F02" w:rsidSect="00CC5CDB">
          <w:footerReference w:type="default" r:id="rId2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
        <w:tblW w:w="0" w:type="auto"/>
        <w:tblLook w:val="04A0" w:firstRow="1" w:lastRow="0" w:firstColumn="1" w:lastColumn="0" w:noHBand="0" w:noVBand="1"/>
      </w:tblPr>
      <w:tblGrid>
        <w:gridCol w:w="9350"/>
      </w:tblGrid>
      <w:tr w:rsidR="001D0F02" w14:paraId="4BBD7D15" w14:textId="77777777" w:rsidTr="00EE348E">
        <w:tc>
          <w:tcPr>
            <w:tcW w:w="9350" w:type="dxa"/>
          </w:tcPr>
          <w:p w14:paraId="0D13CD73" w14:textId="77777777" w:rsidR="001D0F02" w:rsidRDefault="001D0F02" w:rsidP="00EE348E">
            <w:pPr>
              <w:spacing w:before="120" w:after="120"/>
            </w:pPr>
            <w:r>
              <w:rPr>
                <w:rFonts w:ascii="Gill Sans MT" w:hAnsi="Gill Sans MT"/>
                <w:b/>
                <w:sz w:val="24"/>
                <w:szCs w:val="24"/>
              </w:rPr>
              <w:lastRenderedPageBreak/>
              <w:t>Petitioner</w:t>
            </w:r>
            <w:r w:rsidRPr="00CC5CDB">
              <w:rPr>
                <w:rFonts w:ascii="Gill Sans MT" w:hAnsi="Gill Sans MT"/>
                <w:b/>
                <w:sz w:val="24"/>
                <w:szCs w:val="24"/>
              </w:rPr>
              <w:t xml:space="preserve"> argument notes:</w:t>
            </w:r>
          </w:p>
        </w:tc>
      </w:tr>
      <w:tr w:rsidR="001D0F02" w14:paraId="71796283" w14:textId="77777777" w:rsidTr="00EE348E">
        <w:tc>
          <w:tcPr>
            <w:tcW w:w="9350" w:type="dxa"/>
          </w:tcPr>
          <w:p w14:paraId="3F747355" w14:textId="77777777" w:rsidR="001D0F02" w:rsidRDefault="001D0F02" w:rsidP="00EE348E">
            <w:pPr>
              <w:spacing w:after="5280"/>
            </w:pPr>
          </w:p>
        </w:tc>
      </w:tr>
      <w:tr w:rsidR="001D0F02" w14:paraId="1E32737F" w14:textId="77777777" w:rsidTr="00EE348E">
        <w:tc>
          <w:tcPr>
            <w:tcW w:w="9350" w:type="dxa"/>
          </w:tcPr>
          <w:p w14:paraId="58C5253D" w14:textId="77777777" w:rsidR="001D0F02" w:rsidRDefault="001D0F02" w:rsidP="00EE348E">
            <w:pPr>
              <w:spacing w:before="120" w:after="120"/>
            </w:pPr>
            <w:r w:rsidRPr="00CC5CDB">
              <w:rPr>
                <w:rFonts w:ascii="Gill Sans MT" w:hAnsi="Gill Sans MT"/>
                <w:b/>
                <w:sz w:val="24"/>
                <w:szCs w:val="24"/>
              </w:rPr>
              <w:t>Rebuttal points:</w:t>
            </w:r>
            <w:r>
              <w:t xml:space="preserve"> </w:t>
            </w:r>
          </w:p>
        </w:tc>
      </w:tr>
      <w:tr w:rsidR="001D0F02" w14:paraId="70E18550" w14:textId="77777777" w:rsidTr="00EE348E">
        <w:tc>
          <w:tcPr>
            <w:tcW w:w="9350" w:type="dxa"/>
          </w:tcPr>
          <w:p w14:paraId="10859CEA" w14:textId="77777777" w:rsidR="001D0F02" w:rsidRDefault="001D0F02" w:rsidP="00EE348E">
            <w:pPr>
              <w:spacing w:after="5280"/>
            </w:pPr>
          </w:p>
        </w:tc>
      </w:tr>
    </w:tbl>
    <w:p w14:paraId="4AD56B88" w14:textId="77777777" w:rsidR="0096254D" w:rsidRDefault="0096254D" w:rsidP="001D0F02">
      <w:pPr>
        <w:shd w:val="clear" w:color="auto" w:fill="FFFFFF"/>
        <w:spacing w:after="0"/>
        <w:rPr>
          <w:rFonts w:ascii="Garamond" w:eastAsia="Garamond" w:hAnsi="Garamond" w:cs="Garamond"/>
          <w:sz w:val="24"/>
          <w:szCs w:val="24"/>
        </w:rPr>
      </w:pPr>
    </w:p>
    <w:sectPr w:rsidR="0096254D" w:rsidSect="001D0F02">
      <w:footerReference w:type="default" r:id="rId2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F0480" w14:textId="77777777" w:rsidR="00004909" w:rsidRDefault="00004909" w:rsidP="0078549D">
      <w:pPr>
        <w:spacing w:after="0" w:line="240" w:lineRule="auto"/>
      </w:pPr>
      <w:r>
        <w:separator/>
      </w:r>
    </w:p>
  </w:endnote>
  <w:endnote w:type="continuationSeparator" w:id="0">
    <w:p w14:paraId="2FA4ED60" w14:textId="77777777" w:rsidR="00004909" w:rsidRDefault="0000490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40986689"/>
      <w:docPartObj>
        <w:docPartGallery w:val="Page Numbers (Bottom of Page)"/>
        <w:docPartUnique/>
      </w:docPartObj>
    </w:sdtPr>
    <w:sdtEndPr>
      <w:rPr>
        <w:noProof/>
      </w:rPr>
    </w:sdtEndPr>
    <w:sdtContent>
      <w:p w14:paraId="095EA564"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7801391"/>
      <w:docPartObj>
        <w:docPartGallery w:val="Page Numbers (Bottom of Page)"/>
        <w:docPartUnique/>
      </w:docPartObj>
    </w:sdtPr>
    <w:sdtEndPr>
      <w:rPr>
        <w:noProof/>
      </w:rPr>
    </w:sdtEndPr>
    <w:sdtContent>
      <w:p w14:paraId="4EABF02A" w14:textId="0E5EE9FF"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05AE89A8" w:rsidR="00987C93" w:rsidRPr="00E64542" w:rsidRDefault="00004909">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987C93">
          <w:rPr>
            <w:rStyle w:val="BasiccopyslChar"/>
            <w:sz w:val="22"/>
            <w:szCs w:val="22"/>
          </w:rPr>
          <w:t>© 2020 Street Law, Inc.</w:t>
        </w:r>
        <w:r w:rsidR="00E64542" w:rsidRPr="00987C93">
          <w:rPr>
            <w:rStyle w:val="BasiccopyslChar"/>
            <w:sz w:val="22"/>
            <w:szCs w:val="22"/>
          </w:rPr>
          <w:tab/>
        </w:r>
        <w:r w:rsidR="00E64542" w:rsidRPr="00987C93">
          <w:rPr>
            <w:rStyle w:val="BasiccopyslChar"/>
            <w:sz w:val="22"/>
            <w:szCs w:val="22"/>
          </w:rPr>
          <w:tab/>
          <w:t xml:space="preserve"> Last updated: </w:t>
        </w:r>
      </w:sdtContent>
    </w:sdt>
    <w:r w:rsidR="0084194A">
      <w:rPr>
        <w:rStyle w:val="BasiccopyslChar"/>
      </w:rPr>
      <w:t>07/29/2020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56378038"/>
      <w:docPartObj>
        <w:docPartGallery w:val="Page Numbers (Bottom of Page)"/>
        <w:docPartUnique/>
      </w:docPartObj>
    </w:sdtPr>
    <w:sdtEndPr>
      <w:rPr>
        <w:noProof/>
      </w:rPr>
    </w:sdtEndPr>
    <w:sdtContent>
      <w:p w14:paraId="1CCCE8AA"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D3CD0" w14:textId="77777777" w:rsidR="001D0F02" w:rsidRPr="00CC5CDB" w:rsidRDefault="001D0F02" w:rsidP="00CC5CDB">
    <w:pPr>
      <w:pStyle w:val="EHeaderFooter"/>
      <w:rPr>
        <w:b/>
      </w:rPr>
    </w:pPr>
    <w:r w:rsidRPr="003229FE">
      <w:t>© 20</w:t>
    </w:r>
    <w:r>
      <w:t>19</w:t>
    </w:r>
    <w:r w:rsidRPr="003229FE">
      <w:t xml:space="preserve"> Street Law, Inc.</w:t>
    </w:r>
    <w:r w:rsidRPr="003229FE">
      <w:ptab w:relativeTo="margin" w:alignment="center" w:leader="none"/>
    </w:r>
    <w:r w:rsidRPr="003229FE">
      <w:ptab w:relativeTo="margin" w:alignment="right" w:leader="none"/>
    </w:r>
    <w:r>
      <w:t>Page 1 of 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81853894"/>
      <w:docPartObj>
        <w:docPartGallery w:val="Page Numbers (Bottom of Page)"/>
        <w:docPartUnique/>
      </w:docPartObj>
    </w:sdtPr>
    <w:sdtEndPr>
      <w:rPr>
        <w:noProof/>
      </w:rPr>
    </w:sdtEndPr>
    <w:sdtContent>
      <w:p w14:paraId="1FB899EB"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74327893"/>
      <w:docPartObj>
        <w:docPartGallery w:val="Page Numbers (Bottom of Page)"/>
        <w:docPartUnique/>
      </w:docPartObj>
    </w:sdtPr>
    <w:sdtEndPr>
      <w:rPr>
        <w:noProof/>
      </w:rPr>
    </w:sdtEndPr>
    <w:sdtContent>
      <w:p w14:paraId="7189AA3E"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1 of 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29597578"/>
      <w:docPartObj>
        <w:docPartGallery w:val="Page Numbers (Bottom of Page)"/>
        <w:docPartUnique/>
      </w:docPartObj>
    </w:sdtPr>
    <w:sdtEndPr>
      <w:rPr>
        <w:noProof/>
      </w:rPr>
    </w:sdtEndPr>
    <w:sdtContent>
      <w:p w14:paraId="5AE23AD7"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2 of 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850256695"/>
      <w:docPartObj>
        <w:docPartGallery w:val="Page Numbers (Bottom of Page)"/>
        <w:docPartUnique/>
      </w:docPartObj>
    </w:sdtPr>
    <w:sdtEndPr>
      <w:rPr>
        <w:noProof/>
      </w:rPr>
    </w:sdtEndPr>
    <w:sdtContent>
      <w:p w14:paraId="516DEDC0"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3 of 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859810264"/>
      <w:docPartObj>
        <w:docPartGallery w:val="Page Numbers (Bottom of Page)"/>
        <w:docPartUnique/>
      </w:docPartObj>
    </w:sdtPr>
    <w:sdtEndPr>
      <w:rPr>
        <w:noProof/>
      </w:rPr>
    </w:sdtEndPr>
    <w:sdtContent>
      <w:p w14:paraId="10E22D81" w14:textId="7777777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9</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Page 1 of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DBE34" w14:textId="77777777" w:rsidR="00004909" w:rsidRDefault="00004909" w:rsidP="0078549D">
      <w:pPr>
        <w:spacing w:after="0" w:line="240" w:lineRule="auto"/>
      </w:pPr>
      <w:r>
        <w:separator/>
      </w:r>
    </w:p>
  </w:footnote>
  <w:footnote w:type="continuationSeparator" w:id="0">
    <w:p w14:paraId="27BB30E3" w14:textId="77777777" w:rsidR="00004909" w:rsidRDefault="0000490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D0CB6" w14:textId="70E5955C" w:rsidR="001D0F02" w:rsidRPr="00987C93" w:rsidRDefault="001D0F02" w:rsidP="001D0F0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1B38C6">
      <w:rPr>
        <w:i/>
        <w:iCs/>
        <w:sz w:val="22"/>
        <w:szCs w:val="22"/>
      </w:rPr>
      <w:t>Miranda v. Arizona</w:t>
    </w:r>
    <w:r>
      <w:rPr>
        <w:i/>
        <w:iCs/>
        <w:sz w:val="22"/>
        <w:szCs w:val="22"/>
      </w:rPr>
      <w:t xml:space="preserve"> </w:t>
    </w:r>
    <w:r w:rsidRPr="00B83484">
      <w:rPr>
        <w:sz w:val="22"/>
        <w:szCs w:val="22"/>
      </w:rPr>
      <w:t>/ Mini-Moot Court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C9B3551"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B83484">
      <w:rPr>
        <w:sz w:val="22"/>
        <w:szCs w:val="22"/>
      </w:rPr>
      <w:t xml:space="preserve">     </w:t>
    </w:r>
    <w:r w:rsidR="000C1EB1">
      <w:rPr>
        <w:i/>
        <w:iCs/>
        <w:sz w:val="22"/>
        <w:szCs w:val="22"/>
      </w:rPr>
      <w:t>Miranda v. Arizona</w:t>
    </w:r>
    <w:r w:rsidR="002E34AE">
      <w:rPr>
        <w:i/>
        <w:iCs/>
        <w:sz w:val="22"/>
        <w:szCs w:val="22"/>
      </w:rPr>
      <w:t xml:space="preserve"> </w:t>
    </w:r>
    <w:r w:rsidR="002E34AE" w:rsidRPr="00B83484">
      <w:rPr>
        <w:sz w:val="22"/>
        <w:szCs w:val="22"/>
      </w:rPr>
      <w:t xml:space="preserve">/ </w:t>
    </w:r>
    <w:r w:rsidR="00B83484" w:rsidRPr="00B83484">
      <w:rPr>
        <w:sz w:val="22"/>
        <w:szCs w:val="22"/>
      </w:rPr>
      <w:t>Mini-Moot Court Activity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C67D6" w14:textId="77777777" w:rsidR="001D0F02" w:rsidRPr="000C5526" w:rsidRDefault="001D0F02" w:rsidP="000C5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D4314" w14:textId="77777777" w:rsidR="001D0F02" w:rsidRDefault="001D0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1"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2"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2"/>
  </w:num>
  <w:num w:numId="12">
    <w:abstractNumId w:val="13"/>
  </w:num>
  <w:num w:numId="13">
    <w:abstractNumId w:val="1"/>
  </w:num>
  <w:num w:numId="14">
    <w:abstractNumId w:val="1"/>
  </w:num>
  <w:num w:numId="15">
    <w:abstractNumId w:val="1"/>
  </w:num>
  <w:num w:numId="16">
    <w:abstractNumId w:val="1"/>
  </w:num>
  <w:num w:numId="17">
    <w:abstractNumId w:val="7"/>
  </w:num>
  <w:num w:numId="18">
    <w:abstractNumId w:val="11"/>
  </w:num>
  <w:num w:numId="19">
    <w:abstractNumId w:val="10"/>
  </w:num>
  <w:num w:numId="20">
    <w:abstractNumId w:val="4"/>
  </w:num>
  <w:num w:numId="21">
    <w:abstractNumId w:val="8"/>
  </w:num>
  <w:num w:numId="22">
    <w:abstractNumId w:val="1"/>
  </w:num>
  <w:num w:numId="23">
    <w:abstractNumId w:val="6"/>
  </w:num>
  <w:num w:numId="24">
    <w:abstractNumId w:val="1"/>
  </w:num>
  <w:num w:numId="25">
    <w:abstractNumId w:val="6"/>
  </w:num>
  <w:num w:numId="26">
    <w:abstractNumId w:val="1"/>
  </w:num>
  <w:num w:numId="27">
    <w:abstractNumId w:val="1"/>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4909"/>
    <w:rsid w:val="00014AA6"/>
    <w:rsid w:val="000356BB"/>
    <w:rsid w:val="000C1EB1"/>
    <w:rsid w:val="000E239D"/>
    <w:rsid w:val="001056C3"/>
    <w:rsid w:val="00110FE2"/>
    <w:rsid w:val="00112B95"/>
    <w:rsid w:val="00116A1D"/>
    <w:rsid w:val="001246CC"/>
    <w:rsid w:val="00170B98"/>
    <w:rsid w:val="001B38C6"/>
    <w:rsid w:val="001B3E05"/>
    <w:rsid w:val="001C0EDD"/>
    <w:rsid w:val="001D0F02"/>
    <w:rsid w:val="0021030F"/>
    <w:rsid w:val="0025076D"/>
    <w:rsid w:val="00282C1F"/>
    <w:rsid w:val="00290061"/>
    <w:rsid w:val="00293947"/>
    <w:rsid w:val="002B03AB"/>
    <w:rsid w:val="002B4D38"/>
    <w:rsid w:val="002C68A3"/>
    <w:rsid w:val="002D2203"/>
    <w:rsid w:val="002E34AE"/>
    <w:rsid w:val="00317735"/>
    <w:rsid w:val="0035621A"/>
    <w:rsid w:val="00375090"/>
    <w:rsid w:val="00387D3D"/>
    <w:rsid w:val="00396AEB"/>
    <w:rsid w:val="003C6F20"/>
    <w:rsid w:val="00400A63"/>
    <w:rsid w:val="00425F44"/>
    <w:rsid w:val="004632BE"/>
    <w:rsid w:val="004B560A"/>
    <w:rsid w:val="004B73F9"/>
    <w:rsid w:val="004E7457"/>
    <w:rsid w:val="004F77FB"/>
    <w:rsid w:val="005311FB"/>
    <w:rsid w:val="00570E4F"/>
    <w:rsid w:val="00574BDA"/>
    <w:rsid w:val="00587A68"/>
    <w:rsid w:val="005A0330"/>
    <w:rsid w:val="005A4E3D"/>
    <w:rsid w:val="006135E5"/>
    <w:rsid w:val="0069034F"/>
    <w:rsid w:val="006C3E71"/>
    <w:rsid w:val="006E09C9"/>
    <w:rsid w:val="006E3717"/>
    <w:rsid w:val="007007CB"/>
    <w:rsid w:val="00782455"/>
    <w:rsid w:val="0078549D"/>
    <w:rsid w:val="007F0333"/>
    <w:rsid w:val="007F700D"/>
    <w:rsid w:val="00814E3E"/>
    <w:rsid w:val="00815CB0"/>
    <w:rsid w:val="0081706F"/>
    <w:rsid w:val="0084194A"/>
    <w:rsid w:val="00853E18"/>
    <w:rsid w:val="008738CD"/>
    <w:rsid w:val="008E5872"/>
    <w:rsid w:val="0096254D"/>
    <w:rsid w:val="00987C93"/>
    <w:rsid w:val="009C7FF4"/>
    <w:rsid w:val="009D6B03"/>
    <w:rsid w:val="009E0FC2"/>
    <w:rsid w:val="00A67847"/>
    <w:rsid w:val="00A740A5"/>
    <w:rsid w:val="00AE0C77"/>
    <w:rsid w:val="00B535F7"/>
    <w:rsid w:val="00B62487"/>
    <w:rsid w:val="00B74A17"/>
    <w:rsid w:val="00B83484"/>
    <w:rsid w:val="00BA2EB6"/>
    <w:rsid w:val="00BB4120"/>
    <w:rsid w:val="00BB74E4"/>
    <w:rsid w:val="00C023DC"/>
    <w:rsid w:val="00C05B0A"/>
    <w:rsid w:val="00C15DAC"/>
    <w:rsid w:val="00CB09BD"/>
    <w:rsid w:val="00D7277C"/>
    <w:rsid w:val="00DC169B"/>
    <w:rsid w:val="00DE3D18"/>
    <w:rsid w:val="00DE4019"/>
    <w:rsid w:val="00E3555A"/>
    <w:rsid w:val="00E64542"/>
    <w:rsid w:val="00EB20C0"/>
    <w:rsid w:val="00EE7358"/>
    <w:rsid w:val="00EF7C97"/>
    <w:rsid w:val="00F64E56"/>
    <w:rsid w:val="00FA477C"/>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Basiccopyindentedsl">
    <w:name w:val="Basic copy_indented_sl"/>
    <w:basedOn w:val="Basiccopysl"/>
    <w:qFormat/>
    <w:rsid w:val="00DE4019"/>
    <w:pPr>
      <w:spacing w:line="240" w:lineRule="auto"/>
      <w:ind w:left="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75D56685-EB7D-4AB6-AC72-E30E10A86674}"/>
</file>

<file path=customXml/itemProps3.xml><?xml version="1.0" encoding="utf-8"?>
<ds:datastoreItem xmlns:ds="http://schemas.openxmlformats.org/officeDocument/2006/customXml" ds:itemID="{770FB894-24DC-46D5-8B9D-06840DE028E3}"/>
</file>

<file path=docProps/app.xml><?xml version="1.0" encoding="utf-8"?>
<Properties xmlns="http://schemas.openxmlformats.org/officeDocument/2006/extended-properties" xmlns:vt="http://schemas.openxmlformats.org/officeDocument/2006/docPropsVTypes">
  <Template>template with copyright + page number</Template>
  <TotalTime>28</TotalTime>
  <Pages>14</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6</cp:revision>
  <dcterms:created xsi:type="dcterms:W3CDTF">2020-07-30T00:46:00Z</dcterms:created>
  <dcterms:modified xsi:type="dcterms:W3CDTF">2020-09-29T19:24:00Z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