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B27C41" w:rsidRDefault="00CF1A03" w:rsidP="00B27C41">
      <w:pPr>
        <w:pStyle w:val="BasicParagraph"/>
        <w:spacing w:before="240" w:after="240"/>
        <w:jc w:val="center"/>
        <w:rPr>
          <w:rFonts w:ascii="Gill Sans MT" w:hAnsi="Gill Sans MT" w:cs="Times New Roman"/>
          <w:b/>
          <w:sz w:val="32"/>
          <w:szCs w:val="32"/>
        </w:rPr>
      </w:pPr>
      <w:r w:rsidRPr="00B27C41">
        <w:rPr>
          <w:rFonts w:ascii="Gill Sans MT" w:hAnsi="Gill Sans MT" w:cs="Times New Roman"/>
          <w:b/>
          <w:sz w:val="32"/>
          <w:szCs w:val="32"/>
        </w:rPr>
        <w:t>Applying Precedents Activity</w:t>
      </w:r>
    </w:p>
    <w:p w14:paraId="0C5DF1F6" w14:textId="472B05DC" w:rsidR="00CF1A03" w:rsidRPr="00B61611" w:rsidRDefault="00CF1A03" w:rsidP="00B27C41">
      <w:pPr>
        <w:pStyle w:val="Subhead1sl"/>
        <w:spacing w:before="0"/>
        <w:rPr>
          <w:rFonts w:ascii="Garamond" w:hAnsi="Garamond"/>
          <w:b w:val="0"/>
          <w:bCs/>
          <w:i/>
          <w:iCs/>
          <w:sz w:val="24"/>
          <w:szCs w:val="24"/>
        </w:rPr>
      </w:pPr>
      <w:r w:rsidRPr="003847F2">
        <w:rPr>
          <w:rFonts w:ascii="Garamond" w:hAnsi="Garamond"/>
          <w:sz w:val="24"/>
          <w:szCs w:val="24"/>
        </w:rPr>
        <w:t>Comparison case:</w:t>
      </w:r>
      <w:r w:rsidRPr="00B61611">
        <w:rPr>
          <w:rFonts w:ascii="Garamond" w:hAnsi="Garamond"/>
          <w:b w:val="0"/>
          <w:bCs/>
          <w:sz w:val="24"/>
          <w:szCs w:val="24"/>
        </w:rPr>
        <w:t xml:space="preserve"> </w:t>
      </w:r>
      <w:r w:rsidR="00B61611" w:rsidRPr="00B61611">
        <w:rPr>
          <w:rFonts w:ascii="Garamond" w:hAnsi="Garamond"/>
          <w:b w:val="0"/>
          <w:bCs/>
          <w:i/>
          <w:iCs/>
          <w:sz w:val="24"/>
          <w:szCs w:val="24"/>
        </w:rPr>
        <w:t>J.D.B. v. North Carolina</w:t>
      </w:r>
      <w:r w:rsidR="00B61611">
        <w:rPr>
          <w:rFonts w:ascii="Garamond" w:hAnsi="Garamond"/>
          <w:b w:val="0"/>
          <w:bCs/>
          <w:i/>
          <w:iCs/>
          <w:sz w:val="24"/>
          <w:szCs w:val="24"/>
        </w:rPr>
        <w:t xml:space="preserve"> </w:t>
      </w:r>
      <w:r w:rsidR="00AC55D7" w:rsidRPr="00B27C41">
        <w:rPr>
          <w:rFonts w:ascii="Garamond" w:hAnsi="Garamond"/>
          <w:b w:val="0"/>
          <w:bCs/>
          <w:sz w:val="24"/>
          <w:szCs w:val="24"/>
        </w:rPr>
        <w:t>(201</w:t>
      </w:r>
      <w:r w:rsidR="008E515F" w:rsidRPr="00B27C41">
        <w:rPr>
          <w:rFonts w:ascii="Garamond" w:hAnsi="Garamond"/>
          <w:b w:val="0"/>
          <w:bCs/>
          <w:sz w:val="24"/>
          <w:szCs w:val="24"/>
        </w:rPr>
        <w:t>1</w:t>
      </w:r>
      <w:r w:rsidR="00AC55D7" w:rsidRPr="00B27C41">
        <w:rPr>
          <w:rFonts w:ascii="Garamond" w:hAnsi="Garamond"/>
          <w:b w:val="0"/>
          <w:bCs/>
          <w:sz w:val="24"/>
          <w:szCs w:val="24"/>
        </w:rPr>
        <w:t>)</w:t>
      </w:r>
    </w:p>
    <w:p w14:paraId="0B182C4F" w14:textId="4ED22DA1" w:rsidR="00CF1A03" w:rsidRPr="00B27C41" w:rsidRDefault="00CF1A03" w:rsidP="00AC55D7">
      <w:pPr>
        <w:pStyle w:val="Basiccopycenteredsl"/>
        <w:spacing w:after="240"/>
        <w:rPr>
          <w:iCs/>
          <w:lang w:val="es-419"/>
        </w:rPr>
      </w:pPr>
      <w:proofErr w:type="spellStart"/>
      <w:r w:rsidRPr="00B27C41">
        <w:rPr>
          <w:lang w:val="es-419"/>
        </w:rPr>
        <w:t>Precedent</w:t>
      </w:r>
      <w:proofErr w:type="spellEnd"/>
      <w:r w:rsidRPr="00B27C41">
        <w:rPr>
          <w:lang w:val="es-419"/>
        </w:rPr>
        <w:t xml:space="preserve"> case: </w:t>
      </w:r>
      <w:r w:rsidR="00AC55D7" w:rsidRPr="00B27C41">
        <w:rPr>
          <w:b w:val="0"/>
          <w:i/>
          <w:lang w:val="es-419"/>
        </w:rPr>
        <w:t>Miranda v. Arizona</w:t>
      </w:r>
      <w:r w:rsidR="009722F9" w:rsidRPr="00B27C41">
        <w:rPr>
          <w:b w:val="0"/>
          <w:iCs/>
          <w:lang w:val="es-419"/>
        </w:rPr>
        <w:t xml:space="preserve"> (1966)</w:t>
      </w:r>
    </w:p>
    <w:p w14:paraId="62D6FDAA" w14:textId="77777777" w:rsidR="00F56C31" w:rsidRPr="00922034" w:rsidRDefault="00F56C31" w:rsidP="00F56C31">
      <w:pPr>
        <w:pStyle w:val="Basiccopysl"/>
        <w:tabs>
          <w:tab w:val="left" w:pos="360"/>
        </w:tabs>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binding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6CCE3FE4" w14:textId="77777777" w:rsidR="00F56C31" w:rsidRPr="00922034" w:rsidRDefault="00F56C31" w:rsidP="00F56C31">
      <w:pPr>
        <w:pStyle w:val="Basiccopysl"/>
        <w:tabs>
          <w:tab w:val="left" w:pos="360"/>
        </w:tabs>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3F760590" w14:textId="5605716F" w:rsidR="00F56C31" w:rsidRPr="00922034" w:rsidRDefault="00F56C31" w:rsidP="00F56C31">
      <w:pPr>
        <w:pStyle w:val="Basiccopysl"/>
        <w:tabs>
          <w:tab w:val="left" w:pos="360"/>
        </w:tabs>
        <w:rPr>
          <w:bCs/>
        </w:rPr>
      </w:pPr>
      <w:r w:rsidRPr="00922034">
        <w:rPr>
          <w:b/>
        </w:rPr>
        <w:t>How it’s done:</w:t>
      </w:r>
      <w:r w:rsidRPr="00922034">
        <w:rPr>
          <w:bCs/>
        </w:rPr>
        <w:t xml:space="preserve"> In this exercise, you will analyze a precedent and compare it to </w:t>
      </w:r>
      <w:r w:rsidR="008E515F" w:rsidRPr="008E515F">
        <w:rPr>
          <w:i/>
          <w:iCs/>
        </w:rPr>
        <w:t xml:space="preserve">J.D.B. v. North Carolina </w:t>
      </w:r>
      <w:r w:rsidR="008E515F" w:rsidRPr="008E515F">
        <w:t>(</w:t>
      </w:r>
      <w:r w:rsidRPr="008E515F">
        <w:t>2010).</w:t>
      </w:r>
      <w:r w:rsidRPr="00922034">
        <w:rPr>
          <w:bCs/>
        </w:rPr>
        <w:t xml:space="preserve"> You have been provided with information about t</w:t>
      </w:r>
      <w:r>
        <w:rPr>
          <w:bCs/>
        </w:rPr>
        <w:t>wo</w:t>
      </w:r>
      <w:r w:rsidRPr="00922034">
        <w:rPr>
          <w:bCs/>
        </w:rPr>
        <w:t xml:space="preserve"> cases: </w:t>
      </w:r>
      <w:r w:rsidRPr="00922034">
        <w:rPr>
          <w:b/>
        </w:rPr>
        <w:t>1)</w:t>
      </w:r>
      <w:r w:rsidRPr="00922034">
        <w:rPr>
          <w:bCs/>
        </w:rPr>
        <w:t xml:space="preserve"> the </w:t>
      </w:r>
      <w:r>
        <w:rPr>
          <w:bCs/>
        </w:rPr>
        <w:t xml:space="preserve">background, </w:t>
      </w:r>
      <w:r w:rsidRPr="00922034">
        <w:rPr>
          <w:bCs/>
        </w:rPr>
        <w:t>facts, issue, and constitutional provisions/precedents of the comparison case (</w:t>
      </w:r>
      <w:r w:rsidR="008E515F" w:rsidRPr="008E515F">
        <w:rPr>
          <w:i/>
          <w:iCs/>
        </w:rPr>
        <w:t>J.D.B. v. North Carolina</w:t>
      </w:r>
      <w:r>
        <w:rPr>
          <w:bCs/>
        </w:rPr>
        <w:t>)</w:t>
      </w:r>
      <w:r w:rsidRPr="00922034">
        <w:rPr>
          <w:bCs/>
        </w:rPr>
        <w:t xml:space="preserve"> and </w:t>
      </w:r>
      <w:r w:rsidRPr="00922034">
        <w:rPr>
          <w:b/>
        </w:rPr>
        <w:t>2)</w:t>
      </w:r>
      <w:r w:rsidRPr="00922034">
        <w:rPr>
          <w:bCs/>
        </w:rPr>
        <w:t xml:space="preserve"> a summary of </w:t>
      </w:r>
      <w:r>
        <w:rPr>
          <w:bCs/>
        </w:rPr>
        <w:t xml:space="preserve">a </w:t>
      </w:r>
      <w:r w:rsidRPr="00922034">
        <w:rPr>
          <w:bCs/>
        </w:rPr>
        <w:t>precedent case (</w:t>
      </w:r>
      <w:r w:rsidRPr="00AC55D7">
        <w:rPr>
          <w:i/>
        </w:rPr>
        <w:t>Miranda v. Arizona</w:t>
      </w:r>
      <w:r>
        <w:rPr>
          <w:bCs/>
        </w:rPr>
        <w:t>)</w:t>
      </w:r>
      <w:r w:rsidR="00B27C41">
        <w:rPr>
          <w:bCs/>
        </w:rPr>
        <w:t>, which can be found</w:t>
      </w:r>
      <w:r>
        <w:rPr>
          <w:bCs/>
        </w:rPr>
        <w:t xml:space="preserve"> </w:t>
      </w:r>
      <w:r w:rsidRPr="00E82261">
        <w:rPr>
          <w:bCs/>
        </w:rPr>
        <w:t xml:space="preserve">within the materials for </w:t>
      </w:r>
      <w:r w:rsidR="008E515F" w:rsidRPr="008E515F">
        <w:rPr>
          <w:i/>
          <w:iCs/>
        </w:rPr>
        <w:t>J.D.B. v. North Carolina</w:t>
      </w:r>
      <w:r>
        <w:rPr>
          <w:bCs/>
        </w:rPr>
        <w:t>.</w:t>
      </w:r>
      <w:r w:rsidRPr="00922034">
        <w:rPr>
          <w:bCs/>
        </w:rPr>
        <w:t xml:space="preserve"> </w:t>
      </w:r>
    </w:p>
    <w:p w14:paraId="60B7467F" w14:textId="77777777" w:rsidR="00B27C41" w:rsidRDefault="00F56C31" w:rsidP="00B27C41">
      <w:pPr>
        <w:pStyle w:val="Basiccopysl"/>
      </w:pPr>
      <w:r w:rsidRPr="00922034">
        <w:rPr>
          <w:bCs/>
        </w:rPr>
        <w:t xml:space="preserve">After reading about the cases, you will look for evidence that </w:t>
      </w:r>
      <w:r w:rsidR="008E515F" w:rsidRPr="008E515F">
        <w:rPr>
          <w:i/>
          <w:iCs/>
        </w:rPr>
        <w:t xml:space="preserve">J.D.B. v. North Carolina </w:t>
      </w:r>
      <w:r w:rsidRPr="00922034">
        <w:rPr>
          <w:bCs/>
        </w:rPr>
        <w:t>is</w:t>
      </w:r>
      <w:r w:rsidRPr="003847F2">
        <w:rPr>
          <w:b/>
        </w:rPr>
        <w:t xml:space="preserve"> analogous</w:t>
      </w:r>
      <w:r w:rsidRPr="00922034">
        <w:rPr>
          <w:bCs/>
        </w:rPr>
        <w:t xml:space="preserve"> (similar) to the precedent case and evidence that the cases are </w:t>
      </w:r>
      <w:r w:rsidRPr="003847F2">
        <w:rPr>
          <w:b/>
        </w:rPr>
        <w:t>distinguished</w:t>
      </w:r>
      <w:r w:rsidRPr="00922034">
        <w:rPr>
          <w:bCs/>
        </w:rPr>
        <w:t xml:space="preserve"> (different) from each other. After considering both possibilities, you must decide whether the precedent </w:t>
      </w:r>
      <w:r>
        <w:rPr>
          <w:bCs/>
        </w:rPr>
        <w:t xml:space="preserve">is </w:t>
      </w:r>
      <w:r w:rsidRPr="00922034">
        <w:rPr>
          <w:bCs/>
        </w:rPr>
        <w:t xml:space="preserve">analogous enough to command the same outcome in the comparison case, or whether the comparison case is different enough to distinguish itself from the precedent. </w:t>
      </w:r>
    </w:p>
    <w:p w14:paraId="2DC04958" w14:textId="72185166" w:rsidR="00F56C31" w:rsidRDefault="00000000" w:rsidP="00B27C41">
      <w:pPr>
        <w:pStyle w:val="Basiccopysl"/>
        <w:tabs>
          <w:tab w:val="left" w:pos="360"/>
        </w:tabs>
        <w:rPr>
          <w:bCs/>
        </w:rPr>
      </w:pPr>
      <w:r>
        <w:rPr>
          <w:bCs/>
        </w:rPr>
        <w:pict w14:anchorId="58877C45">
          <v:rect id="_x0000_i1025" style="width:0;height:1.5pt" o:hralign="center" o:hrstd="t" o:hr="t" fillcolor="#a0a0a0" stroked="f"/>
        </w:pict>
      </w:r>
    </w:p>
    <w:p w14:paraId="1A8707F5" w14:textId="1168DEF4" w:rsidR="00CF1A03" w:rsidRPr="00AC55D7" w:rsidRDefault="00CF1A03" w:rsidP="00CF1A03">
      <w:pPr>
        <w:pStyle w:val="ListParagraph"/>
        <w:numPr>
          <w:ilvl w:val="0"/>
          <w:numId w:val="22"/>
        </w:numPr>
        <w:spacing w:after="2520" w:line="276" w:lineRule="auto"/>
        <w:ind w:left="360"/>
        <w:contextualSpacing w:val="0"/>
        <w:rPr>
          <w:rFonts w:ascii="Garamond" w:hAnsi="Garamond"/>
          <w:color w:val="000000"/>
        </w:rPr>
      </w:pPr>
      <w:r w:rsidRPr="00AC55D7">
        <w:rPr>
          <w:rFonts w:ascii="Garamond" w:hAnsi="Garamond"/>
          <w:color w:val="000000"/>
        </w:rPr>
        <w:t xml:space="preserve">Using factual and legal similarities, show how </w:t>
      </w:r>
      <w:r w:rsidR="008E515F" w:rsidRPr="008E515F">
        <w:rPr>
          <w:rFonts w:ascii="Garamond" w:hAnsi="Garamond"/>
          <w:i/>
          <w:iCs/>
        </w:rPr>
        <w:t xml:space="preserve">J.D.B. v. North Carolina </w:t>
      </w:r>
      <w:r w:rsidRPr="00AC55D7">
        <w:rPr>
          <w:rFonts w:ascii="Garamond" w:hAnsi="Garamond"/>
          <w:color w:val="000000"/>
        </w:rPr>
        <w:t xml:space="preserve">is </w:t>
      </w:r>
      <w:r w:rsidRPr="00AC55D7">
        <w:rPr>
          <w:rFonts w:ascii="Garamond" w:hAnsi="Garamond"/>
          <w:b/>
          <w:color w:val="000000"/>
        </w:rPr>
        <w:t>analogous</w:t>
      </w:r>
      <w:r w:rsidRPr="00AC55D7">
        <w:rPr>
          <w:rFonts w:ascii="Garamond" w:hAnsi="Garamond"/>
          <w:color w:val="000000"/>
        </w:rPr>
        <w:t xml:space="preserve"> (similar) to the precedent case </w:t>
      </w:r>
      <w:r w:rsidR="00B27C41" w:rsidRPr="00B27C41">
        <w:rPr>
          <w:rFonts w:ascii="Garamond" w:hAnsi="Garamond"/>
          <w:i/>
          <w:iCs/>
          <w:color w:val="000000"/>
        </w:rPr>
        <w:t>(</w:t>
      </w:r>
      <w:r w:rsidR="00AC55D7" w:rsidRPr="00F56C31">
        <w:rPr>
          <w:rFonts w:ascii="Garamond" w:hAnsi="Garamond"/>
          <w:bCs/>
          <w:i/>
        </w:rPr>
        <w:t>Miranda v. Arizona</w:t>
      </w:r>
      <w:r w:rsidRPr="00AC55D7">
        <w:rPr>
          <w:rFonts w:ascii="Garamond" w:hAnsi="Garamond"/>
          <w:i/>
        </w:rPr>
        <w:t>)</w:t>
      </w:r>
      <w:r w:rsidRPr="00AC55D7">
        <w:rPr>
          <w:rFonts w:ascii="Garamond" w:hAnsi="Garamond"/>
          <w:color w:val="000000"/>
        </w:rPr>
        <w:t>:</w:t>
      </w:r>
    </w:p>
    <w:p w14:paraId="4948F255" w14:textId="23DE60E2" w:rsidR="00CF1A03" w:rsidRPr="00AC55D7" w:rsidRDefault="00393FF4" w:rsidP="00CF1A03">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w:t>
      </w:r>
      <w:r w:rsidR="00CF1A03" w:rsidRPr="00AC55D7">
        <w:rPr>
          <w:rFonts w:ascii="Garamond" w:hAnsi="Garamond"/>
          <w:color w:val="000000"/>
        </w:rPr>
        <w:t xml:space="preserve">how how </w:t>
      </w:r>
      <w:r w:rsidR="008E515F" w:rsidRPr="008E515F">
        <w:rPr>
          <w:rFonts w:ascii="Garamond" w:hAnsi="Garamond"/>
          <w:i/>
          <w:iCs/>
        </w:rPr>
        <w:t xml:space="preserve">J.D.B. v. North Carolina </w:t>
      </w:r>
      <w:r w:rsidR="00CF1A03" w:rsidRPr="00AC55D7">
        <w:rPr>
          <w:rFonts w:ascii="Garamond" w:hAnsi="Garamond"/>
          <w:color w:val="000000"/>
        </w:rPr>
        <w:t xml:space="preserve">is </w:t>
      </w:r>
      <w:r w:rsidR="00CF1A03" w:rsidRPr="00AC55D7">
        <w:rPr>
          <w:rFonts w:ascii="Garamond" w:hAnsi="Garamond"/>
          <w:b/>
          <w:color w:val="000000"/>
        </w:rPr>
        <w:t xml:space="preserve">distinguished </w:t>
      </w:r>
      <w:r w:rsidR="00CF1A03" w:rsidRPr="00AC55D7">
        <w:rPr>
          <w:rFonts w:ascii="Garamond" w:hAnsi="Garamond"/>
          <w:color w:val="000000"/>
        </w:rPr>
        <w:t xml:space="preserve">(different) from the precedent case </w:t>
      </w:r>
      <w:r w:rsidR="00B27C41" w:rsidRPr="00B27C41">
        <w:rPr>
          <w:rFonts w:ascii="Garamond" w:hAnsi="Garamond"/>
          <w:i/>
          <w:iCs/>
          <w:color w:val="000000"/>
        </w:rPr>
        <w:t>(</w:t>
      </w:r>
      <w:r w:rsidR="00AC55D7" w:rsidRPr="00B27C41">
        <w:rPr>
          <w:rFonts w:ascii="Garamond" w:hAnsi="Garamond"/>
          <w:bCs/>
          <w:i/>
          <w:iCs/>
        </w:rPr>
        <w:t>Miranda v. Arizona</w:t>
      </w:r>
      <w:r w:rsidR="00B27C41" w:rsidRPr="00B27C41">
        <w:rPr>
          <w:rFonts w:ascii="Garamond" w:hAnsi="Garamond"/>
          <w:bCs/>
          <w:i/>
          <w:iCs/>
        </w:rPr>
        <w:t>)</w:t>
      </w:r>
      <w:r w:rsidR="00AC55D7" w:rsidRPr="00AC55D7">
        <w:rPr>
          <w:rFonts w:ascii="Garamond" w:hAnsi="Garamond"/>
          <w:color w:val="000000"/>
        </w:rPr>
        <w:t xml:space="preserve"> </w:t>
      </w:r>
      <w:r w:rsidR="00CF1A03" w:rsidRPr="00AC55D7">
        <w:rPr>
          <w:rFonts w:ascii="Garamond" w:hAnsi="Garamond"/>
          <w:color w:val="000000"/>
        </w:rPr>
        <w:t>by pointing out factual and legal differences:</w:t>
      </w:r>
    </w:p>
    <w:p w14:paraId="0E8586CA" w14:textId="06736541" w:rsidR="00CF1A03" w:rsidRPr="00AC55D7" w:rsidRDefault="00CF1A03" w:rsidP="00CF1A03">
      <w:pPr>
        <w:pStyle w:val="ListParagraph"/>
        <w:numPr>
          <w:ilvl w:val="0"/>
          <w:numId w:val="22"/>
        </w:numPr>
        <w:spacing w:after="2520" w:line="276" w:lineRule="auto"/>
        <w:ind w:left="360"/>
        <w:contextualSpacing w:val="0"/>
        <w:rPr>
          <w:rFonts w:ascii="Garamond" w:hAnsi="Garamond"/>
        </w:rPr>
      </w:pPr>
      <w:r w:rsidRPr="00AC55D7">
        <w:rPr>
          <w:rFonts w:ascii="Garamond" w:hAnsi="Garamond"/>
          <w:color w:val="000000"/>
        </w:rPr>
        <w:t xml:space="preserve">We found that </w:t>
      </w:r>
      <w:r w:rsidR="008E515F" w:rsidRPr="008E515F">
        <w:rPr>
          <w:rFonts w:ascii="Garamond" w:hAnsi="Garamond"/>
          <w:i/>
          <w:iCs/>
        </w:rPr>
        <w:t xml:space="preserve">J.D.B. v. North Carolina </w:t>
      </w:r>
      <w:r w:rsidRPr="00AC55D7">
        <w:rPr>
          <w:rFonts w:ascii="Garamond" w:hAnsi="Garamond"/>
          <w:color w:val="000000"/>
        </w:rPr>
        <w:t>is __________________ (</w:t>
      </w:r>
      <w:r w:rsidRPr="00AC55D7">
        <w:rPr>
          <w:rFonts w:ascii="Garamond" w:hAnsi="Garamond"/>
          <w:b/>
          <w:color w:val="000000"/>
        </w:rPr>
        <w:t>analogous to</w:t>
      </w:r>
      <w:r w:rsidRPr="00AC55D7">
        <w:rPr>
          <w:rFonts w:ascii="Garamond" w:hAnsi="Garamond"/>
          <w:color w:val="000000"/>
        </w:rPr>
        <w:t xml:space="preserve"> or </w:t>
      </w:r>
      <w:r w:rsidRPr="00AC55D7">
        <w:rPr>
          <w:rFonts w:ascii="Garamond" w:hAnsi="Garamond"/>
          <w:b/>
          <w:color w:val="000000"/>
        </w:rPr>
        <w:t>distinguished from</w:t>
      </w:r>
      <w:r w:rsidRPr="00AC55D7">
        <w:rPr>
          <w:rFonts w:ascii="Garamond" w:hAnsi="Garamond"/>
          <w:color w:val="000000"/>
        </w:rPr>
        <w:t xml:space="preserve">) the precedent case </w:t>
      </w:r>
      <w:r w:rsidR="00B27C41" w:rsidRPr="00B27C41">
        <w:rPr>
          <w:rFonts w:ascii="Garamond" w:hAnsi="Garamond"/>
          <w:i/>
          <w:iCs/>
          <w:color w:val="000000"/>
        </w:rPr>
        <w:t>(</w:t>
      </w:r>
      <w:r w:rsidR="00AC55D7" w:rsidRPr="00B27C41">
        <w:rPr>
          <w:rFonts w:ascii="Garamond" w:hAnsi="Garamond"/>
          <w:bCs/>
          <w:i/>
          <w:iCs/>
        </w:rPr>
        <w:t>Miranda v. Arizona</w:t>
      </w:r>
      <w:r w:rsidR="00B27C41" w:rsidRPr="00B27C41">
        <w:rPr>
          <w:rFonts w:ascii="Garamond" w:hAnsi="Garamond"/>
          <w:bCs/>
          <w:i/>
          <w:iCs/>
        </w:rPr>
        <w:t>)</w:t>
      </w:r>
      <w:r w:rsidR="00AC55D7" w:rsidRPr="00AC55D7">
        <w:rPr>
          <w:rFonts w:ascii="Garamond" w:hAnsi="Garamond"/>
          <w:color w:val="000000"/>
        </w:rPr>
        <w:t xml:space="preserve"> </w:t>
      </w:r>
      <w:r w:rsidRPr="00AC55D7">
        <w:rPr>
          <w:rFonts w:ascii="Garamond" w:hAnsi="Garamond"/>
          <w:color w:val="000000"/>
        </w:rPr>
        <w:t xml:space="preserve">because:  </w:t>
      </w:r>
    </w:p>
    <w:p w14:paraId="3390BA0B" w14:textId="527C84AF" w:rsidR="00CF1A03" w:rsidRPr="00AC55D7" w:rsidRDefault="00CF1A03" w:rsidP="00CF1A03">
      <w:pPr>
        <w:pStyle w:val="ListParagraph"/>
        <w:numPr>
          <w:ilvl w:val="0"/>
          <w:numId w:val="22"/>
        </w:numPr>
        <w:spacing w:after="240" w:line="276" w:lineRule="auto"/>
        <w:ind w:left="360"/>
        <w:rPr>
          <w:rFonts w:ascii="Garamond" w:hAnsi="Garamond"/>
          <w:color w:val="000000"/>
        </w:rPr>
      </w:pPr>
      <w:r w:rsidRPr="00AC55D7">
        <w:rPr>
          <w:rFonts w:ascii="Garamond" w:hAnsi="Garamond"/>
          <w:color w:val="000000"/>
        </w:rPr>
        <w:t xml:space="preserve">Based on the application of the precedent, how should </w:t>
      </w:r>
      <w:r w:rsidR="008E515F" w:rsidRPr="008E515F">
        <w:rPr>
          <w:rFonts w:ascii="Garamond" w:hAnsi="Garamond"/>
          <w:i/>
          <w:iCs/>
        </w:rPr>
        <w:t xml:space="preserve">J.D.B. v. North Carolina </w:t>
      </w:r>
      <w:r w:rsidRPr="00AC55D7">
        <w:rPr>
          <w:rFonts w:ascii="Garamond" w:hAnsi="Garamond"/>
          <w:color w:val="000000"/>
        </w:rPr>
        <w:t>be decided?</w:t>
      </w:r>
      <w:r w:rsidR="00393FF4">
        <w:rPr>
          <w:rFonts w:ascii="Garamond" w:hAnsi="Garamond"/>
          <w:color w:val="000000"/>
        </w:rPr>
        <w:t xml:space="preserve"> Explain your decision.</w:t>
      </w:r>
    </w:p>
    <w:p w14:paraId="523DF67C" w14:textId="569EA56C" w:rsidR="00CF1A03" w:rsidRPr="00AC55D7" w:rsidRDefault="00CF1A03" w:rsidP="00CF1A03">
      <w:pPr>
        <w:spacing w:after="240"/>
        <w:ind w:left="360"/>
        <w:rPr>
          <w:rFonts w:ascii="Garamond" w:hAnsi="Garamond"/>
          <w:color w:val="000000"/>
        </w:rPr>
      </w:pPr>
      <w:r w:rsidRPr="00AC55D7">
        <w:rPr>
          <w:rFonts w:ascii="Garamond" w:hAnsi="Garamond"/>
          <w:color w:val="000000"/>
        </w:rPr>
        <w:t xml:space="preserve">_____ Decision for </w:t>
      </w:r>
      <w:r w:rsidR="008E515F">
        <w:rPr>
          <w:rFonts w:ascii="Garamond" w:hAnsi="Garamond"/>
        </w:rPr>
        <w:t>J.D.B.</w:t>
      </w:r>
    </w:p>
    <w:p w14:paraId="2E25DF9F" w14:textId="5419A10D" w:rsidR="00CF1A03" w:rsidRPr="00AC55D7" w:rsidRDefault="00CF1A03" w:rsidP="00CF1A03">
      <w:pPr>
        <w:spacing w:after="240"/>
        <w:ind w:left="360"/>
        <w:rPr>
          <w:rFonts w:ascii="Garamond" w:hAnsi="Garamond"/>
          <w:color w:val="000000"/>
        </w:rPr>
      </w:pPr>
      <w:r w:rsidRPr="00AC55D7">
        <w:rPr>
          <w:rFonts w:ascii="Garamond" w:hAnsi="Garamond"/>
          <w:color w:val="000000"/>
        </w:rPr>
        <w:t xml:space="preserve">_____ Decision for </w:t>
      </w:r>
      <w:r w:rsidR="008E515F">
        <w:rPr>
          <w:rFonts w:ascii="Garamond" w:hAnsi="Garamond"/>
          <w:color w:val="000000"/>
        </w:rPr>
        <w:t>North Carolina</w:t>
      </w:r>
    </w:p>
    <w:p w14:paraId="7E0091CD" w14:textId="7372B4EA" w:rsidR="00CF1A03" w:rsidRPr="00393FF4" w:rsidRDefault="00393FF4" w:rsidP="00393FF4">
      <w:pPr>
        <w:pStyle w:val="Title2sl"/>
        <w:ind w:firstLine="360"/>
        <w:rPr>
          <w:rFonts w:ascii="Garamond" w:hAnsi="Garamond"/>
          <w:b w:val="0"/>
          <w:bCs/>
          <w:iCs/>
          <w:sz w:val="24"/>
          <w:szCs w:val="24"/>
        </w:rPr>
      </w:pPr>
      <w:r w:rsidRPr="00393FF4">
        <w:rPr>
          <w:rFonts w:ascii="Garamond" w:hAnsi="Garamond"/>
          <w:b w:val="0"/>
          <w:bCs/>
          <w:iCs/>
          <w:sz w:val="24"/>
          <w:szCs w:val="24"/>
        </w:rPr>
        <w:t>Explanation:</w:t>
      </w:r>
    </w:p>
    <w:p w14:paraId="76E66AC4" w14:textId="77777777" w:rsidR="00CF1A03" w:rsidRPr="00AC55D7" w:rsidRDefault="00CF1A03" w:rsidP="00D064E0">
      <w:pPr>
        <w:pStyle w:val="Title2sl"/>
        <w:jc w:val="center"/>
        <w:rPr>
          <w:rFonts w:ascii="Garamond" w:hAnsi="Garamond"/>
          <w:i/>
          <w:sz w:val="24"/>
          <w:szCs w:val="24"/>
        </w:rPr>
        <w:sectPr w:rsidR="00CF1A03" w:rsidRPr="00AC55D7" w:rsidSect="00FB5411">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B2AF273" w14:textId="2636A642" w:rsidR="00B61611" w:rsidRPr="00B61611" w:rsidRDefault="00B61611" w:rsidP="00B27C41">
      <w:pPr>
        <w:pStyle w:val="Subhead1sl"/>
        <w:spacing w:before="480" w:after="240"/>
        <w:rPr>
          <w:i/>
          <w:iCs/>
        </w:rPr>
      </w:pPr>
      <w:r w:rsidRPr="00B61611">
        <w:rPr>
          <w:i/>
          <w:iCs/>
        </w:rPr>
        <w:lastRenderedPageBreak/>
        <w:t>J.D.B. v. North Carolina</w:t>
      </w:r>
      <w:r w:rsidR="001B7631">
        <w:rPr>
          <w:i/>
          <w:iCs/>
        </w:rPr>
        <w:t xml:space="preserve"> </w:t>
      </w:r>
      <w:r w:rsidR="001B7631" w:rsidRPr="001B7631">
        <w:t>(2011)</w:t>
      </w:r>
    </w:p>
    <w:p w14:paraId="19A41CD7" w14:textId="77777777" w:rsidR="00B61611" w:rsidRDefault="00B61611" w:rsidP="00B61611">
      <w:pPr>
        <w:pStyle w:val="Basiccopycenteredsl"/>
      </w:pPr>
      <w:r w:rsidRPr="00B56076">
        <w:t>Argued:</w:t>
      </w:r>
      <w:r>
        <w:t xml:space="preserve"> </w:t>
      </w:r>
      <w:r w:rsidRPr="006F6DDD">
        <w:rPr>
          <w:b w:val="0"/>
        </w:rPr>
        <w:t>March 23, 2011</w:t>
      </w:r>
    </w:p>
    <w:p w14:paraId="47F32FA2" w14:textId="77777777" w:rsidR="00B61611" w:rsidRPr="006F6DDD" w:rsidRDefault="00B61611" w:rsidP="00B61611">
      <w:pPr>
        <w:pStyle w:val="Basiccopycenteredsl"/>
      </w:pPr>
      <w:r>
        <w:t xml:space="preserve">Decided: </w:t>
      </w:r>
      <w:r w:rsidRPr="006F6DDD">
        <w:rPr>
          <w:b w:val="0"/>
        </w:rPr>
        <w:t>June 16, 2011</w:t>
      </w:r>
    </w:p>
    <w:p w14:paraId="57773749" w14:textId="77777777" w:rsidR="00B61611" w:rsidRPr="00B56076" w:rsidRDefault="00B61611" w:rsidP="00B61611">
      <w:pPr>
        <w:pStyle w:val="Subhead2sl"/>
      </w:pPr>
      <w:r w:rsidRPr="00B56076">
        <w:t>Background</w:t>
      </w:r>
    </w:p>
    <w:p w14:paraId="1390D8C5" w14:textId="730EB7F0" w:rsidR="00B61611" w:rsidRPr="00B56076" w:rsidRDefault="00B61611" w:rsidP="00B61611">
      <w:pPr>
        <w:pStyle w:val="Basiccopysl"/>
      </w:pPr>
      <w:r w:rsidRPr="00B56076">
        <w:t xml:space="preserve">Many Americans are familiar with </w:t>
      </w:r>
      <w:r w:rsidRPr="00B27C41">
        <w:rPr>
          <w:iCs/>
        </w:rPr>
        <w:t>Miranda</w:t>
      </w:r>
      <w:r w:rsidRPr="00B56076">
        <w:rPr>
          <w:i/>
        </w:rPr>
        <w:t xml:space="preserve"> </w:t>
      </w:r>
      <w:r w:rsidRPr="00B56076">
        <w:t xml:space="preserve">warnings from television and movies. If police officers want to question </w:t>
      </w:r>
      <w:r>
        <w:t>anyone</w:t>
      </w:r>
      <w:r w:rsidRPr="00B56076">
        <w:t xml:space="preserve"> while they are in custody, </w:t>
      </w:r>
      <w:r>
        <w:t>police</w:t>
      </w:r>
      <w:r w:rsidRPr="00B56076">
        <w:t xml:space="preserve"> must </w:t>
      </w:r>
      <w:r w:rsidR="00B27C41">
        <w:t xml:space="preserve">first </w:t>
      </w:r>
      <w:r w:rsidRPr="00B56076">
        <w:t>inform the</w:t>
      </w:r>
      <w:r w:rsidR="00B27C41">
        <w:t xml:space="preserve">m </w:t>
      </w:r>
      <w:r w:rsidRPr="00B56076">
        <w:t xml:space="preserve">that </w:t>
      </w:r>
      <w:r>
        <w:t xml:space="preserve">1) </w:t>
      </w:r>
      <w:r w:rsidRPr="00B56076">
        <w:t>they have</w:t>
      </w:r>
      <w:r>
        <w:t xml:space="preserve"> </w:t>
      </w:r>
      <w:r w:rsidRPr="00B56076">
        <w:t xml:space="preserve">the right to remain silent, 2) anything </w:t>
      </w:r>
      <w:r>
        <w:t xml:space="preserve">they </w:t>
      </w:r>
      <w:r w:rsidRPr="00B56076">
        <w:t xml:space="preserve">say may be used against </w:t>
      </w:r>
      <w:r>
        <w:t>them</w:t>
      </w:r>
      <w:r w:rsidRPr="00B56076">
        <w:t xml:space="preserve"> in court, 3) </w:t>
      </w:r>
      <w:r>
        <w:t>they have</w:t>
      </w:r>
      <w:r w:rsidRPr="00B56076">
        <w:t xml:space="preserve"> the right to consult with an attorney before answering any questions and the right to have an attorney present during any questioning, </w:t>
      </w:r>
      <w:r>
        <w:t xml:space="preserve">and </w:t>
      </w:r>
      <w:r w:rsidRPr="00B56076">
        <w:t xml:space="preserve">4) </w:t>
      </w:r>
      <w:r>
        <w:t>they have</w:t>
      </w:r>
      <w:r w:rsidRPr="00B56076">
        <w:t xml:space="preserve"> the right to a court</w:t>
      </w:r>
      <w:r w:rsidR="00B27C41">
        <w:t>-</w:t>
      </w:r>
      <w:r w:rsidRPr="00B56076">
        <w:t xml:space="preserve">appointed attorney if </w:t>
      </w:r>
      <w:r>
        <w:t>t</w:t>
      </w:r>
      <w:r w:rsidRPr="00B56076">
        <w:t>he</w:t>
      </w:r>
      <w:r>
        <w:t>y</w:t>
      </w:r>
      <w:r w:rsidRPr="00B56076">
        <w:t xml:space="preserve"> can’t afford one. Th</w:t>
      </w:r>
      <w:r>
        <w:t xml:space="preserve">ese warnings are provided </w:t>
      </w:r>
      <w:r w:rsidRPr="00B56076">
        <w:t xml:space="preserve">to protect </w:t>
      </w:r>
      <w:r>
        <w:t>a</w:t>
      </w:r>
      <w:r w:rsidRPr="00B56076">
        <w:t xml:space="preserve"> person’s Fifth Amendment right to be free from self-incrimination.  </w:t>
      </w:r>
    </w:p>
    <w:p w14:paraId="36D8AA99" w14:textId="3EBF35E4" w:rsidR="00B61611" w:rsidRPr="006F6DDD" w:rsidRDefault="00B61611" w:rsidP="00B61611">
      <w:pPr>
        <w:pStyle w:val="Basiccopysl"/>
      </w:pPr>
      <w:r w:rsidRPr="00B56076">
        <w:t xml:space="preserve">Police are only required to inform </w:t>
      </w:r>
      <w:r>
        <w:t xml:space="preserve">individuals about their </w:t>
      </w:r>
      <w:r w:rsidRPr="00B27C41">
        <w:rPr>
          <w:iCs/>
        </w:rPr>
        <w:t>Miranda</w:t>
      </w:r>
      <w:r w:rsidRPr="00B56076">
        <w:rPr>
          <w:i/>
        </w:rPr>
        <w:t xml:space="preserve"> </w:t>
      </w:r>
      <w:r w:rsidRPr="00B56076">
        <w:t xml:space="preserve">rights if they are being questioned </w:t>
      </w:r>
      <w:r>
        <w:t xml:space="preserve">while </w:t>
      </w:r>
      <w:r w:rsidRPr="00B56076">
        <w:t xml:space="preserve">in police custody.  </w:t>
      </w:r>
      <w:r>
        <w:t>S</w:t>
      </w:r>
      <w:r w:rsidRPr="00B56076">
        <w:t>omeone is in custody</w:t>
      </w:r>
      <w:r>
        <w:t>, according to the courts,</w:t>
      </w:r>
      <w:r w:rsidRPr="00B56076">
        <w:t xml:space="preserve"> if </w:t>
      </w:r>
      <w:r w:rsidRPr="00B56076">
        <w:rPr>
          <w:i/>
        </w:rPr>
        <w:t>a reasonable person in the same circumstances would not feel free to leave</w:t>
      </w:r>
      <w:r w:rsidRPr="00B27C41">
        <w:rPr>
          <w:iCs/>
        </w:rPr>
        <w:t>.</w:t>
      </w:r>
      <w:r w:rsidRPr="00B56076">
        <w:rPr>
          <w:i/>
        </w:rPr>
        <w:t xml:space="preserve"> </w:t>
      </w:r>
      <w:r w:rsidRPr="00B56076">
        <w:t xml:space="preserve">In this case the </w:t>
      </w:r>
      <w:r>
        <w:t xml:space="preserve">Supreme </w:t>
      </w:r>
      <w:r w:rsidRPr="00B56076">
        <w:t xml:space="preserve">Court has to decide whether a suspect’s age should be considered when determining whether a reasonable person would think </w:t>
      </w:r>
      <w:r>
        <w:t xml:space="preserve">that </w:t>
      </w:r>
      <w:r w:rsidR="00B27C41">
        <w:t>they were</w:t>
      </w:r>
      <w:r w:rsidRPr="00B56076">
        <w:t xml:space="preserve"> in police custody.</w:t>
      </w:r>
    </w:p>
    <w:p w14:paraId="31158FCB" w14:textId="77777777" w:rsidR="00B61611" w:rsidRPr="00B56076" w:rsidRDefault="00B61611" w:rsidP="00B61611">
      <w:pPr>
        <w:pStyle w:val="Subhead2sl"/>
      </w:pPr>
      <w:r w:rsidRPr="00B56076">
        <w:t>Facts</w:t>
      </w:r>
    </w:p>
    <w:p w14:paraId="233A1AEA" w14:textId="7B17EB5A" w:rsidR="00B61611" w:rsidRPr="00B56076" w:rsidRDefault="00B61611" w:rsidP="00B61611">
      <w:pPr>
        <w:pStyle w:val="Basiccopysl"/>
      </w:pPr>
      <w:r w:rsidRPr="00B56076">
        <w:t xml:space="preserve">In 2005, police interviewed </w:t>
      </w:r>
      <w:r w:rsidR="007F0F2F">
        <w:t>13</w:t>
      </w:r>
      <w:r w:rsidRPr="00B56076">
        <w:t xml:space="preserve">-year-old J.D.B. about two home break-ins. J.D.B. was a seventh-grade student enrolled in special education classes when police came to his school to interview him.  The authorities escorted J.D.B. from his classroom to a school conference room and questioned him in the presence of an assistant principal, a school resource officer, and an intern. The door was closed but not locked. The police officers did not inform J.D.B. of his </w:t>
      </w:r>
      <w:r w:rsidRPr="007F0F2F">
        <w:rPr>
          <w:iCs/>
        </w:rPr>
        <w:t xml:space="preserve">Miranda </w:t>
      </w:r>
      <w:r w:rsidRPr="00B56076">
        <w:t>rights and did not contact his parents to inform them that he was being questioned.</w:t>
      </w:r>
    </w:p>
    <w:p w14:paraId="07275762" w14:textId="06F16E84" w:rsidR="00B61611" w:rsidRPr="00B56076" w:rsidRDefault="00B61611" w:rsidP="00B61611">
      <w:pPr>
        <w:pStyle w:val="Basiccopysl"/>
      </w:pPr>
      <w:r w:rsidRPr="00B56076">
        <w:t>The assistant principal urged J.D.B. to “do the right thing” and answer the investigator’s questions.  J.D.B. then agreed to answer questions and, after first denying involvement in any crime, confessed to breaking into the houses and stealing certain items. The police investigator then said that J.D.B. did not have to answer any more questions and was free to leave. J.D.B. nodded “</w:t>
      </w:r>
      <w:r w:rsidR="007F0F2F">
        <w:t>y</w:t>
      </w:r>
      <w:r w:rsidRPr="00B56076">
        <w:t xml:space="preserve">es” and then continued answering questions, giving more details about the stolen goods. The interview lasted </w:t>
      </w:r>
      <w:r>
        <w:t xml:space="preserve">about </w:t>
      </w:r>
      <w:r w:rsidRPr="00B56076">
        <w:t>30</w:t>
      </w:r>
      <w:r w:rsidR="007F0F2F">
        <w:t>–</w:t>
      </w:r>
      <w:r w:rsidRPr="00B56076">
        <w:t xml:space="preserve">45 minutes. When the school day ended, he was allowed to leave and take the bus home.  The police then obtained a search warrant for J.D.B.’s home, went to the boy’s house, and found some of the stolen items. The officers questioned J.D.B. again in his home, gave no </w:t>
      </w:r>
      <w:r w:rsidRPr="007F0F2F">
        <w:rPr>
          <w:iCs/>
        </w:rPr>
        <w:t xml:space="preserve">Miranda </w:t>
      </w:r>
      <w:r w:rsidRPr="00B56076">
        <w:t>warnings</w:t>
      </w:r>
      <w:r>
        <w:t>,</w:t>
      </w:r>
      <w:r w:rsidRPr="00B56076">
        <w:t xml:space="preserve"> and did not notify J.D.B.’s guardian of their actions.</w:t>
      </w:r>
    </w:p>
    <w:p w14:paraId="0B4FEBF3" w14:textId="17DB8638" w:rsidR="00B61611" w:rsidRPr="006F6DDD" w:rsidRDefault="00B61611" w:rsidP="00B61611">
      <w:pPr>
        <w:pStyle w:val="Basiccopysl"/>
      </w:pPr>
      <w:r w:rsidRPr="00B56076">
        <w:t xml:space="preserve">The police charged J.D.B. as a juvenile for breaking and entering and </w:t>
      </w:r>
      <w:r>
        <w:t xml:space="preserve">for </w:t>
      </w:r>
      <w:r w:rsidRPr="00B56076">
        <w:t xml:space="preserve">larceny. J.D.B.’s lawyer filed a motion to prevent his statements and the evidence seized by the officers from being used in </w:t>
      </w:r>
      <w:r>
        <w:t>the case against him. The lawyer</w:t>
      </w:r>
      <w:r w:rsidRPr="00B56076">
        <w:t xml:space="preserve"> argu</w:t>
      </w:r>
      <w:r>
        <w:t>ed</w:t>
      </w:r>
      <w:r w:rsidRPr="00B56076">
        <w:t xml:space="preserve"> that the evidence </w:t>
      </w:r>
      <w:r>
        <w:t xml:space="preserve">was inadmissible </w:t>
      </w:r>
      <w:r w:rsidRPr="00B56076">
        <w:t xml:space="preserve">because </w:t>
      </w:r>
      <w:r>
        <w:t xml:space="preserve">it flowed from a </w:t>
      </w:r>
      <w:r>
        <w:lastRenderedPageBreak/>
        <w:t xml:space="preserve">violation of J.D.B.’s right against self-incrimination: </w:t>
      </w:r>
      <w:r w:rsidRPr="00B56076">
        <w:t xml:space="preserve">J.D.B. hadn’t been read his </w:t>
      </w:r>
      <w:r w:rsidRPr="007F0F2F">
        <w:rPr>
          <w:iCs/>
        </w:rPr>
        <w:t xml:space="preserve">Miranda </w:t>
      </w:r>
      <w:r w:rsidRPr="00B56076">
        <w:t>rights</w:t>
      </w:r>
      <w:r>
        <w:t>, either at school or at the search of his home</w:t>
      </w:r>
      <w:r w:rsidRPr="00B56076">
        <w:t xml:space="preserve">. The trial court ruled that J.D.B. was not in custody while being questioned by the police, so there was no violation of his </w:t>
      </w:r>
      <w:r w:rsidRPr="007F0F2F">
        <w:rPr>
          <w:iCs/>
        </w:rPr>
        <w:t xml:space="preserve">Miranda </w:t>
      </w:r>
      <w:r w:rsidRPr="00B56076">
        <w:t>rights. J.D.B. appealed that ruling, and the appeals court agreed with the trial court. He then appealed to the state Supreme Court, which also ruled against him. J.D.B. appealed to the U.S. Supreme Court</w:t>
      </w:r>
      <w:r w:rsidR="007F0F2F">
        <w:t>, and it agreed to hear his case</w:t>
      </w:r>
      <w:r>
        <w:t>.</w:t>
      </w:r>
    </w:p>
    <w:p w14:paraId="141B763D" w14:textId="77777777" w:rsidR="00B61611" w:rsidRPr="00B56076" w:rsidRDefault="00B61611" w:rsidP="00B61611">
      <w:pPr>
        <w:pStyle w:val="Subhead2sl"/>
      </w:pPr>
      <w:r w:rsidRPr="00B56076">
        <w:t>Issue</w:t>
      </w:r>
    </w:p>
    <w:p w14:paraId="7C93B508" w14:textId="1B8B1BB4" w:rsidR="00B61611" w:rsidRPr="006F6DDD" w:rsidRDefault="00B61611" w:rsidP="00B61611">
      <w:pPr>
        <w:pStyle w:val="Basiccopysl"/>
      </w:pPr>
      <w:r w:rsidRPr="00B56076">
        <w:t xml:space="preserve">Does the Fifth Amendment require that the age of a juvenile suspect be considered when deciding whether </w:t>
      </w:r>
      <w:r w:rsidR="007F0F2F">
        <w:t xml:space="preserve">they are in </w:t>
      </w:r>
      <w:r w:rsidRPr="00B56076">
        <w:t xml:space="preserve">custody and entitled to </w:t>
      </w:r>
      <w:r w:rsidRPr="007F0F2F">
        <w:rPr>
          <w:iCs/>
        </w:rPr>
        <w:t>Miranda</w:t>
      </w:r>
      <w:r w:rsidRPr="00B56076">
        <w:t xml:space="preserve"> warnings?</w:t>
      </w:r>
    </w:p>
    <w:p w14:paraId="499500EC" w14:textId="77777777" w:rsidR="00B61611" w:rsidRPr="00CA29BB" w:rsidRDefault="00B61611" w:rsidP="00B61611">
      <w:pPr>
        <w:pStyle w:val="Subhead2sl"/>
      </w:pPr>
      <w:r w:rsidRPr="00CA29BB">
        <w:t>Constitutional Amendments and Precedents</w:t>
      </w:r>
    </w:p>
    <w:p w14:paraId="745131E0" w14:textId="7F2DCBFF" w:rsidR="00B61611" w:rsidRPr="006F6DDD" w:rsidRDefault="00B61611" w:rsidP="007F0F2F">
      <w:pPr>
        <w:pStyle w:val="Bulletsl"/>
        <w:spacing w:before="240"/>
        <w:rPr>
          <w:b/>
        </w:rPr>
      </w:pPr>
      <w:r w:rsidRPr="006F6DDD">
        <w:rPr>
          <w:b/>
        </w:rPr>
        <w:t>Fifth Amendment</w:t>
      </w:r>
      <w:r w:rsidR="007F0F2F">
        <w:rPr>
          <w:b/>
        </w:rPr>
        <w:t xml:space="preserve"> to the U.S. Constitution</w:t>
      </w:r>
    </w:p>
    <w:p w14:paraId="69F35DE7" w14:textId="7F0A17FF" w:rsidR="00B61611" w:rsidRPr="006F6DDD" w:rsidRDefault="00B61611" w:rsidP="00B61611">
      <w:pPr>
        <w:pStyle w:val="Basiccopyindentedsl"/>
      </w:pPr>
      <w:r w:rsidRPr="00B56076">
        <w:t>“No person … shall be compelled in any criminal case to be a witness against himself, nor be deprived of life, liberty, or property without due process of law.”</w:t>
      </w:r>
    </w:p>
    <w:p w14:paraId="386646C1" w14:textId="77777777" w:rsidR="00B61611" w:rsidRPr="00A11DAE" w:rsidRDefault="00B61611" w:rsidP="007F0F2F">
      <w:pPr>
        <w:pStyle w:val="Bulletsl"/>
        <w:spacing w:before="240"/>
        <w:rPr>
          <w:bCs/>
        </w:rPr>
      </w:pPr>
      <w:r w:rsidRPr="00A11DAE">
        <w:rPr>
          <w:bCs/>
          <w:i/>
          <w:iCs/>
        </w:rPr>
        <w:t>Miranda v. Arizona</w:t>
      </w:r>
      <w:r w:rsidRPr="00A11DAE">
        <w:rPr>
          <w:bCs/>
        </w:rPr>
        <w:t xml:space="preserve"> (1966)</w:t>
      </w:r>
    </w:p>
    <w:p w14:paraId="46B519CD" w14:textId="4992C490" w:rsidR="00B61611" w:rsidRPr="006F6DDD" w:rsidRDefault="00B61611" w:rsidP="00B61611">
      <w:pPr>
        <w:pStyle w:val="Basiccopyindentedsl"/>
      </w:pPr>
      <w:r w:rsidRPr="00B56076">
        <w:t xml:space="preserve">Ernesto Miranda confessed in writing to kidnapping and rape after being questioned by police for two hours without a lawyer present. After the trial court convicted him, Miranda appealed his case, arguing that his confession should not have been allowed in his trial because he did not have an attorney present during his interrogation. The U.S. Supreme Court ruled for Miranda. It </w:t>
      </w:r>
      <w:r>
        <w:t xml:space="preserve">determined </w:t>
      </w:r>
      <w:r w:rsidRPr="00B56076">
        <w:t xml:space="preserve">that the Constitution allows individuals to talk with an attorney both before and during police questioning and that these rights must be clearly stated to the accused. A suspect may also waive these rights, as long as </w:t>
      </w:r>
      <w:r w:rsidR="007F0F2F">
        <w:t xml:space="preserve">they are </w:t>
      </w:r>
      <w:r w:rsidRPr="00B56076">
        <w:t xml:space="preserve">shown to have fully understood them and waived them voluntarily.  </w:t>
      </w:r>
    </w:p>
    <w:p w14:paraId="2CABB673" w14:textId="77777777" w:rsidR="00B61611" w:rsidRPr="00A11DAE" w:rsidRDefault="00B61611" w:rsidP="007F0F2F">
      <w:pPr>
        <w:pStyle w:val="Bulletsl"/>
        <w:spacing w:before="240"/>
        <w:rPr>
          <w:bCs/>
        </w:rPr>
      </w:pPr>
      <w:r w:rsidRPr="00A11DAE">
        <w:rPr>
          <w:bCs/>
          <w:i/>
          <w:iCs/>
        </w:rPr>
        <w:t>Yarborough v. Alvarado</w:t>
      </w:r>
      <w:r w:rsidRPr="00A11DAE">
        <w:rPr>
          <w:bCs/>
        </w:rPr>
        <w:t xml:space="preserve"> (2004)</w:t>
      </w:r>
    </w:p>
    <w:p w14:paraId="52831F9C" w14:textId="6120FE53" w:rsidR="00B61611" w:rsidRPr="006F6DDD" w:rsidRDefault="007F0F2F" w:rsidP="00B61611">
      <w:pPr>
        <w:pStyle w:val="Basiccopyindentedsl"/>
        <w:rPr>
          <w:rStyle w:val="searchmatch"/>
        </w:rPr>
      </w:pPr>
      <w:r>
        <w:rPr>
          <w:rStyle w:val="searchmatch"/>
        </w:rPr>
        <w:t xml:space="preserve">Michael </w:t>
      </w:r>
      <w:r w:rsidR="00B61611" w:rsidRPr="006F6DDD">
        <w:rPr>
          <w:rStyle w:val="searchmatch"/>
        </w:rPr>
        <w:t>Alvarado, a 17-year</w:t>
      </w:r>
      <w:r>
        <w:rPr>
          <w:rStyle w:val="searchmatch"/>
        </w:rPr>
        <w:t>-</w:t>
      </w:r>
      <w:r w:rsidR="00B61611" w:rsidRPr="006F6DDD">
        <w:rPr>
          <w:rStyle w:val="searchmatch"/>
        </w:rPr>
        <w:t>old, was called into the police station to answer some questions about a recent crime and was not given Miranda warning</w:t>
      </w:r>
      <w:r>
        <w:rPr>
          <w:rStyle w:val="searchmatch"/>
        </w:rPr>
        <w:t>s</w:t>
      </w:r>
      <w:r w:rsidR="00B61611" w:rsidRPr="006F6DDD">
        <w:rPr>
          <w:rStyle w:val="searchmatch"/>
        </w:rPr>
        <w:t>. After eventually confessing to the crime, he tried to exclude his statements because he was not warned of his right to remain silent or to an attorney. He argued that his status as a minor and inexperience with the law should have been taken into consideration when deciding whether or not he was in custody.</w:t>
      </w:r>
    </w:p>
    <w:p w14:paraId="0B60889B" w14:textId="5CF0DB00" w:rsidR="00B61611" w:rsidRPr="006F6DDD" w:rsidRDefault="00B61611" w:rsidP="00B61611">
      <w:pPr>
        <w:pStyle w:val="Basiccopyindentedsl"/>
      </w:pPr>
      <w:r w:rsidRPr="006F6DDD">
        <w:rPr>
          <w:rStyle w:val="searchmatch"/>
        </w:rPr>
        <w:t>When deciding whether someone is in custody, courts prefer to use objective factors (</w:t>
      </w:r>
      <w:r w:rsidR="007F0F2F">
        <w:rPr>
          <w:rStyle w:val="searchmatch"/>
        </w:rPr>
        <w:t>e.g., w</w:t>
      </w:r>
      <w:r w:rsidRPr="006F6DDD">
        <w:rPr>
          <w:rStyle w:val="searchmatch"/>
        </w:rPr>
        <w:t>hether the suspect was handcuffed or how long the questioning lasted</w:t>
      </w:r>
      <w:r w:rsidR="007F0F2F">
        <w:rPr>
          <w:rStyle w:val="searchmatch"/>
        </w:rPr>
        <w:t>, etc.</w:t>
      </w:r>
      <w:r w:rsidRPr="006F6DDD">
        <w:rPr>
          <w:rStyle w:val="searchmatch"/>
        </w:rPr>
        <w:t>) because these are clear and easy to determine. Subjective factors (</w:t>
      </w:r>
      <w:r w:rsidR="007F0F2F">
        <w:rPr>
          <w:rStyle w:val="searchmatch"/>
        </w:rPr>
        <w:t xml:space="preserve">i.e., </w:t>
      </w:r>
      <w:r w:rsidRPr="006F6DDD">
        <w:rPr>
          <w:rStyle w:val="searchmatch"/>
        </w:rPr>
        <w:t>things that vary with each individual) are very difficult to determine because different people interpret factors differently. In this case the U.S. Supreme Court ruled that a suspect’s inexperience is not an objective factor, and</w:t>
      </w:r>
      <w:r w:rsidR="00432D5C">
        <w:rPr>
          <w:rStyle w:val="searchmatch"/>
        </w:rPr>
        <w:t>,</w:t>
      </w:r>
      <w:r w:rsidRPr="006F6DDD">
        <w:rPr>
          <w:rStyle w:val="searchmatch"/>
        </w:rPr>
        <w:t xml:space="preserve"> therefore</w:t>
      </w:r>
      <w:r w:rsidR="00432D5C">
        <w:rPr>
          <w:rStyle w:val="searchmatch"/>
        </w:rPr>
        <w:t>,</w:t>
      </w:r>
      <w:r w:rsidRPr="006F6DDD">
        <w:rPr>
          <w:rStyle w:val="searchmatch"/>
        </w:rPr>
        <w:t xml:space="preserve"> inexperience does not need to be considered when determining whether it was reasonable for </w:t>
      </w:r>
      <w:r w:rsidR="00432D5C">
        <w:rPr>
          <w:rStyle w:val="searchmatch"/>
        </w:rPr>
        <w:t>a</w:t>
      </w:r>
      <w:r w:rsidRPr="006F6DDD">
        <w:rPr>
          <w:rStyle w:val="searchmatch"/>
        </w:rPr>
        <w:t xml:space="preserve"> suspect to believe that </w:t>
      </w:r>
      <w:r w:rsidR="00432D5C">
        <w:rPr>
          <w:rStyle w:val="searchmatch"/>
        </w:rPr>
        <w:t xml:space="preserve">they were </w:t>
      </w:r>
      <w:r w:rsidRPr="006F6DDD">
        <w:rPr>
          <w:rStyle w:val="searchmatch"/>
        </w:rPr>
        <w:t xml:space="preserve">not free to leave during questioning.  </w:t>
      </w:r>
      <w:r w:rsidRPr="006F6DDD">
        <w:rPr>
          <w:rStyle w:val="searchmatch"/>
        </w:rPr>
        <w:lastRenderedPageBreak/>
        <w:t xml:space="preserve">However, the reasoning of the justices did not make clear whether age could be part of the objective custody test.  </w:t>
      </w:r>
    </w:p>
    <w:p w14:paraId="11654920" w14:textId="1AF7E31C" w:rsidR="00B61611" w:rsidRPr="00A11DAE" w:rsidRDefault="00B61611" w:rsidP="007F0F2F">
      <w:pPr>
        <w:pStyle w:val="Bulletsl"/>
        <w:spacing w:before="240"/>
        <w:rPr>
          <w:bCs/>
        </w:rPr>
      </w:pPr>
      <w:r w:rsidRPr="00A11DAE">
        <w:rPr>
          <w:bCs/>
          <w:i/>
          <w:iCs/>
        </w:rPr>
        <w:t>In re</w:t>
      </w:r>
      <w:r w:rsidR="007F0F2F" w:rsidRPr="00A11DAE">
        <w:rPr>
          <w:bCs/>
          <w:i/>
          <w:iCs/>
        </w:rPr>
        <w:t>:</w:t>
      </w:r>
      <w:r w:rsidRPr="00A11DAE">
        <w:rPr>
          <w:bCs/>
          <w:i/>
          <w:iCs/>
        </w:rPr>
        <w:t xml:space="preserve"> Gault</w:t>
      </w:r>
      <w:r w:rsidRPr="00A11DAE">
        <w:rPr>
          <w:bCs/>
        </w:rPr>
        <w:t xml:space="preserve"> (1967)</w:t>
      </w:r>
    </w:p>
    <w:p w14:paraId="75B3078B" w14:textId="164717C6" w:rsidR="00B61611" w:rsidRDefault="00B61611" w:rsidP="00B61611">
      <w:pPr>
        <w:pStyle w:val="Basiccopyindentedsl"/>
        <w:rPr>
          <w:rFonts w:ascii="Palatino Linotype" w:hAnsi="Palatino Linotype"/>
        </w:rPr>
      </w:pPr>
      <w:r w:rsidRPr="00B56076">
        <w:t xml:space="preserve">Fifteen-year-old Gerald Gault was taken into custody after a neighbor complained of receiving an offensive phone call. The police held Gault without notifying him of the charges against him, without telling his parents that he was being held, and without informing him of his right to a lawyer. He was found delinquent in court and appealed his conviction. The U.S. Supreme Court ruled that that Fifth Amendment privileges must be extended to children during juvenile delinquency proceedings. The Court held that before an incriminating statement made by a minor could be used as evidence, there would have to be proof that the child made the statement of </w:t>
      </w:r>
      <w:r w:rsidR="00432D5C">
        <w:t xml:space="preserve">their </w:t>
      </w:r>
      <w:r w:rsidRPr="00B56076">
        <w:t xml:space="preserve">own free will and knew that </w:t>
      </w:r>
      <w:r w:rsidR="00432D5C">
        <w:t xml:space="preserve">they </w:t>
      </w:r>
      <w:r w:rsidRPr="00B56076">
        <w:t xml:space="preserve">would not be punished for remaining silent.  </w:t>
      </w:r>
    </w:p>
    <w:p w14:paraId="0F42549C" w14:textId="77777777" w:rsidR="00AC55D7" w:rsidRPr="00AC55D7" w:rsidRDefault="00AC55D7" w:rsidP="00B61611">
      <w:pPr>
        <w:pStyle w:val="Basiccopycenteredsl"/>
        <w:spacing w:after="0"/>
        <w:rPr>
          <w:rFonts w:cs="Century Schoolbook"/>
          <w:color w:val="000000"/>
        </w:rPr>
      </w:pPr>
    </w:p>
    <w:sectPr w:rsidR="00AC55D7" w:rsidRPr="00AC55D7" w:rsidSect="00FB54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5A31" w14:textId="77777777" w:rsidR="00FB5411" w:rsidRDefault="00FB5411" w:rsidP="0078549D">
      <w:r>
        <w:separator/>
      </w:r>
    </w:p>
  </w:endnote>
  <w:endnote w:type="continuationSeparator" w:id="0">
    <w:p w14:paraId="7B100067" w14:textId="77777777" w:rsidR="00FB5411" w:rsidRDefault="00FB5411"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7A304586"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B61611">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43E8AD63" w:rsidR="000A1830" w:rsidRPr="00B27C41" w:rsidRDefault="000A1830">
        <w:pPr>
          <w:pStyle w:val="Footer"/>
          <w:rPr>
            <w:rFonts w:ascii="Garamond" w:hAnsi="Garamond"/>
            <w:sz w:val="22"/>
            <w:szCs w:val="22"/>
          </w:rPr>
        </w:pPr>
        <w:r w:rsidRPr="00B27C41">
          <w:rPr>
            <w:rFonts w:ascii="Garamond" w:hAnsi="Garamond" w:cstheme="minorHAnsi"/>
            <w:sz w:val="22"/>
            <w:szCs w:val="22"/>
          </w:rPr>
          <w:t>©</w:t>
        </w:r>
        <w:r w:rsidRPr="00B27C41">
          <w:rPr>
            <w:rFonts w:ascii="Garamond" w:hAnsi="Garamond"/>
            <w:sz w:val="22"/>
            <w:szCs w:val="22"/>
          </w:rPr>
          <w:t xml:space="preserve"> 20</w:t>
        </w:r>
        <w:r w:rsidR="00B86C11" w:rsidRPr="00B27C41">
          <w:rPr>
            <w:rFonts w:ascii="Garamond" w:hAnsi="Garamond"/>
            <w:sz w:val="22"/>
            <w:szCs w:val="22"/>
          </w:rPr>
          <w:t>20</w:t>
        </w:r>
        <w:r w:rsidRPr="00B27C41">
          <w:rPr>
            <w:rFonts w:ascii="Garamond" w:hAnsi="Garamond"/>
            <w:sz w:val="22"/>
            <w:szCs w:val="22"/>
          </w:rPr>
          <w:t xml:space="preserve"> Street Law, Inc.</w:t>
        </w:r>
        <w:r w:rsidRPr="00B27C41">
          <w:rPr>
            <w:rFonts w:ascii="Garamond" w:hAnsi="Garamond"/>
            <w:sz w:val="22"/>
            <w:szCs w:val="22"/>
          </w:rPr>
          <w:tab/>
        </w:r>
        <w:r w:rsidRPr="00B27C41">
          <w:rPr>
            <w:rFonts w:ascii="Garamond" w:hAnsi="Garamond"/>
            <w:sz w:val="22"/>
            <w:szCs w:val="22"/>
          </w:rPr>
          <w:tab/>
          <w:t xml:space="preserve"> </w:t>
        </w:r>
        <w:r w:rsidR="00B27C41" w:rsidRPr="00B27C41">
          <w:rPr>
            <w:rFonts w:ascii="Garamond" w:hAnsi="Garamond"/>
            <w:sz w:val="22"/>
            <w:szCs w:val="22"/>
          </w:rPr>
          <w:t>Last updated: 0</w:t>
        </w:r>
        <w:r w:rsidR="00A11DAE">
          <w:rPr>
            <w:rFonts w:ascii="Garamond" w:hAnsi="Garamond"/>
            <w:sz w:val="22"/>
            <w:szCs w:val="22"/>
          </w:rPr>
          <w:t>1/23/2024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B900" w14:textId="77777777" w:rsidR="00FB5411" w:rsidRDefault="00FB5411" w:rsidP="0078549D">
      <w:r>
        <w:separator/>
      </w:r>
    </w:p>
  </w:footnote>
  <w:footnote w:type="continuationSeparator" w:id="0">
    <w:p w14:paraId="6E123689" w14:textId="77777777" w:rsidR="00FB5411" w:rsidRDefault="00FB5411"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933" w14:textId="3A4622B2" w:rsidR="0078549D" w:rsidRPr="00A11DAE" w:rsidRDefault="00A11DAE" w:rsidP="00A11DAE">
    <w:pPr>
      <w:pStyle w:val="Header"/>
      <w:jc w:val="right"/>
      <w:rPr>
        <w:rFonts w:ascii="Garamond" w:hAnsi="Garamond"/>
        <w:sz w:val="22"/>
        <w:szCs w:val="18"/>
      </w:rPr>
    </w:pPr>
    <w:r w:rsidRPr="00A11DAE">
      <w:rPr>
        <w:rFonts w:ascii="Garamond" w:hAnsi="Garamond"/>
        <w:noProof/>
        <w:sz w:val="22"/>
        <w:szCs w:val="18"/>
      </w:rPr>
      <mc:AlternateContent>
        <mc:Choice Requires="wps">
          <w:drawing>
            <wp:anchor distT="0" distB="0" distL="114300" distR="114300" simplePos="0" relativeHeight="251667456" behindDoc="0" locked="0" layoutInCell="1" allowOverlap="1" wp14:anchorId="0E67E5CA" wp14:editId="42E730C1">
              <wp:simplePos x="0" y="0"/>
              <wp:positionH relativeFrom="column">
                <wp:posOffset>-209550</wp:posOffset>
              </wp:positionH>
              <wp:positionV relativeFrom="paragraph">
                <wp:posOffset>-171450</wp:posOffset>
              </wp:positionV>
              <wp:extent cx="2695575" cy="542925"/>
              <wp:effectExtent l="0" t="0" r="0" b="0"/>
              <wp:wrapNone/>
              <wp:docPr id="2137093292" name="Text Box 213709329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0AF73" w14:textId="77777777" w:rsidR="00A11DAE" w:rsidRDefault="00A11DAE" w:rsidP="00A11DAE">
                          <w:r>
                            <w:rPr>
                              <w:noProof/>
                            </w:rPr>
                            <w:drawing>
                              <wp:inline distT="0" distB="0" distL="0" distR="0" wp14:anchorId="4317CBC2" wp14:editId="02F0AA6C">
                                <wp:extent cx="1828800" cy="333590"/>
                                <wp:effectExtent l="0" t="0" r="0" b="9525"/>
                                <wp:docPr id="1569443531" name="Picture 15694435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67E5CA" id="_x0000_t202" coordsize="21600,21600" o:spt="202" path="m,l,21600r21600,l21600,xe">
              <v:stroke joinstyle="miter"/>
              <v:path gradientshapeok="t" o:connecttype="rect"/>
            </v:shapetype>
            <v:shape id="Text Box 2137093292"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68C0AF73" w14:textId="77777777" w:rsidR="00A11DAE" w:rsidRDefault="00A11DAE" w:rsidP="00A11DAE">
                    <w:r>
                      <w:rPr>
                        <w:noProof/>
                      </w:rPr>
                      <w:drawing>
                        <wp:inline distT="0" distB="0" distL="0" distR="0" wp14:anchorId="4317CBC2" wp14:editId="02F0AA6C">
                          <wp:extent cx="1828800" cy="333590"/>
                          <wp:effectExtent l="0" t="0" r="0" b="9525"/>
                          <wp:docPr id="1569443531" name="Picture 15694435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11DAE">
      <w:rPr>
        <w:rFonts w:ascii="Garamond" w:hAnsi="Garamond"/>
        <w:sz w:val="22"/>
        <w:szCs w:val="18"/>
      </w:rPr>
      <w:t>Applying Precedents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0DCC" w14:textId="00C2856A" w:rsidR="00A11DAE" w:rsidRPr="00A11DAE" w:rsidRDefault="00A11DAE" w:rsidP="00A11DAE">
    <w:pPr>
      <w:pStyle w:val="Header"/>
      <w:jc w:val="right"/>
      <w:rPr>
        <w:rFonts w:ascii="Garamond" w:hAnsi="Garamond"/>
        <w:sz w:val="22"/>
        <w:szCs w:val="18"/>
      </w:rPr>
    </w:pPr>
    <w:r w:rsidRPr="00A11DAE">
      <w:rPr>
        <w:rFonts w:ascii="Garamond" w:hAnsi="Garamond"/>
        <w:noProof/>
        <w:sz w:val="22"/>
        <w:szCs w:val="18"/>
      </w:rPr>
      <mc:AlternateContent>
        <mc:Choice Requires="wps">
          <w:drawing>
            <wp:anchor distT="0" distB="0" distL="114300" distR="114300" simplePos="0" relativeHeight="251665408" behindDoc="0" locked="0" layoutInCell="1" allowOverlap="1" wp14:anchorId="747819DB" wp14:editId="3E84E317">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1BD6A" w14:textId="77777777" w:rsidR="00A11DAE" w:rsidRDefault="00A11DAE" w:rsidP="00A11DAE">
                          <w:r>
                            <w:rPr>
                              <w:noProof/>
                            </w:rPr>
                            <w:drawing>
                              <wp:inline distT="0" distB="0" distL="0" distR="0" wp14:anchorId="1B2C5DC8" wp14:editId="10168612">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7819DB"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CE1BD6A" w14:textId="77777777" w:rsidR="00A11DAE" w:rsidRDefault="00A11DAE" w:rsidP="00A11DAE">
                    <w:r>
                      <w:rPr>
                        <w:noProof/>
                      </w:rPr>
                      <w:drawing>
                        <wp:inline distT="0" distB="0" distL="0" distR="0" wp14:anchorId="1B2C5DC8" wp14:editId="10168612">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11DAE">
      <w:rPr>
        <w:rFonts w:ascii="Garamond" w:hAnsi="Garamond"/>
        <w:sz w:val="22"/>
        <w:szCs w:val="18"/>
      </w:rPr>
      <w:t xml:space="preserve">Applying Precedents </w:t>
    </w:r>
    <w:r w:rsidRPr="00A11DAE">
      <w:rPr>
        <w:rFonts w:ascii="Garamond" w:hAnsi="Garamond"/>
        <w:sz w:val="22"/>
        <w:szCs w:val="18"/>
      </w:rPr>
      <w:t>Activity</w:t>
    </w:r>
  </w:p>
  <w:p w14:paraId="1D1F6C0B" w14:textId="4FB63A27" w:rsidR="001D03B0" w:rsidRPr="00A11DAE" w:rsidRDefault="001D03B0" w:rsidP="00A11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48858">
    <w:abstractNumId w:val="6"/>
  </w:num>
  <w:num w:numId="2" w16cid:durableId="1695423702">
    <w:abstractNumId w:val="3"/>
  </w:num>
  <w:num w:numId="3" w16cid:durableId="235551560">
    <w:abstractNumId w:val="2"/>
  </w:num>
  <w:num w:numId="4" w16cid:durableId="1700543996">
    <w:abstractNumId w:val="4"/>
  </w:num>
  <w:num w:numId="5" w16cid:durableId="50664570">
    <w:abstractNumId w:val="7"/>
  </w:num>
  <w:num w:numId="6" w16cid:durableId="597491984">
    <w:abstractNumId w:val="5"/>
  </w:num>
  <w:num w:numId="7" w16cid:durableId="277488733">
    <w:abstractNumId w:val="7"/>
    <w:lvlOverride w:ilvl="0">
      <w:startOverride w:val="1"/>
    </w:lvlOverride>
  </w:num>
  <w:num w:numId="8" w16cid:durableId="1324355105">
    <w:abstractNumId w:val="7"/>
    <w:lvlOverride w:ilvl="0">
      <w:startOverride w:val="1"/>
    </w:lvlOverride>
  </w:num>
  <w:num w:numId="9" w16cid:durableId="151720197">
    <w:abstractNumId w:val="7"/>
    <w:lvlOverride w:ilvl="0">
      <w:startOverride w:val="1"/>
    </w:lvlOverride>
  </w:num>
  <w:num w:numId="10" w16cid:durableId="1132284418">
    <w:abstractNumId w:val="7"/>
    <w:lvlOverride w:ilvl="0">
      <w:startOverride w:val="1"/>
    </w:lvlOverride>
  </w:num>
  <w:num w:numId="11" w16cid:durableId="743650714">
    <w:abstractNumId w:val="8"/>
  </w:num>
  <w:num w:numId="12" w16cid:durableId="621545405">
    <w:abstractNumId w:val="0"/>
  </w:num>
  <w:num w:numId="13" w16cid:durableId="581330182">
    <w:abstractNumId w:val="6"/>
  </w:num>
  <w:num w:numId="14" w16cid:durableId="977611782">
    <w:abstractNumId w:val="1"/>
  </w:num>
  <w:num w:numId="15" w16cid:durableId="1359042123">
    <w:abstractNumId w:val="10"/>
  </w:num>
  <w:num w:numId="16" w16cid:durableId="432213123">
    <w:abstractNumId w:val="12"/>
  </w:num>
  <w:num w:numId="17" w16cid:durableId="1497038857">
    <w:abstractNumId w:val="11"/>
  </w:num>
  <w:num w:numId="18" w16cid:durableId="637033590">
    <w:abstractNumId w:val="6"/>
  </w:num>
  <w:num w:numId="19" w16cid:durableId="1584992955">
    <w:abstractNumId w:val="6"/>
  </w:num>
  <w:num w:numId="20" w16cid:durableId="1459302711">
    <w:abstractNumId w:val="6"/>
  </w:num>
  <w:num w:numId="21" w16cid:durableId="1377008680">
    <w:abstractNumId w:val="6"/>
  </w:num>
  <w:num w:numId="22" w16cid:durableId="1352098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A1830"/>
    <w:rsid w:val="000C44A6"/>
    <w:rsid w:val="000C79A5"/>
    <w:rsid w:val="000D0E5D"/>
    <w:rsid w:val="000E239D"/>
    <w:rsid w:val="000F7EA2"/>
    <w:rsid w:val="00101452"/>
    <w:rsid w:val="0011217A"/>
    <w:rsid w:val="00126968"/>
    <w:rsid w:val="00142F77"/>
    <w:rsid w:val="001559C2"/>
    <w:rsid w:val="0016005E"/>
    <w:rsid w:val="00161C2E"/>
    <w:rsid w:val="00170B98"/>
    <w:rsid w:val="00194758"/>
    <w:rsid w:val="001A3A09"/>
    <w:rsid w:val="001B7631"/>
    <w:rsid w:val="001D0190"/>
    <w:rsid w:val="001D03B0"/>
    <w:rsid w:val="001D1FF5"/>
    <w:rsid w:val="001F5727"/>
    <w:rsid w:val="00212E96"/>
    <w:rsid w:val="00215174"/>
    <w:rsid w:val="0022710D"/>
    <w:rsid w:val="00235B40"/>
    <w:rsid w:val="0024195E"/>
    <w:rsid w:val="00250E4E"/>
    <w:rsid w:val="00257B6F"/>
    <w:rsid w:val="00271DBD"/>
    <w:rsid w:val="00281CBB"/>
    <w:rsid w:val="00290061"/>
    <w:rsid w:val="002B4D38"/>
    <w:rsid w:val="002C68A3"/>
    <w:rsid w:val="002D03AB"/>
    <w:rsid w:val="00310F79"/>
    <w:rsid w:val="00311BF1"/>
    <w:rsid w:val="00317735"/>
    <w:rsid w:val="003512E4"/>
    <w:rsid w:val="00351CAD"/>
    <w:rsid w:val="00374A60"/>
    <w:rsid w:val="00375090"/>
    <w:rsid w:val="00376E1D"/>
    <w:rsid w:val="003847F2"/>
    <w:rsid w:val="00384B37"/>
    <w:rsid w:val="00387E81"/>
    <w:rsid w:val="00393FF4"/>
    <w:rsid w:val="00396AEB"/>
    <w:rsid w:val="003A1B9A"/>
    <w:rsid w:val="003B634A"/>
    <w:rsid w:val="003C4D52"/>
    <w:rsid w:val="003D464A"/>
    <w:rsid w:val="003E702C"/>
    <w:rsid w:val="004023FD"/>
    <w:rsid w:val="00415E54"/>
    <w:rsid w:val="00425D42"/>
    <w:rsid w:val="00432D5C"/>
    <w:rsid w:val="00437374"/>
    <w:rsid w:val="00451447"/>
    <w:rsid w:val="004517DC"/>
    <w:rsid w:val="00460106"/>
    <w:rsid w:val="00497AC2"/>
    <w:rsid w:val="004A5AEB"/>
    <w:rsid w:val="004B1FDC"/>
    <w:rsid w:val="004B560A"/>
    <w:rsid w:val="004B63CF"/>
    <w:rsid w:val="004C0C08"/>
    <w:rsid w:val="004E098F"/>
    <w:rsid w:val="005048C8"/>
    <w:rsid w:val="00512785"/>
    <w:rsid w:val="00512949"/>
    <w:rsid w:val="00514B4D"/>
    <w:rsid w:val="005311FB"/>
    <w:rsid w:val="005A0330"/>
    <w:rsid w:val="005B5776"/>
    <w:rsid w:val="005C3E6E"/>
    <w:rsid w:val="005D61D0"/>
    <w:rsid w:val="005E7A8C"/>
    <w:rsid w:val="005F00F2"/>
    <w:rsid w:val="005F7F6B"/>
    <w:rsid w:val="00610436"/>
    <w:rsid w:val="00660AD9"/>
    <w:rsid w:val="006A5721"/>
    <w:rsid w:val="006B0ADE"/>
    <w:rsid w:val="006B418C"/>
    <w:rsid w:val="006C3A85"/>
    <w:rsid w:val="00722867"/>
    <w:rsid w:val="00737D36"/>
    <w:rsid w:val="00781B9A"/>
    <w:rsid w:val="00783E8E"/>
    <w:rsid w:val="0078549D"/>
    <w:rsid w:val="00785FE1"/>
    <w:rsid w:val="0079282E"/>
    <w:rsid w:val="007A0E15"/>
    <w:rsid w:val="007A433A"/>
    <w:rsid w:val="007B32C3"/>
    <w:rsid w:val="007C3126"/>
    <w:rsid w:val="007D1BB2"/>
    <w:rsid w:val="007D35AA"/>
    <w:rsid w:val="007F0F2F"/>
    <w:rsid w:val="007F700D"/>
    <w:rsid w:val="00815CB0"/>
    <w:rsid w:val="0081706F"/>
    <w:rsid w:val="00817462"/>
    <w:rsid w:val="00827314"/>
    <w:rsid w:val="0084229C"/>
    <w:rsid w:val="0084485D"/>
    <w:rsid w:val="008474C5"/>
    <w:rsid w:val="008876E5"/>
    <w:rsid w:val="008B09D1"/>
    <w:rsid w:val="008E399A"/>
    <w:rsid w:val="008E515F"/>
    <w:rsid w:val="008E728D"/>
    <w:rsid w:val="008F1A58"/>
    <w:rsid w:val="008F3C2E"/>
    <w:rsid w:val="009148B6"/>
    <w:rsid w:val="00937086"/>
    <w:rsid w:val="009722F9"/>
    <w:rsid w:val="00981CD4"/>
    <w:rsid w:val="009A2ABF"/>
    <w:rsid w:val="009D6B03"/>
    <w:rsid w:val="009E3E88"/>
    <w:rsid w:val="009E5E92"/>
    <w:rsid w:val="009F0FD6"/>
    <w:rsid w:val="00A11DAE"/>
    <w:rsid w:val="00A32360"/>
    <w:rsid w:val="00A5477C"/>
    <w:rsid w:val="00AA47AE"/>
    <w:rsid w:val="00AA5277"/>
    <w:rsid w:val="00AB2A8B"/>
    <w:rsid w:val="00AC4B51"/>
    <w:rsid w:val="00AC55D7"/>
    <w:rsid w:val="00AD5098"/>
    <w:rsid w:val="00AE0C77"/>
    <w:rsid w:val="00B27C41"/>
    <w:rsid w:val="00B61611"/>
    <w:rsid w:val="00B62487"/>
    <w:rsid w:val="00B63DC7"/>
    <w:rsid w:val="00B64D75"/>
    <w:rsid w:val="00B86C11"/>
    <w:rsid w:val="00B90D97"/>
    <w:rsid w:val="00BE4A01"/>
    <w:rsid w:val="00C25FC5"/>
    <w:rsid w:val="00C40F6D"/>
    <w:rsid w:val="00C42AD5"/>
    <w:rsid w:val="00C52DF1"/>
    <w:rsid w:val="00C568F0"/>
    <w:rsid w:val="00C65B4F"/>
    <w:rsid w:val="00CC741A"/>
    <w:rsid w:val="00CF1A03"/>
    <w:rsid w:val="00D01FFD"/>
    <w:rsid w:val="00D064E0"/>
    <w:rsid w:val="00D34DFC"/>
    <w:rsid w:val="00D500D1"/>
    <w:rsid w:val="00D646B6"/>
    <w:rsid w:val="00D67D78"/>
    <w:rsid w:val="00D8707C"/>
    <w:rsid w:val="00DA3C03"/>
    <w:rsid w:val="00DB4F2F"/>
    <w:rsid w:val="00DC6367"/>
    <w:rsid w:val="00DE3D18"/>
    <w:rsid w:val="00DE5070"/>
    <w:rsid w:val="00E04C4D"/>
    <w:rsid w:val="00E200DC"/>
    <w:rsid w:val="00E47010"/>
    <w:rsid w:val="00E62C34"/>
    <w:rsid w:val="00E745DE"/>
    <w:rsid w:val="00E74BF3"/>
    <w:rsid w:val="00E74C4C"/>
    <w:rsid w:val="00E902D0"/>
    <w:rsid w:val="00E94D2C"/>
    <w:rsid w:val="00EA0524"/>
    <w:rsid w:val="00EE5548"/>
    <w:rsid w:val="00EF44D7"/>
    <w:rsid w:val="00F379A7"/>
    <w:rsid w:val="00F56C31"/>
    <w:rsid w:val="00F5754A"/>
    <w:rsid w:val="00F814FF"/>
    <w:rsid w:val="00F85FF4"/>
    <w:rsid w:val="00FB5411"/>
    <w:rsid w:val="00FC5BD8"/>
    <w:rsid w:val="00FD7047"/>
    <w:rsid w:val="00FE0D0C"/>
    <w:rsid w:val="00FE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NormalWeb">
    <w:name w:val="Normal (Web)"/>
    <w:basedOn w:val="Normal"/>
    <w:uiPriority w:val="99"/>
    <w:semiHidden/>
    <w:unhideWhenUsed/>
    <w:rsid w:val="00AC55D7"/>
    <w:pPr>
      <w:spacing w:before="100" w:beforeAutospacing="1" w:after="100" w:afterAutospacing="1"/>
    </w:pPr>
  </w:style>
  <w:style w:type="character" w:styleId="Emphasis">
    <w:name w:val="Emphasis"/>
    <w:basedOn w:val="DefaultParagraphFont"/>
    <w:uiPriority w:val="20"/>
    <w:qFormat/>
    <w:rsid w:val="00AC55D7"/>
    <w:rPr>
      <w:i/>
      <w:iCs/>
    </w:rPr>
  </w:style>
  <w:style w:type="character" w:customStyle="1" w:styleId="searchmatch">
    <w:name w:val="searchmatch"/>
    <w:basedOn w:val="DefaultParagraphFont"/>
    <w:uiPriority w:val="99"/>
    <w:rsid w:val="00B616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009">
      <w:bodyDiv w:val="1"/>
      <w:marLeft w:val="0"/>
      <w:marRight w:val="0"/>
      <w:marTop w:val="0"/>
      <w:marBottom w:val="0"/>
      <w:divBdr>
        <w:top w:val="none" w:sz="0" w:space="0" w:color="auto"/>
        <w:left w:val="none" w:sz="0" w:space="0" w:color="auto"/>
        <w:bottom w:val="none" w:sz="0" w:space="0" w:color="auto"/>
        <w:right w:val="none" w:sz="0" w:space="0" w:color="auto"/>
      </w:divBdr>
    </w:div>
    <w:div w:id="360936586">
      <w:bodyDiv w:val="1"/>
      <w:marLeft w:val="0"/>
      <w:marRight w:val="0"/>
      <w:marTop w:val="0"/>
      <w:marBottom w:val="0"/>
      <w:divBdr>
        <w:top w:val="none" w:sz="0" w:space="0" w:color="auto"/>
        <w:left w:val="none" w:sz="0" w:space="0" w:color="auto"/>
        <w:bottom w:val="none" w:sz="0" w:space="0" w:color="auto"/>
        <w:right w:val="none" w:sz="0" w:space="0" w:color="auto"/>
      </w:divBdr>
    </w:div>
    <w:div w:id="1446080632">
      <w:bodyDiv w:val="1"/>
      <w:marLeft w:val="0"/>
      <w:marRight w:val="0"/>
      <w:marTop w:val="0"/>
      <w:marBottom w:val="0"/>
      <w:divBdr>
        <w:top w:val="none" w:sz="0" w:space="0" w:color="auto"/>
        <w:left w:val="none" w:sz="0" w:space="0" w:color="auto"/>
        <w:bottom w:val="none" w:sz="0" w:space="0" w:color="auto"/>
        <w:right w:val="none" w:sz="0" w:space="0" w:color="auto"/>
      </w:divBdr>
    </w:div>
    <w:div w:id="1590651836">
      <w:bodyDiv w:val="1"/>
      <w:marLeft w:val="0"/>
      <w:marRight w:val="0"/>
      <w:marTop w:val="0"/>
      <w:marBottom w:val="0"/>
      <w:divBdr>
        <w:top w:val="none" w:sz="0" w:space="0" w:color="auto"/>
        <w:left w:val="none" w:sz="0" w:space="0" w:color="auto"/>
        <w:bottom w:val="none" w:sz="0" w:space="0" w:color="auto"/>
        <w:right w:val="none" w:sz="0" w:space="0" w:color="auto"/>
      </w:divBdr>
    </w:div>
    <w:div w:id="21450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D87B2-27B5-754F-895F-ABCB5A93DCD4}">
  <ds:schemaRefs>
    <ds:schemaRef ds:uri="http://schemas.openxmlformats.org/officeDocument/2006/bibliography"/>
  </ds:schemaRefs>
</ds:datastoreItem>
</file>

<file path=customXml/itemProps2.xml><?xml version="1.0" encoding="utf-8"?>
<ds:datastoreItem xmlns:ds="http://schemas.openxmlformats.org/officeDocument/2006/customXml" ds:itemID="{F7E5985D-E3DF-4376-ABC7-DAEC3EC95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74DC7-FB95-460E-A815-0AB2322E6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5</cp:revision>
  <cp:lastPrinted>2018-10-24T20:38:00Z</cp:lastPrinted>
  <dcterms:created xsi:type="dcterms:W3CDTF">2020-08-03T16:41:00Z</dcterms:created>
  <dcterms:modified xsi:type="dcterms:W3CDTF">2024-01-23T20:36:00Z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0x010100C2E8957C50B509419C47FA4575E8EAD0</vt:lpwstr>
  </property>
</Properties>
</file>