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5683" w14:textId="651820C0" w:rsidR="00000000" w:rsidRPr="008A2983" w:rsidRDefault="00870E2C" w:rsidP="008A2983">
      <w:pPr>
        <w:pStyle w:val="Title2sl"/>
      </w:pPr>
      <w:r>
        <w:t>Mapp v. Ohio</w:t>
      </w:r>
      <w:r w:rsidR="00AF0400" w:rsidRPr="008A2983">
        <w:t xml:space="preserve"> </w:t>
      </w:r>
      <w:r w:rsidR="00AF0400" w:rsidRPr="008A2983">
        <w:rPr>
          <w:i w:val="0"/>
          <w:iCs/>
        </w:rPr>
        <w:t>(</w:t>
      </w:r>
      <w:r>
        <w:rPr>
          <w:i w:val="0"/>
          <w:iCs/>
        </w:rPr>
        <w:t>1961</w:t>
      </w:r>
      <w:r w:rsidR="00AF0400" w:rsidRPr="008A2983">
        <w:rPr>
          <w:i w:val="0"/>
          <w:iCs/>
        </w:rPr>
        <w:t>)</w:t>
      </w:r>
    </w:p>
    <w:p w14:paraId="36E78D72" w14:textId="1AE63619" w:rsidR="00000000" w:rsidRDefault="0024475D" w:rsidP="00AF0400">
      <w:pPr>
        <w:pStyle w:val="Datessl"/>
      </w:pPr>
      <w:r>
        <w:t xml:space="preserve">Argued: </w:t>
      </w:r>
      <w:r w:rsidR="00870E2C">
        <w:rPr>
          <w:b w:val="0"/>
          <w:bCs/>
        </w:rPr>
        <w:t>March 29, 1961</w:t>
      </w:r>
    </w:p>
    <w:p w14:paraId="6C2A2E8B" w14:textId="6FE8C9F5" w:rsidR="00AF0400" w:rsidRDefault="00AF0400" w:rsidP="00AF0400">
      <w:pPr>
        <w:pStyle w:val="Datessl"/>
      </w:pPr>
      <w:r w:rsidRPr="00AF0400">
        <w:rPr>
          <w:bCs/>
        </w:rPr>
        <w:t>Decided:</w:t>
      </w:r>
      <w:r>
        <w:t xml:space="preserve"> </w:t>
      </w:r>
      <w:r w:rsidR="00870E2C">
        <w:rPr>
          <w:b w:val="0"/>
          <w:bCs/>
        </w:rPr>
        <w:t>June 19, 1961</w:t>
      </w:r>
    </w:p>
    <w:p w14:paraId="460AC6BD" w14:textId="23CD28E9" w:rsidR="00870E2C" w:rsidRDefault="00870E2C" w:rsidP="00870E2C">
      <w:pPr>
        <w:pStyle w:val="Subhead2sl"/>
      </w:pPr>
      <w:r>
        <w:t>Background</w:t>
      </w:r>
      <w:r w:rsidR="005725D8">
        <w:t xml:space="preserve"> and Facts</w:t>
      </w:r>
    </w:p>
    <w:p w14:paraId="64E809EF" w14:textId="4FCAB268" w:rsidR="00870E2C" w:rsidRPr="00E601C0" w:rsidRDefault="00870E2C" w:rsidP="007518CC">
      <w:pPr>
        <w:pStyle w:val="Bulletboldsl"/>
        <w:numPr>
          <w:ilvl w:val="0"/>
          <w:numId w:val="0"/>
        </w:numPr>
        <w:spacing w:before="0"/>
        <w:rPr>
          <w:b w:val="0"/>
          <w:bCs/>
        </w:rPr>
      </w:pPr>
      <w:r w:rsidRPr="00E601C0">
        <w:rPr>
          <w:b w:val="0"/>
          <w:bCs/>
        </w:rPr>
        <w:t xml:space="preserve">The Fourth Amendment </w:t>
      </w:r>
      <w:r w:rsidR="00E601C0" w:rsidRPr="00E601C0">
        <w:rPr>
          <w:b w:val="0"/>
          <w:bCs/>
        </w:rPr>
        <w:t xml:space="preserve">states, “The right of the people to be secure in their persons, houses, papers, and effects, against </w:t>
      </w:r>
      <w:r w:rsidR="00E601C0" w:rsidRPr="00E601C0">
        <w:rPr>
          <w:u w:val="single"/>
        </w:rPr>
        <w:t>unreasonable searches</w:t>
      </w:r>
      <w:r w:rsidR="00E601C0" w:rsidRPr="00E601C0">
        <w:rPr>
          <w:b w:val="0"/>
          <w:bCs/>
        </w:rPr>
        <w:t xml:space="preserve"> and</w:t>
      </w:r>
      <w:r w:rsidR="00E601C0" w:rsidRPr="00E601C0">
        <w:rPr>
          <w:u w:val="single"/>
        </w:rPr>
        <w:t xml:space="preserve"> seizures</w:t>
      </w:r>
      <w:r w:rsidR="00E601C0" w:rsidRPr="00E601C0">
        <w:rPr>
          <w:b w:val="0"/>
          <w:bCs/>
        </w:rPr>
        <w:t xml:space="preserve">, shall not be violated, and no Warrants shall issue, but upon probable cause, supported by Oath or affirmation, and particularly describing the place to be searched, and the persons or things to be seized.” It </w:t>
      </w:r>
      <w:r w:rsidR="009043B3">
        <w:rPr>
          <w:b w:val="0"/>
          <w:bCs/>
        </w:rPr>
        <w:t xml:space="preserve">means that </w:t>
      </w:r>
      <w:r w:rsidRPr="00E601C0">
        <w:rPr>
          <w:b w:val="0"/>
          <w:bCs/>
        </w:rPr>
        <w:t xml:space="preserve">the police </w:t>
      </w:r>
      <w:r w:rsidR="00DC34E4">
        <w:rPr>
          <w:b w:val="0"/>
          <w:bCs/>
        </w:rPr>
        <w:t>must</w:t>
      </w:r>
      <w:r w:rsidRPr="00E601C0">
        <w:rPr>
          <w:b w:val="0"/>
          <w:bCs/>
        </w:rPr>
        <w:t xml:space="preserve"> get a </w:t>
      </w:r>
      <w:r w:rsidRPr="00E601C0">
        <w:rPr>
          <w:u w:val="single"/>
        </w:rPr>
        <w:t>search warrant</w:t>
      </w:r>
      <w:r w:rsidRPr="00E601C0">
        <w:rPr>
          <w:b w:val="0"/>
          <w:bCs/>
        </w:rPr>
        <w:t xml:space="preserve"> before search</w:t>
      </w:r>
      <w:r w:rsidR="005725D8" w:rsidRPr="00E601C0">
        <w:rPr>
          <w:b w:val="0"/>
          <w:bCs/>
        </w:rPr>
        <w:t>ing</w:t>
      </w:r>
      <w:r w:rsidRPr="00E601C0">
        <w:rPr>
          <w:b w:val="0"/>
          <w:bCs/>
        </w:rPr>
        <w:t xml:space="preserve"> someone’s</w:t>
      </w:r>
      <w:r w:rsidR="00167354">
        <w:rPr>
          <w:b w:val="0"/>
          <w:bCs/>
        </w:rPr>
        <w:t xml:space="preserve"> home except in a few </w:t>
      </w:r>
      <w:r w:rsidR="00CD384D">
        <w:rPr>
          <w:b w:val="0"/>
          <w:bCs/>
        </w:rPr>
        <w:t>situations</w:t>
      </w:r>
      <w:r w:rsidRPr="00E601C0">
        <w:rPr>
          <w:b w:val="0"/>
          <w:bCs/>
        </w:rPr>
        <w:t xml:space="preserve">. A search warrant is a document </w:t>
      </w:r>
      <w:r w:rsidR="006416A9" w:rsidRPr="00E601C0">
        <w:rPr>
          <w:b w:val="0"/>
          <w:bCs/>
        </w:rPr>
        <w:t xml:space="preserve">issued by </w:t>
      </w:r>
      <w:r w:rsidR="00E05F40" w:rsidRPr="00E601C0">
        <w:rPr>
          <w:b w:val="0"/>
          <w:bCs/>
        </w:rPr>
        <w:t>a judge</w:t>
      </w:r>
      <w:r w:rsidR="00BD5E35" w:rsidRPr="00E601C0">
        <w:rPr>
          <w:b w:val="0"/>
          <w:bCs/>
        </w:rPr>
        <w:t xml:space="preserve"> </w:t>
      </w:r>
      <w:r w:rsidR="006416A9" w:rsidRPr="00E601C0">
        <w:rPr>
          <w:b w:val="0"/>
          <w:bCs/>
        </w:rPr>
        <w:t xml:space="preserve">granting </w:t>
      </w:r>
      <w:r w:rsidR="009E3139">
        <w:rPr>
          <w:b w:val="0"/>
          <w:bCs/>
        </w:rPr>
        <w:t>law enforcement</w:t>
      </w:r>
      <w:r w:rsidR="009043B3">
        <w:rPr>
          <w:b w:val="0"/>
          <w:bCs/>
        </w:rPr>
        <w:t xml:space="preserve"> </w:t>
      </w:r>
      <w:r w:rsidR="006416A9" w:rsidRPr="00E601C0">
        <w:rPr>
          <w:b w:val="0"/>
          <w:bCs/>
        </w:rPr>
        <w:t xml:space="preserve">officers </w:t>
      </w:r>
      <w:r w:rsidRPr="00E601C0">
        <w:rPr>
          <w:b w:val="0"/>
          <w:bCs/>
        </w:rPr>
        <w:t xml:space="preserve">permission to search a </w:t>
      </w:r>
      <w:r w:rsidR="005725D8" w:rsidRPr="00E601C0">
        <w:rPr>
          <w:b w:val="0"/>
          <w:bCs/>
        </w:rPr>
        <w:t>specific</w:t>
      </w:r>
      <w:r w:rsidRPr="00E601C0">
        <w:rPr>
          <w:b w:val="0"/>
          <w:bCs/>
        </w:rPr>
        <w:t xml:space="preserve"> location </w:t>
      </w:r>
      <w:r w:rsidR="006416A9" w:rsidRPr="00E601C0">
        <w:rPr>
          <w:b w:val="0"/>
          <w:bCs/>
        </w:rPr>
        <w:t xml:space="preserve">to uncover </w:t>
      </w:r>
      <w:r w:rsidRPr="00E601C0">
        <w:rPr>
          <w:b w:val="0"/>
          <w:bCs/>
        </w:rPr>
        <w:t xml:space="preserve">evidence of a crime. </w:t>
      </w:r>
    </w:p>
    <w:p w14:paraId="108E3BCA" w14:textId="1F0427AD" w:rsidR="00C425C2" w:rsidRDefault="00870E2C" w:rsidP="005725D8">
      <w:pPr>
        <w:pStyle w:val="Bulletsl"/>
        <w:numPr>
          <w:ilvl w:val="0"/>
          <w:numId w:val="0"/>
        </w:numPr>
        <w:spacing w:line="276" w:lineRule="auto"/>
      </w:pPr>
      <w:r>
        <w:t xml:space="preserve">In a </w:t>
      </w:r>
      <w:r w:rsidR="00E5058B">
        <w:t xml:space="preserve">1914 </w:t>
      </w:r>
      <w:r w:rsidRPr="009043B3">
        <w:rPr>
          <w:b/>
          <w:bCs/>
          <w:u w:val="single"/>
        </w:rPr>
        <w:t>federal</w:t>
      </w:r>
      <w:r w:rsidRPr="007518CC">
        <w:rPr>
          <w:b/>
          <w:bCs/>
        </w:rPr>
        <w:t xml:space="preserve"> </w:t>
      </w:r>
      <w:r>
        <w:t xml:space="preserve">case, </w:t>
      </w:r>
      <w:r>
        <w:rPr>
          <w:i/>
          <w:iCs/>
        </w:rPr>
        <w:t>Weeks v. United States</w:t>
      </w:r>
      <w:r w:rsidR="00EE72ED">
        <w:t>,</w:t>
      </w:r>
      <w:r>
        <w:t xml:space="preserve"> the </w:t>
      </w:r>
      <w:r w:rsidR="00EE72ED">
        <w:t xml:space="preserve">U.S. </w:t>
      </w:r>
      <w:r>
        <w:t xml:space="preserve">Supreme Court created the </w:t>
      </w:r>
      <w:r w:rsidRPr="005725D8">
        <w:rPr>
          <w:b/>
          <w:bCs/>
          <w:u w:val="single"/>
        </w:rPr>
        <w:t>exclusionary rule</w:t>
      </w:r>
      <w:r>
        <w:t xml:space="preserve">. </w:t>
      </w:r>
      <w:r w:rsidR="006416A9">
        <w:t xml:space="preserve">The Court </w:t>
      </w:r>
      <w:r>
        <w:t>ruled that</w:t>
      </w:r>
      <w:r w:rsidR="006416A9">
        <w:t>,</w:t>
      </w:r>
      <w:r>
        <w:rPr>
          <w:i/>
          <w:iCs/>
        </w:rPr>
        <w:t xml:space="preserve"> </w:t>
      </w:r>
      <w:r>
        <w:t xml:space="preserve">if </w:t>
      </w:r>
      <w:r w:rsidR="006416A9">
        <w:t xml:space="preserve">federal </w:t>
      </w:r>
      <w:r>
        <w:t xml:space="preserve">law enforcement officers violate someone’s Fourth Amendment rights and search their home without a warrant, any evidence </w:t>
      </w:r>
      <w:r w:rsidR="00F87027">
        <w:t>seized</w:t>
      </w:r>
      <w:r>
        <w:t xml:space="preserve"> during the search cannot be used against them at trial. </w:t>
      </w:r>
      <w:r w:rsidR="00DC34E4">
        <w:t>A</w:t>
      </w:r>
      <w:r>
        <w:t xml:space="preserve">fter </w:t>
      </w:r>
      <w:r>
        <w:rPr>
          <w:i/>
          <w:iCs/>
        </w:rPr>
        <w:t>Weeks</w:t>
      </w:r>
      <w:r>
        <w:t xml:space="preserve">, the exclusionary rule applied only to trials taking place in federal courts. </w:t>
      </w:r>
    </w:p>
    <w:p w14:paraId="7587F70E" w14:textId="7D72C866" w:rsidR="00870E2C" w:rsidRDefault="00C425C2" w:rsidP="005725D8">
      <w:pPr>
        <w:pStyle w:val="Bulletsl"/>
        <w:numPr>
          <w:ilvl w:val="0"/>
          <w:numId w:val="0"/>
        </w:numPr>
        <w:spacing w:line="276" w:lineRule="auto"/>
      </w:pPr>
      <w:r>
        <w:t xml:space="preserve">In a 1948 </w:t>
      </w:r>
      <w:r w:rsidR="00E5058B">
        <w:t xml:space="preserve">U.S. </w:t>
      </w:r>
      <w:r>
        <w:t xml:space="preserve">Supreme Court case, </w:t>
      </w:r>
      <w:r>
        <w:rPr>
          <w:i/>
          <w:iCs/>
        </w:rPr>
        <w:t>Wolf v. Colorado</w:t>
      </w:r>
      <w:r>
        <w:t xml:space="preserve">, the Court ruled that the exclusionary rule did not apply to state courts. </w:t>
      </w:r>
      <w:r w:rsidR="00E5058B">
        <w:t>However, m</w:t>
      </w:r>
      <w:r w:rsidR="003D6BB0">
        <w:t xml:space="preserve">any states passed laws </w:t>
      </w:r>
      <w:r w:rsidR="003D6BB0">
        <w:rPr>
          <w:bCs/>
        </w:rPr>
        <w:t>that prevented the</w:t>
      </w:r>
      <w:r w:rsidR="00723469">
        <w:rPr>
          <w:bCs/>
        </w:rPr>
        <w:t xml:space="preserve"> use</w:t>
      </w:r>
      <w:r w:rsidR="003D6BB0">
        <w:rPr>
          <w:bCs/>
        </w:rPr>
        <w:t xml:space="preserve"> of evidence gained from an unlawful search or seizure during trials. </w:t>
      </w:r>
    </w:p>
    <w:p w14:paraId="7C1DCF1D" w14:textId="084B720B" w:rsidR="00870E2C" w:rsidRDefault="00870E2C" w:rsidP="00870E2C">
      <w:pPr>
        <w:pStyle w:val="Basiccopysl"/>
      </w:pPr>
      <w:r>
        <w:t xml:space="preserve">In 1957, a woman named </w:t>
      </w:r>
      <w:proofErr w:type="spellStart"/>
      <w:r>
        <w:t>Dollree</w:t>
      </w:r>
      <w:proofErr w:type="spellEnd"/>
      <w:r>
        <w:t xml:space="preserve"> Mapp </w:t>
      </w:r>
      <w:r w:rsidR="005725D8">
        <w:t>lived</w:t>
      </w:r>
      <w:r>
        <w:t xml:space="preserve"> in Cleveland, Ohio. The police received a tip</w:t>
      </w:r>
      <w:r w:rsidR="003D6BB0">
        <w:t xml:space="preserve"> that</w:t>
      </w:r>
      <w:r>
        <w:t xml:space="preserve"> </w:t>
      </w:r>
      <w:r w:rsidR="005725D8">
        <w:t>a man</w:t>
      </w:r>
      <w:r>
        <w:t xml:space="preserve"> who was wanted for questioning about a bombing was hiding in Mapp’s home. The police went to Mapp’s home and asked </w:t>
      </w:r>
      <w:r w:rsidR="005725D8">
        <w:t>to come in</w:t>
      </w:r>
      <w:r>
        <w:t xml:space="preserve">, but she refused to let them in without a </w:t>
      </w:r>
      <w:r w:rsidRPr="005725D8">
        <w:t>search warrant</w:t>
      </w:r>
      <w:r>
        <w:t xml:space="preserve">. </w:t>
      </w:r>
    </w:p>
    <w:p w14:paraId="1E9F95A1" w14:textId="5D12D419" w:rsidR="00870E2C" w:rsidRDefault="003D6BB0" w:rsidP="00870E2C">
      <w:pPr>
        <w:pStyle w:val="Basiccopysl"/>
      </w:pPr>
      <w:r>
        <w:t>L</w:t>
      </w:r>
      <w:r w:rsidR="00870E2C">
        <w:t xml:space="preserve">ater, the police came back to Mapp’s house, this time with a piece of paper they claimed was a search warrant. When Mapp took the </w:t>
      </w:r>
      <w:r>
        <w:t>paper,</w:t>
      </w:r>
      <w:r w:rsidR="00870E2C">
        <w:t xml:space="preserve"> the police physically </w:t>
      </w:r>
      <w:r w:rsidR="00E5058B">
        <w:t xml:space="preserve">fought her </w:t>
      </w:r>
      <w:r w:rsidR="009E3139">
        <w:t>to take it back.</w:t>
      </w:r>
      <w:r w:rsidR="00870E2C">
        <w:t xml:space="preserve"> It is believed the paper was not actually a warrant</w:t>
      </w:r>
      <w:r>
        <w:t xml:space="preserve">. </w:t>
      </w:r>
      <w:r w:rsidR="00870E2C">
        <w:t xml:space="preserve">Mapp and her lawyers never saw the </w:t>
      </w:r>
      <w:r w:rsidR="005725D8">
        <w:t xml:space="preserve">paper the police said was a </w:t>
      </w:r>
      <w:r w:rsidR="00870E2C">
        <w:t>warrant again</w:t>
      </w:r>
      <w:r w:rsidR="006416A9">
        <w:t>,</w:t>
      </w:r>
      <w:r w:rsidR="00870E2C">
        <w:t xml:space="preserve"> and the police did not </w:t>
      </w:r>
      <w:r w:rsidR="005725D8">
        <w:t xml:space="preserve">have it </w:t>
      </w:r>
      <w:r w:rsidR="00870E2C">
        <w:t xml:space="preserve">at her trial. </w:t>
      </w:r>
    </w:p>
    <w:p w14:paraId="6B3C1255" w14:textId="377EE5DE" w:rsidR="00870E2C" w:rsidRDefault="00870E2C" w:rsidP="00870E2C">
      <w:pPr>
        <w:pStyle w:val="Basiccopysl"/>
      </w:pPr>
      <w:r>
        <w:t>The police searched</w:t>
      </w:r>
      <w:r w:rsidR="005725D8">
        <w:t xml:space="preserve"> all over</w:t>
      </w:r>
      <w:r>
        <w:t xml:space="preserve"> Mapp’s hom</w:t>
      </w:r>
      <w:r w:rsidR="005725D8">
        <w:t>e</w:t>
      </w:r>
      <w:r w:rsidR="006416A9">
        <w:t>,</w:t>
      </w:r>
      <w:r>
        <w:t xml:space="preserve"> including a footlocker in the basement. In</w:t>
      </w:r>
      <w:r w:rsidR="003D6BB0">
        <w:t>side</w:t>
      </w:r>
      <w:r>
        <w:t xml:space="preserve"> the footlocker, the</w:t>
      </w:r>
      <w:r w:rsidR="003D6BB0">
        <w:t>y</w:t>
      </w:r>
      <w:r>
        <w:t xml:space="preserve"> found </w:t>
      </w:r>
      <w:r w:rsidR="005725D8" w:rsidRPr="00C454EE">
        <w:rPr>
          <w:b/>
          <w:bCs/>
          <w:u w:val="single"/>
        </w:rPr>
        <w:t>obscene</w:t>
      </w:r>
      <w:r w:rsidR="005725D8">
        <w:t xml:space="preserve"> magazines</w:t>
      </w:r>
      <w:r w:rsidR="009E3139">
        <w:t xml:space="preserve"> </w:t>
      </w:r>
      <w:r w:rsidR="00E5058B">
        <w:t xml:space="preserve">that </w:t>
      </w:r>
      <w:r w:rsidR="009E3139">
        <w:t>were illegal at the time in Ohio</w:t>
      </w:r>
      <w:r>
        <w:t xml:space="preserve">. Mapp was arrested and convicted of knowingly possessing </w:t>
      </w:r>
      <w:r w:rsidR="005725D8">
        <w:t>obscene magazines</w:t>
      </w:r>
      <w:r>
        <w:t xml:space="preserve">, even though the court found there was no evidence that the police </w:t>
      </w:r>
      <w:r w:rsidR="00C454EE">
        <w:t>had</w:t>
      </w:r>
      <w:r>
        <w:t xml:space="preserve"> a search warrant. </w:t>
      </w:r>
    </w:p>
    <w:p w14:paraId="7A9846B4" w14:textId="702D2E9D" w:rsidR="00870E2C" w:rsidRDefault="00870E2C" w:rsidP="00870E2C">
      <w:pPr>
        <w:pStyle w:val="Basiccopysl"/>
      </w:pPr>
      <w:r>
        <w:t xml:space="preserve">Mapp </w:t>
      </w:r>
      <w:r w:rsidRPr="00C454EE">
        <w:rPr>
          <w:b/>
          <w:bCs/>
          <w:u w:val="single"/>
        </w:rPr>
        <w:t>appealed</w:t>
      </w:r>
      <w:r>
        <w:t xml:space="preserve"> her conviction</w:t>
      </w:r>
      <w:r w:rsidR="00D80159">
        <w:t xml:space="preserve">. She </w:t>
      </w:r>
      <w:r>
        <w:t>argu</w:t>
      </w:r>
      <w:r w:rsidR="00D80159">
        <w:t>ed t</w:t>
      </w:r>
      <w:r>
        <w:t>hat the search violated the Fourth Amendment</w:t>
      </w:r>
      <w:r w:rsidR="00D80159">
        <w:t xml:space="preserve"> </w:t>
      </w:r>
      <w:r>
        <w:t>because the police did not have a warrant</w:t>
      </w:r>
      <w:r w:rsidR="00603D78">
        <w:t xml:space="preserve"> and that the</w:t>
      </w:r>
      <w:r w:rsidR="006D2B34">
        <w:t xml:space="preserve"> </w:t>
      </w:r>
      <w:r w:rsidR="00603D78">
        <w:t xml:space="preserve">illegally </w:t>
      </w:r>
      <w:r w:rsidR="00603D78" w:rsidRPr="00C454EE">
        <w:t>seized</w:t>
      </w:r>
      <w:r w:rsidR="00603D78">
        <w:t xml:space="preserve"> evidence should </w:t>
      </w:r>
      <w:r w:rsidR="00C454EE">
        <w:t xml:space="preserve">not </w:t>
      </w:r>
      <w:r w:rsidR="00603D78">
        <w:t xml:space="preserve">have been </w:t>
      </w:r>
      <w:r w:rsidR="00C454EE">
        <w:t>allowed in</w:t>
      </w:r>
      <w:r w:rsidR="00603D78">
        <w:t xml:space="preserve"> her trial</w:t>
      </w:r>
      <w:r>
        <w:t xml:space="preserve">. The state of Ohio disagreed, claiming that the </w:t>
      </w:r>
      <w:r w:rsidR="00603D78">
        <w:t xml:space="preserve">exclusionary </w:t>
      </w:r>
      <w:r w:rsidR="00C425C2">
        <w:t xml:space="preserve">rule </w:t>
      </w:r>
      <w:r>
        <w:t xml:space="preserve">only applied to federal trials, not cases </w:t>
      </w:r>
      <w:r w:rsidR="00603D78">
        <w:t xml:space="preserve">in state court. </w:t>
      </w:r>
      <w:r w:rsidR="00F300F0">
        <w:t xml:space="preserve">Mapp wanted the Supreme Court to overrule their decision in </w:t>
      </w:r>
      <w:r w:rsidR="00F300F0" w:rsidRPr="00276997">
        <w:rPr>
          <w:i/>
          <w:iCs/>
        </w:rPr>
        <w:t>Wolf v. Ohio</w:t>
      </w:r>
      <w:r w:rsidR="00F300F0">
        <w:t xml:space="preserve">. </w:t>
      </w:r>
      <w:r>
        <w:t>Mapp asked the</w:t>
      </w:r>
      <w:r w:rsidR="00EE72ED">
        <w:t xml:space="preserve"> U.S.</w:t>
      </w:r>
      <w:r>
        <w:t xml:space="preserve"> Supreme Court to hear her case, and the</w:t>
      </w:r>
      <w:r w:rsidR="00EE72ED">
        <w:t xml:space="preserve"> Court</w:t>
      </w:r>
      <w:r>
        <w:t xml:space="preserve"> agreed</w:t>
      </w:r>
      <w:r w:rsidR="00EE72ED">
        <w:t>.</w:t>
      </w:r>
      <w:r w:rsidR="00ED6EEE">
        <w:t xml:space="preserve"> </w:t>
      </w:r>
      <w:r>
        <w:t xml:space="preserve"> </w:t>
      </w:r>
    </w:p>
    <w:p w14:paraId="4E2F8BB9" w14:textId="77777777" w:rsidR="00870E2C" w:rsidRPr="00870E2C" w:rsidRDefault="00870E2C" w:rsidP="00870E2C">
      <w:pPr>
        <w:pStyle w:val="Subhead2sl"/>
      </w:pPr>
      <w:r w:rsidRPr="00870E2C">
        <w:lastRenderedPageBreak/>
        <w:t>Issue</w:t>
      </w:r>
    </w:p>
    <w:p w14:paraId="341A9F4B" w14:textId="1899BBF4" w:rsidR="00870E2C" w:rsidRDefault="00C425C2" w:rsidP="00870E2C">
      <w:pPr>
        <w:pStyle w:val="Basiccopysl"/>
        <w:rPr>
          <w:shd w:val="clear" w:color="auto" w:fill="FFFFFF"/>
        </w:rPr>
      </w:pPr>
      <w:r>
        <w:rPr>
          <w:shd w:val="clear" w:color="auto" w:fill="FFFFFF"/>
        </w:rPr>
        <w:t>Can</w:t>
      </w:r>
      <w:r w:rsidR="00870E2C">
        <w:rPr>
          <w:shd w:val="clear" w:color="auto" w:fill="FFFFFF"/>
        </w:rPr>
        <w:t xml:space="preserve"> evidence gained in </w:t>
      </w:r>
      <w:r w:rsidR="00870E2C" w:rsidRPr="00C454EE">
        <w:rPr>
          <w:b/>
          <w:bCs/>
          <w:u w:val="single"/>
          <w:shd w:val="clear" w:color="auto" w:fill="FFFFFF"/>
        </w:rPr>
        <w:t>violation</w:t>
      </w:r>
      <w:r w:rsidR="00870E2C">
        <w:rPr>
          <w:shd w:val="clear" w:color="auto" w:fill="FFFFFF"/>
        </w:rPr>
        <w:t xml:space="preserve"> of the Fourth Amendment’s prohibition on</w:t>
      </w:r>
      <w:r w:rsidR="00870E2C" w:rsidRPr="00E601C0">
        <w:rPr>
          <w:shd w:val="clear" w:color="auto" w:fill="FFFFFF"/>
        </w:rPr>
        <w:t xml:space="preserve"> unreasonable</w:t>
      </w:r>
      <w:r w:rsidR="00870E2C">
        <w:rPr>
          <w:shd w:val="clear" w:color="auto" w:fill="FFFFFF"/>
        </w:rPr>
        <w:t xml:space="preserve"> searches and seizures </w:t>
      </w:r>
      <w:r w:rsidR="003D6BB0">
        <w:rPr>
          <w:shd w:val="clear" w:color="auto" w:fill="FFFFFF"/>
        </w:rPr>
        <w:t>be used as evidence</w:t>
      </w:r>
      <w:r w:rsidR="00870E2C">
        <w:rPr>
          <w:shd w:val="clear" w:color="auto" w:fill="FFFFFF"/>
        </w:rPr>
        <w:t xml:space="preserve"> in state courts?</w:t>
      </w:r>
    </w:p>
    <w:p w14:paraId="0B12CEC4" w14:textId="77777777" w:rsidR="00870E2C" w:rsidRDefault="00870E2C" w:rsidP="00870E2C">
      <w:pPr>
        <w:pStyle w:val="Subhead2sl"/>
      </w:pPr>
      <w:r>
        <w:t>Arguments for Mapp (petitioner)</w:t>
      </w:r>
    </w:p>
    <w:p w14:paraId="014526BC" w14:textId="233EF3CA" w:rsidR="00870E2C" w:rsidRDefault="00870E2C" w:rsidP="00870E2C">
      <w:pPr>
        <w:pStyle w:val="Bulletsl"/>
        <w:numPr>
          <w:ilvl w:val="0"/>
          <w:numId w:val="44"/>
        </w:numPr>
        <w:spacing w:line="276" w:lineRule="auto"/>
      </w:pPr>
      <w:r>
        <w:t xml:space="preserve">The history of the Fourth Amendment shows </w:t>
      </w:r>
      <w:r w:rsidR="00167354">
        <w:t>t</w:t>
      </w:r>
      <w:r>
        <w:t xml:space="preserve">hat the right to privacy and security in one’s home is an important </w:t>
      </w:r>
      <w:r w:rsidR="00276997">
        <w:t>right in the C</w:t>
      </w:r>
      <w:r>
        <w:t xml:space="preserve">onstitution. There is no reason that the right to privacy should be any less </w:t>
      </w:r>
      <w:r w:rsidR="00276997">
        <w:t>important</w:t>
      </w:r>
      <w:r>
        <w:t xml:space="preserve"> in a state court.</w:t>
      </w:r>
    </w:p>
    <w:p w14:paraId="54EBB950" w14:textId="1C75CA47" w:rsidR="00870E2C" w:rsidRDefault="00870E2C" w:rsidP="00870E2C">
      <w:pPr>
        <w:pStyle w:val="Bulletsl"/>
        <w:numPr>
          <w:ilvl w:val="0"/>
          <w:numId w:val="44"/>
        </w:numPr>
        <w:spacing w:line="276" w:lineRule="auto"/>
      </w:pPr>
      <w:r>
        <w:t>The exclusionary rule discourage</w:t>
      </w:r>
      <w:r w:rsidR="00C425C2">
        <w:t>s</w:t>
      </w:r>
      <w:r>
        <w:t xml:space="preserve"> </w:t>
      </w:r>
      <w:r w:rsidR="00C425C2">
        <w:t>federal officers</w:t>
      </w:r>
      <w:r>
        <w:t xml:space="preserve"> from conducting unlawful searches and seizures. </w:t>
      </w:r>
      <w:r w:rsidR="00B53909">
        <w:t>Without</w:t>
      </w:r>
      <w:r w:rsidR="00C425C2">
        <w:t xml:space="preserve"> </w:t>
      </w:r>
      <w:r>
        <w:t xml:space="preserve">the exclusionary rule, there is little to discourage </w:t>
      </w:r>
      <w:r w:rsidR="00C425C2">
        <w:t xml:space="preserve">state and local </w:t>
      </w:r>
      <w:r>
        <w:t>police officers from violating the Fourth Amendment.</w:t>
      </w:r>
    </w:p>
    <w:p w14:paraId="6DDDBC57" w14:textId="13184DF2" w:rsidR="00053963" w:rsidRDefault="00053963" w:rsidP="00053963">
      <w:pPr>
        <w:pStyle w:val="Bulletsl"/>
      </w:pPr>
      <w:r>
        <w:t xml:space="preserve">Since the decision in </w:t>
      </w:r>
      <w:r>
        <w:rPr>
          <w:i/>
          <w:iCs/>
        </w:rPr>
        <w:t>Wolf v. Colorado</w:t>
      </w:r>
      <w:r>
        <w:t xml:space="preserve">, many states passed laws that prevented the admission of evidence gained from an unlawful search or seizure during trials. </w:t>
      </w:r>
      <w:r w:rsidR="009E3139">
        <w:t>Since states are adopting the exclusionary rule</w:t>
      </w:r>
      <w:r>
        <w:t xml:space="preserve">, the Court should </w:t>
      </w:r>
      <w:r w:rsidR="009E3139">
        <w:t xml:space="preserve">reconsider </w:t>
      </w:r>
      <w:r>
        <w:t xml:space="preserve">their decision in </w:t>
      </w:r>
      <w:r>
        <w:rPr>
          <w:i/>
          <w:iCs/>
        </w:rPr>
        <w:t>Wolf</w:t>
      </w:r>
      <w:r>
        <w:t>.</w:t>
      </w:r>
    </w:p>
    <w:p w14:paraId="723102AF" w14:textId="77777777" w:rsidR="00870E2C" w:rsidRDefault="00870E2C" w:rsidP="00870E2C">
      <w:pPr>
        <w:pStyle w:val="Subhead2sl"/>
      </w:pPr>
      <w:r>
        <w:t>Arguments for Ohio (respondent)</w:t>
      </w:r>
    </w:p>
    <w:p w14:paraId="1E5C5BE9" w14:textId="22BFF54B" w:rsidR="00870E2C" w:rsidRDefault="00276997" w:rsidP="00870E2C">
      <w:pPr>
        <w:pStyle w:val="Bulletsl"/>
        <w:numPr>
          <w:ilvl w:val="0"/>
          <w:numId w:val="44"/>
        </w:numPr>
        <w:spacing w:line="276" w:lineRule="auto"/>
      </w:pPr>
      <w:r>
        <w:t xml:space="preserve">The </w:t>
      </w:r>
      <w:r w:rsidR="00870E2C">
        <w:t>exclusionary rule was not a</w:t>
      </w:r>
      <w:r>
        <w:t xml:space="preserve">ctually written in </w:t>
      </w:r>
      <w:r w:rsidR="00870E2C">
        <w:t xml:space="preserve">the Fourth Amendment. </w:t>
      </w:r>
      <w:r w:rsidR="009E3139">
        <w:t>The Fourth Amendment</w:t>
      </w:r>
      <w:r>
        <w:t xml:space="preserve"> does not state what should happen to the evidence if a search is “unreasonable.”</w:t>
      </w:r>
    </w:p>
    <w:p w14:paraId="583EAF71" w14:textId="27F86922" w:rsidR="00870E2C" w:rsidRDefault="00870E2C" w:rsidP="00870E2C">
      <w:pPr>
        <w:pStyle w:val="Bulletsl"/>
        <w:numPr>
          <w:ilvl w:val="0"/>
          <w:numId w:val="44"/>
        </w:numPr>
        <w:spacing w:line="276" w:lineRule="auto"/>
      </w:pPr>
      <w:r>
        <w:t xml:space="preserve">Police </w:t>
      </w:r>
      <w:r w:rsidR="00276997">
        <w:t>are still discouraged from</w:t>
      </w:r>
      <w:r>
        <w:t xml:space="preserve"> conducting unlawful searches and seizures without the exclusionary rule. There are other methods of preventing unlawful searches and seizures, such as allowing </w:t>
      </w:r>
      <w:r w:rsidR="00276997">
        <w:t>the police to be sued in court.</w:t>
      </w:r>
    </w:p>
    <w:p w14:paraId="7FE60E58" w14:textId="09826D5E" w:rsidR="00053963" w:rsidRDefault="00053963" w:rsidP="00053963">
      <w:pPr>
        <w:pStyle w:val="Bulletsl"/>
        <w:numPr>
          <w:ilvl w:val="0"/>
          <w:numId w:val="44"/>
        </w:numPr>
        <w:spacing w:line="276" w:lineRule="auto"/>
      </w:pPr>
      <w:r>
        <w:t xml:space="preserve">In </w:t>
      </w:r>
      <w:r>
        <w:rPr>
          <w:i/>
          <w:iCs/>
        </w:rPr>
        <w:t>Wolf v. Colorado</w:t>
      </w:r>
      <w:r>
        <w:t>, the Supreme Court ruled that the exclusionary rule did not apply to state courts. The Court should not overturn th</w:t>
      </w:r>
      <w:r w:rsidR="009E3139">
        <w:t>eir past</w:t>
      </w:r>
      <w:r>
        <w:t xml:space="preserve"> decision</w:t>
      </w:r>
      <w:r w:rsidR="001B4A90">
        <w:t>s unless there has been a clear violation of the Constitution.</w:t>
      </w:r>
    </w:p>
    <w:p w14:paraId="77DD6BEC" w14:textId="77777777" w:rsidR="00870E2C" w:rsidRDefault="00870E2C" w:rsidP="00870E2C">
      <w:pPr>
        <w:pStyle w:val="Subhead2sl"/>
        <w:spacing w:before="480"/>
      </w:pPr>
      <w:r>
        <w:t>Decision</w:t>
      </w:r>
    </w:p>
    <w:p w14:paraId="04822FD4" w14:textId="0F1543C6" w:rsidR="00870E2C" w:rsidRDefault="00870E2C" w:rsidP="00870E2C">
      <w:pPr>
        <w:pStyle w:val="Basiccopysl"/>
      </w:pPr>
      <w:r>
        <w:t>In a 6</w:t>
      </w:r>
      <w:r w:rsidR="00E5058B">
        <w:t>-</w:t>
      </w:r>
      <w:r>
        <w:t>3 decision, the Supreme Court</w:t>
      </w:r>
      <w:r w:rsidR="00053963">
        <w:t xml:space="preserve"> </w:t>
      </w:r>
      <w:r w:rsidR="00E5058B" w:rsidRPr="00E5058B">
        <w:t xml:space="preserve">overturned </w:t>
      </w:r>
      <w:r w:rsidR="00E5058B" w:rsidRPr="007518CC">
        <w:rPr>
          <w:i/>
          <w:iCs/>
        </w:rPr>
        <w:t>Wolf v. Colorado</w:t>
      </w:r>
      <w:r w:rsidR="00E5058B" w:rsidRPr="00E5058B">
        <w:t xml:space="preserve"> </w:t>
      </w:r>
      <w:r w:rsidR="00E5058B">
        <w:t xml:space="preserve">and </w:t>
      </w:r>
      <w:r w:rsidR="00053963">
        <w:t>found for Mapp</w:t>
      </w:r>
      <w:r w:rsidR="00E5058B">
        <w:t xml:space="preserve">, </w:t>
      </w:r>
      <w:r w:rsidR="00053963">
        <w:t>ruling</w:t>
      </w:r>
      <w:r w:rsidR="00276997">
        <w:t xml:space="preserve"> </w:t>
      </w:r>
      <w:r>
        <w:t xml:space="preserve">that the exclusionary rule does apply to the states. </w:t>
      </w:r>
    </w:p>
    <w:p w14:paraId="4C013272" w14:textId="2504204C" w:rsidR="00870E2C" w:rsidRDefault="00870E2C" w:rsidP="00870E2C">
      <w:pPr>
        <w:pStyle w:val="Basiccopysl"/>
      </w:pPr>
      <w:r>
        <w:t>Writing for the majority of the Court, Justice Clark examined the history of the Fourth Amendment and found that the right to privacy is a</w:t>
      </w:r>
      <w:r w:rsidR="00276997">
        <w:t>n important part</w:t>
      </w:r>
      <w:r>
        <w:t xml:space="preserve"> of the Constitution. He wrote that, because the right to privacy is so important, it should be protected in state courts just as much as it is in federal courts.</w:t>
      </w:r>
      <w:r w:rsidR="00ED6EEE">
        <w:t xml:space="preserve"> </w:t>
      </w:r>
      <w:r>
        <w:t xml:space="preserve">Therefore, the exclusionary rule recognized in </w:t>
      </w:r>
      <w:r>
        <w:rPr>
          <w:i/>
          <w:iCs/>
        </w:rPr>
        <w:t>Weeks v. United States</w:t>
      </w:r>
      <w:r>
        <w:t xml:space="preserve"> was extended to the states</w:t>
      </w:r>
      <w:r w:rsidR="00053963">
        <w:t xml:space="preserve"> as well</w:t>
      </w:r>
      <w:r>
        <w:t>.</w:t>
      </w:r>
    </w:p>
    <w:p w14:paraId="338EA0A7" w14:textId="77777777" w:rsidR="00870E2C" w:rsidRDefault="00870E2C" w:rsidP="00870E2C">
      <w:pPr>
        <w:pStyle w:val="Subhead2sl"/>
      </w:pPr>
      <w:r>
        <w:lastRenderedPageBreak/>
        <w:t>Impact of the Case</w:t>
      </w:r>
    </w:p>
    <w:p w14:paraId="3C666ABB" w14:textId="1B015853" w:rsidR="00723469" w:rsidRDefault="00870E2C" w:rsidP="007518CC">
      <w:pPr>
        <w:pStyle w:val="Basiccopysl"/>
      </w:pPr>
      <w:r>
        <w:t xml:space="preserve">The decision in </w:t>
      </w:r>
      <w:r>
        <w:rPr>
          <w:i/>
          <w:iCs/>
        </w:rPr>
        <w:t xml:space="preserve">Mapp v. Ohio </w:t>
      </w:r>
      <w:r>
        <w:t xml:space="preserve">continues to have a significant effect on police procedure. By extending the exclusionary rule to states, the Court </w:t>
      </w:r>
      <w:r w:rsidR="00E66369">
        <w:t>encouraged</w:t>
      </w:r>
      <w:r w:rsidR="004B70A8">
        <w:t xml:space="preserve"> </w:t>
      </w:r>
      <w:r>
        <w:t xml:space="preserve">police officers </w:t>
      </w:r>
      <w:r w:rsidR="00E66369">
        <w:t xml:space="preserve">to </w:t>
      </w:r>
      <w:r>
        <w:t>get warrants before conducting searches</w:t>
      </w:r>
      <w:r w:rsidR="00E66369">
        <w:t xml:space="preserve">. </w:t>
      </w:r>
      <w:r>
        <w:t>Later cases extended the exclusionary rule to include all evidence found as a result of an illegal search</w:t>
      </w:r>
      <w:r w:rsidR="00EA6F5A">
        <w:t xml:space="preserve">. </w:t>
      </w:r>
      <w:r w:rsidR="00A44D95">
        <w:t xml:space="preserve">Referred to as the </w:t>
      </w:r>
      <w:r>
        <w:t>“fruit of a poisonous tree”</w:t>
      </w:r>
      <w:r w:rsidR="00EA6F5A">
        <w:t xml:space="preserve"> doctrine</w:t>
      </w:r>
      <w:r w:rsidR="00A44D95">
        <w:t>,</w:t>
      </w:r>
      <w:r>
        <w:t xml:space="preserve"> </w:t>
      </w:r>
      <w:r w:rsidR="00A44D95">
        <w:t>this means that</w:t>
      </w:r>
      <w:r w:rsidR="00E14417">
        <w:t>,</w:t>
      </w:r>
      <w:r w:rsidR="00A44D95">
        <w:t xml:space="preserve"> if evidence </w:t>
      </w:r>
      <w:r>
        <w:t xml:space="preserve">found during an illegal search </w:t>
      </w:r>
      <w:r w:rsidR="00A44D95">
        <w:t xml:space="preserve">leads police to additional evidence, the additional evidence will also </w:t>
      </w:r>
      <w:r w:rsidR="00E66369">
        <w:t>not be allowed in court</w:t>
      </w:r>
      <w:r>
        <w:t xml:space="preserve">. </w:t>
      </w:r>
      <w:r w:rsidR="00412E1A">
        <w:t xml:space="preserve">Some people </w:t>
      </w:r>
      <w:r>
        <w:t xml:space="preserve">have criticized the </w:t>
      </w:r>
      <w:r>
        <w:rPr>
          <w:i/>
          <w:iCs/>
        </w:rPr>
        <w:t>Mapp</w:t>
      </w:r>
      <w:r>
        <w:t xml:space="preserve"> decision</w:t>
      </w:r>
      <w:r w:rsidR="00412E1A">
        <w:t>,</w:t>
      </w:r>
      <w:r>
        <w:t xml:space="preserve"> arguing that it is too protective of criminals</w:t>
      </w:r>
      <w:r w:rsidR="00412E1A">
        <w:t xml:space="preserve"> because it may allow guilty people to avoid </w:t>
      </w:r>
      <w:r w:rsidR="00E66369">
        <w:t>be found guilty</w:t>
      </w:r>
      <w:r w:rsidR="00412E1A">
        <w:t xml:space="preserve"> when evidence is not properly obtained. </w:t>
      </w:r>
    </w:p>
    <w:p w14:paraId="0A368D60" w14:textId="77777777" w:rsidR="00E5058B" w:rsidRPr="00304792" w:rsidRDefault="00E5058B" w:rsidP="00E5058B">
      <w:pPr>
        <w:pStyle w:val="Bulletsl"/>
        <w:keepNext/>
        <w:numPr>
          <w:ilvl w:val="0"/>
          <w:numId w:val="0"/>
        </w:numPr>
        <w:spacing w:before="360"/>
        <w:rPr>
          <w:i/>
        </w:rPr>
      </w:pPr>
      <w:r w:rsidRPr="00304792">
        <w:rPr>
          <w:rFonts w:ascii="Gill Sans MT" w:hAnsi="Gill Sans MT"/>
          <w:b/>
          <w:i/>
        </w:rPr>
        <w:t>Glossary</w:t>
      </w:r>
    </w:p>
    <w:p w14:paraId="69DA648E" w14:textId="675B3E63" w:rsidR="00E5058B" w:rsidRPr="00595F86" w:rsidRDefault="00E5058B" w:rsidP="00E5058B">
      <w:pPr>
        <w:pStyle w:val="Bulletsl"/>
        <w:spacing w:line="276" w:lineRule="auto"/>
        <w:rPr>
          <w:b/>
          <w:bCs/>
          <w:u w:val="single"/>
        </w:rPr>
      </w:pPr>
      <w:r>
        <w:rPr>
          <w:b/>
          <w:bCs/>
          <w:u w:val="single"/>
        </w:rPr>
        <w:t>appeal</w:t>
      </w:r>
      <w:r w:rsidR="007518CC">
        <w:rPr>
          <w:b/>
          <w:bCs/>
          <w:u w:val="single"/>
        </w:rPr>
        <w:t xml:space="preserve"> (appealed)</w:t>
      </w:r>
      <w:r>
        <w:rPr>
          <w:b/>
          <w:bCs/>
          <w:u w:val="single"/>
        </w:rPr>
        <w:t>:</w:t>
      </w:r>
      <w:r>
        <w:t xml:space="preserve"> t</w:t>
      </w:r>
      <w:r w:rsidRPr="00A0376F">
        <w:t>o formally request that a lower court decision be examined and reconsidered by a higher court</w:t>
      </w:r>
      <w:r>
        <w:t>.</w:t>
      </w:r>
    </w:p>
    <w:p w14:paraId="7A507CC4" w14:textId="77777777" w:rsidR="00E5058B" w:rsidRDefault="00E5058B" w:rsidP="00E5058B">
      <w:pPr>
        <w:pStyle w:val="Bulletsl"/>
        <w:spacing w:line="276" w:lineRule="auto"/>
        <w:rPr>
          <w:b/>
          <w:bCs/>
          <w:u w:val="single"/>
        </w:rPr>
      </w:pPr>
      <w:r w:rsidRPr="00595F86">
        <w:rPr>
          <w:b/>
          <w:bCs/>
          <w:u w:val="single"/>
        </w:rPr>
        <w:t>Exclusionary Rule:</w:t>
      </w:r>
      <w:r w:rsidRPr="00595F86">
        <w:rPr>
          <w:b/>
          <w:bCs/>
        </w:rPr>
        <w:t xml:space="preserve"> </w:t>
      </w:r>
      <w:r>
        <w:t>rule that prohibits the use of illegally obtained evidence in a criminal trial.</w:t>
      </w:r>
    </w:p>
    <w:p w14:paraId="7CCF5B98" w14:textId="32754098" w:rsidR="00E5058B" w:rsidRPr="00595F86" w:rsidRDefault="00E5058B" w:rsidP="00E5058B">
      <w:pPr>
        <w:pStyle w:val="Bulletsl"/>
        <w:spacing w:line="276" w:lineRule="auto"/>
      </w:pPr>
      <w:r>
        <w:rPr>
          <w:b/>
          <w:bCs/>
          <w:u w:val="single"/>
        </w:rPr>
        <w:t>federal:</w:t>
      </w:r>
      <w:r>
        <w:rPr>
          <w:b/>
          <w:bCs/>
        </w:rPr>
        <w:t xml:space="preserve"> </w:t>
      </w:r>
      <w:r w:rsidRPr="00A0376F">
        <w:t>the level of government that controls the United States as a whole rather than just a single state.</w:t>
      </w:r>
    </w:p>
    <w:p w14:paraId="39F9C1BE" w14:textId="4B578A95" w:rsidR="00E5058B" w:rsidRPr="00595F86" w:rsidRDefault="00E5058B" w:rsidP="00E5058B">
      <w:pPr>
        <w:pStyle w:val="Bulletsl"/>
        <w:spacing w:line="276" w:lineRule="auto"/>
        <w:rPr>
          <w:b/>
          <w:bCs/>
          <w:u w:val="single"/>
        </w:rPr>
      </w:pPr>
      <w:r>
        <w:rPr>
          <w:b/>
          <w:bCs/>
          <w:u w:val="single"/>
        </w:rPr>
        <w:t>o</w:t>
      </w:r>
      <w:r w:rsidRPr="00595F86">
        <w:rPr>
          <w:b/>
          <w:bCs/>
          <w:u w:val="single"/>
        </w:rPr>
        <w:t>bscene:</w:t>
      </w:r>
      <w:r>
        <w:t xml:space="preserve"> </w:t>
      </w:r>
      <w:r w:rsidR="003C45FB" w:rsidRPr="003C45FB">
        <w:t xml:space="preserve">offensive or indecent; usually relating to sexual matters.  </w:t>
      </w:r>
    </w:p>
    <w:p w14:paraId="3D8A62AD" w14:textId="2EE271DF" w:rsidR="00E5058B" w:rsidRPr="00595F86" w:rsidRDefault="00E5058B" w:rsidP="00E5058B">
      <w:pPr>
        <w:pStyle w:val="Bulletsl"/>
        <w:spacing w:line="276" w:lineRule="auto"/>
        <w:rPr>
          <w:b/>
          <w:bCs/>
          <w:u w:val="single"/>
        </w:rPr>
      </w:pPr>
      <w:r>
        <w:rPr>
          <w:b/>
          <w:bCs/>
          <w:u w:val="single"/>
        </w:rPr>
        <w:t>s</w:t>
      </w:r>
      <w:r w:rsidRPr="00595F86">
        <w:rPr>
          <w:b/>
          <w:bCs/>
          <w:u w:val="single"/>
        </w:rPr>
        <w:t>earch</w:t>
      </w:r>
      <w:r w:rsidR="007518CC">
        <w:rPr>
          <w:b/>
          <w:bCs/>
          <w:u w:val="single"/>
        </w:rPr>
        <w:t xml:space="preserve"> </w:t>
      </w:r>
      <w:r w:rsidRPr="00595F86">
        <w:rPr>
          <w:b/>
          <w:bCs/>
          <w:u w:val="single"/>
        </w:rPr>
        <w:t>(</w:t>
      </w:r>
      <w:r w:rsidR="007518CC">
        <w:rPr>
          <w:b/>
          <w:bCs/>
          <w:u w:val="single"/>
        </w:rPr>
        <w:t>search</w:t>
      </w:r>
      <w:r w:rsidRPr="00595F86">
        <w:rPr>
          <w:b/>
          <w:bCs/>
          <w:u w:val="single"/>
        </w:rPr>
        <w:t>es):</w:t>
      </w:r>
      <w:r w:rsidRPr="00595F86">
        <w:rPr>
          <w:b/>
          <w:bCs/>
        </w:rPr>
        <w:t xml:space="preserve"> </w:t>
      </w:r>
      <w:r>
        <w:t>t</w:t>
      </w:r>
      <w:r w:rsidRPr="00A0376F">
        <w:t>o look over carefully in order to find something; to explore</w:t>
      </w:r>
      <w:r>
        <w:t>.</w:t>
      </w:r>
    </w:p>
    <w:p w14:paraId="00F859B9" w14:textId="25E44304" w:rsidR="00E5058B" w:rsidRPr="00595F86" w:rsidRDefault="00E5058B" w:rsidP="00E5058B">
      <w:pPr>
        <w:pStyle w:val="Bulletsl"/>
        <w:spacing w:line="276" w:lineRule="auto"/>
        <w:rPr>
          <w:b/>
          <w:bCs/>
          <w:u w:val="single"/>
        </w:rPr>
      </w:pPr>
      <w:r>
        <w:rPr>
          <w:b/>
          <w:bCs/>
          <w:u w:val="single"/>
        </w:rPr>
        <w:t>search warrant:</w:t>
      </w:r>
      <w:r>
        <w:rPr>
          <w:b/>
          <w:bCs/>
        </w:rPr>
        <w:t xml:space="preserve"> </w:t>
      </w:r>
      <w:r>
        <w:t>a</w:t>
      </w:r>
      <w:r w:rsidRPr="00A0376F">
        <w:t>n order issued by a judge or magistrate giving police the power to search and seize items related to a crime</w:t>
      </w:r>
      <w:r>
        <w:t>.</w:t>
      </w:r>
    </w:p>
    <w:p w14:paraId="5296BDA3" w14:textId="40EBAF3E" w:rsidR="00E5058B" w:rsidRPr="00027E38" w:rsidRDefault="00E5058B" w:rsidP="00E5058B">
      <w:pPr>
        <w:pStyle w:val="Bulletsl"/>
        <w:spacing w:line="276" w:lineRule="auto"/>
        <w:rPr>
          <w:b/>
          <w:bCs/>
          <w:u w:val="single"/>
        </w:rPr>
      </w:pPr>
      <w:r>
        <w:rPr>
          <w:b/>
          <w:bCs/>
          <w:u w:val="single"/>
        </w:rPr>
        <w:t>seize (seizure):</w:t>
      </w:r>
      <w:r>
        <w:t xml:space="preserve"> to take possession of</w:t>
      </w:r>
      <w:r w:rsidR="007518CC">
        <w:t>.</w:t>
      </w:r>
      <w:r>
        <w:t xml:space="preserve">  </w:t>
      </w:r>
    </w:p>
    <w:p w14:paraId="7BF5EF3A" w14:textId="6A9803C2" w:rsidR="00E5058B" w:rsidRPr="00CB29FD" w:rsidRDefault="00E5058B" w:rsidP="00E5058B">
      <w:pPr>
        <w:pStyle w:val="Bulletsl"/>
        <w:spacing w:line="276" w:lineRule="auto"/>
        <w:rPr>
          <w:b/>
          <w:bCs/>
          <w:u w:val="single"/>
        </w:rPr>
      </w:pPr>
      <w:r>
        <w:rPr>
          <w:b/>
          <w:bCs/>
          <w:u w:val="single"/>
        </w:rPr>
        <w:t>unreasonable:</w:t>
      </w:r>
      <w:r>
        <w:t xml:space="preserve"> n</w:t>
      </w:r>
      <w:r w:rsidRPr="00A0376F">
        <w:t>ot supported by a warrant or by a valid exception to a warrant requirement (as when there is reasonable suspicion) and</w:t>
      </w:r>
      <w:r w:rsidR="007518CC">
        <w:t>,</w:t>
      </w:r>
      <w:r w:rsidRPr="00A0376F">
        <w:t xml:space="preserve"> therefore</w:t>
      </w:r>
      <w:r w:rsidR="007518CC">
        <w:t>,</w:t>
      </w:r>
      <w:r w:rsidRPr="00A0376F">
        <w:t xml:space="preserve"> unconstitutional; not reasonable</w:t>
      </w:r>
      <w:r>
        <w:t>.</w:t>
      </w:r>
    </w:p>
    <w:p w14:paraId="64D512C0" w14:textId="2222FBA3" w:rsidR="00CB29FD" w:rsidRPr="00CB29FD" w:rsidRDefault="00CB29FD" w:rsidP="00E5058B">
      <w:pPr>
        <w:pStyle w:val="Bulletsl"/>
        <w:spacing w:line="276" w:lineRule="auto"/>
      </w:pPr>
      <w:r>
        <w:rPr>
          <w:b/>
          <w:bCs/>
          <w:u w:val="single"/>
        </w:rPr>
        <w:t xml:space="preserve">unconstitutional: </w:t>
      </w:r>
      <w:r w:rsidRPr="00CB29FD">
        <w:t>not allowed by or contained in the Constitution. If a law is unconstitutional, it will be struck down, meaning it is no longer a law.</w:t>
      </w:r>
    </w:p>
    <w:p w14:paraId="24E787A5" w14:textId="6A06ADDD" w:rsidR="00E5058B" w:rsidRDefault="00E5058B" w:rsidP="007518CC">
      <w:pPr>
        <w:pStyle w:val="Bulletsl"/>
        <w:spacing w:after="480" w:line="276" w:lineRule="auto"/>
      </w:pPr>
      <w:r>
        <w:rPr>
          <w:b/>
          <w:bCs/>
          <w:u w:val="single"/>
        </w:rPr>
        <w:t>violate (violation):</w:t>
      </w:r>
      <w:r>
        <w:rPr>
          <w:b/>
          <w:bCs/>
        </w:rPr>
        <w:t xml:space="preserve"> </w:t>
      </w:r>
      <w:r w:rsidRPr="00A0376F">
        <w:t>to break or disregard (a law or promise, for example).</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856B50" w14:paraId="30642B96" w14:textId="77777777" w:rsidTr="00856B50">
        <w:tc>
          <w:tcPr>
            <w:tcW w:w="9350" w:type="dxa"/>
            <w:shd w:val="clear" w:color="auto" w:fill="F2F2F2" w:themeFill="background1" w:themeFillShade="F2"/>
          </w:tcPr>
          <w:p w14:paraId="3F7CC37B" w14:textId="7BB4D040" w:rsidR="00856B50" w:rsidRDefault="00856B50" w:rsidP="00856B50">
            <w:pPr>
              <w:pStyle w:val="Basiccopysl"/>
              <w:spacing w:before="120"/>
            </w:pPr>
            <w:r>
              <w:t xml:space="preserve">Additional information about </w:t>
            </w:r>
            <w:r w:rsidRPr="00CA4D40">
              <w:rPr>
                <w:i/>
                <w:iCs/>
              </w:rPr>
              <w:t>Mapp v. Ohio</w:t>
            </w:r>
            <w:r w:rsidRPr="00813AF7">
              <w:rPr>
                <w:i/>
                <w:iCs/>
              </w:rPr>
              <w:t>,</w:t>
            </w:r>
            <w:r>
              <w:t xml:space="preserve"> including background at three reading levels, opinion quotes and summaries, teaching activities, and additional resources, can be found at </w:t>
            </w:r>
            <w:hyperlink r:id="rId11" w:history="1">
              <w:r w:rsidRPr="00E73DD3">
                <w:rPr>
                  <w:rStyle w:val="Hyperlink"/>
                  <w:color w:val="auto"/>
                </w:rPr>
                <w:t>https://www.landmarkcases.org/</w:t>
              </w:r>
            </w:hyperlink>
            <w:r w:rsidRPr="00E73DD3">
              <w:t>.</w:t>
            </w:r>
          </w:p>
        </w:tc>
      </w:tr>
    </w:tbl>
    <w:p w14:paraId="56241307" w14:textId="77777777" w:rsidR="00595F86" w:rsidRPr="005157B7" w:rsidRDefault="00595F86" w:rsidP="007518CC">
      <w:pPr>
        <w:rPr>
          <w:rFonts w:ascii="Gill Sans MT" w:hAnsi="Gill Sans MT"/>
          <w:b/>
          <w:bCs/>
          <w:i/>
          <w:iCs/>
        </w:rPr>
      </w:pPr>
    </w:p>
    <w:sectPr w:rsidR="00595F86" w:rsidRPr="005157B7" w:rsidSect="000168D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7CFC" w14:textId="77777777" w:rsidR="000168D2" w:rsidRDefault="000168D2">
      <w:pPr>
        <w:spacing w:after="0"/>
      </w:pPr>
      <w:r>
        <w:separator/>
      </w:r>
    </w:p>
  </w:endnote>
  <w:endnote w:type="continuationSeparator" w:id="0">
    <w:p w14:paraId="15A86B04" w14:textId="77777777" w:rsidR="000168D2" w:rsidRDefault="000168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20615A00" w14:textId="08FD497E" w:rsidR="00000000" w:rsidRPr="0078549D" w:rsidRDefault="0024475D">
        <w:r w:rsidRPr="008A3806">
          <w:rPr>
            <w:rFonts w:cstheme="minorHAnsi"/>
          </w:rPr>
          <w:t>©</w:t>
        </w:r>
        <w:r>
          <w:t xml:space="preserve"> 20</w:t>
        </w:r>
        <w:r w:rsidR="00AF0400">
          <w:t>20</w:t>
        </w:r>
        <w:r>
          <w:t xml:space="preserve"> Street Law, Inc.</w:t>
        </w:r>
        <w:r>
          <w:tab/>
        </w:r>
        <w:r>
          <w:tab/>
          <w:t xml:space="preserve"> </w:t>
        </w:r>
        <w:r w:rsidR="00ED6EEE">
          <w:tab/>
        </w:r>
        <w:r w:rsidR="00ED6EEE">
          <w:tab/>
        </w:r>
        <w:r w:rsidR="00ED6EEE">
          <w:tab/>
        </w:r>
        <w:r w:rsidR="00ED6EEE">
          <w:tab/>
        </w:r>
        <w:r w:rsidR="00ED6EEE">
          <w:tab/>
        </w:r>
        <w:r w:rsidR="00ED6EEE">
          <w:tab/>
        </w:r>
        <w:r w:rsidR="00ED6EEE">
          <w:tab/>
          <w:t xml:space="preserve">     </w:t>
        </w:r>
        <w:r w:rsidRPr="008A3806">
          <w:fldChar w:fldCharType="begin"/>
        </w:r>
        <w:r w:rsidRPr="008A3806">
          <w:instrText xml:space="preserve"> PAGE   \* MERGEFORMAT </w:instrText>
        </w:r>
        <w:r w:rsidRPr="008A3806">
          <w:fldChar w:fldCharType="separate"/>
        </w:r>
        <w:r>
          <w:rPr>
            <w:noProof/>
          </w:rPr>
          <w:t>2</w:t>
        </w:r>
        <w:r w:rsidRPr="008A38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4767F840" w14:textId="7F5BF116" w:rsidR="00000000" w:rsidRPr="007518CC" w:rsidRDefault="0024475D">
        <w:pPr>
          <w:rPr>
            <w:noProof/>
            <w:sz w:val="22"/>
            <w:szCs w:val="20"/>
          </w:rPr>
        </w:pPr>
        <w:r w:rsidRPr="007518CC">
          <w:rPr>
            <w:rFonts w:cstheme="minorHAnsi"/>
            <w:sz w:val="22"/>
            <w:szCs w:val="20"/>
          </w:rPr>
          <w:t>©</w:t>
        </w:r>
        <w:r w:rsidRPr="007518CC">
          <w:rPr>
            <w:sz w:val="22"/>
            <w:szCs w:val="20"/>
          </w:rPr>
          <w:t xml:space="preserve"> 20</w:t>
        </w:r>
        <w:r w:rsidR="00AF0400" w:rsidRPr="007518CC">
          <w:rPr>
            <w:sz w:val="22"/>
            <w:szCs w:val="20"/>
          </w:rPr>
          <w:t>20</w:t>
        </w:r>
        <w:r w:rsidRPr="007518CC">
          <w:rPr>
            <w:sz w:val="22"/>
            <w:szCs w:val="20"/>
          </w:rPr>
          <w:t xml:space="preserve"> Street Law, Inc.</w:t>
        </w:r>
        <w:r w:rsidRPr="007518CC">
          <w:rPr>
            <w:sz w:val="22"/>
            <w:szCs w:val="20"/>
          </w:rPr>
          <w:tab/>
        </w:r>
        <w:r w:rsidRPr="007518CC">
          <w:rPr>
            <w:sz w:val="22"/>
            <w:szCs w:val="20"/>
          </w:rPr>
          <w:tab/>
          <w:t xml:space="preserve"> </w:t>
        </w:r>
        <w:r w:rsidR="00C57879" w:rsidRPr="007518CC">
          <w:rPr>
            <w:sz w:val="22"/>
            <w:szCs w:val="20"/>
          </w:rPr>
          <w:tab/>
        </w:r>
        <w:r w:rsidR="00C57879" w:rsidRPr="007518CC">
          <w:rPr>
            <w:sz w:val="22"/>
            <w:szCs w:val="20"/>
          </w:rPr>
          <w:tab/>
        </w:r>
        <w:r w:rsidR="00C57879" w:rsidRPr="007518CC">
          <w:rPr>
            <w:sz w:val="22"/>
            <w:szCs w:val="20"/>
          </w:rPr>
          <w:tab/>
        </w:r>
        <w:r w:rsidR="00C57879" w:rsidRPr="007518CC">
          <w:rPr>
            <w:sz w:val="22"/>
            <w:szCs w:val="20"/>
          </w:rPr>
          <w:tab/>
        </w:r>
        <w:r w:rsidR="00ED6EEE" w:rsidRPr="007518CC">
          <w:rPr>
            <w:sz w:val="22"/>
            <w:szCs w:val="20"/>
          </w:rPr>
          <w:t xml:space="preserve"> </w:t>
        </w:r>
        <w:r w:rsidR="00870E2C" w:rsidRPr="007518CC">
          <w:rPr>
            <w:sz w:val="22"/>
            <w:szCs w:val="20"/>
          </w:rPr>
          <w:t xml:space="preserve"> </w:t>
        </w:r>
        <w:r w:rsidR="00E5058B" w:rsidRPr="007518CC">
          <w:rPr>
            <w:sz w:val="22"/>
            <w:szCs w:val="20"/>
          </w:rPr>
          <w:t xml:space="preserve">     </w:t>
        </w:r>
        <w:r w:rsidR="00E5058B">
          <w:rPr>
            <w:sz w:val="22"/>
            <w:szCs w:val="20"/>
          </w:rPr>
          <w:tab/>
          <w:t xml:space="preserve">           </w:t>
        </w:r>
        <w:r w:rsidR="00E5058B" w:rsidRPr="007518CC">
          <w:rPr>
            <w:sz w:val="22"/>
            <w:szCs w:val="20"/>
          </w:rPr>
          <w:t>Last u</w:t>
        </w:r>
        <w:r w:rsidR="00CB2B3C" w:rsidRPr="007518CC">
          <w:rPr>
            <w:sz w:val="22"/>
            <w:szCs w:val="20"/>
          </w:rPr>
          <w:t>pdated:</w:t>
        </w:r>
        <w:r w:rsidR="00E5058B" w:rsidRPr="007518CC">
          <w:rPr>
            <w:sz w:val="22"/>
            <w:szCs w:val="20"/>
          </w:rPr>
          <w:t xml:space="preserve"> 09/02/2020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570B" w14:textId="77777777" w:rsidR="000168D2" w:rsidRDefault="000168D2">
      <w:pPr>
        <w:spacing w:after="0"/>
      </w:pPr>
      <w:r>
        <w:separator/>
      </w:r>
    </w:p>
  </w:footnote>
  <w:footnote w:type="continuationSeparator" w:id="0">
    <w:p w14:paraId="56EB9FE8" w14:textId="77777777" w:rsidR="000168D2" w:rsidRDefault="000168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FB89" w14:textId="77777777" w:rsidR="00CA4D40" w:rsidRPr="00712AA8" w:rsidRDefault="00CA4D40" w:rsidP="00CA4D40">
    <w:pPr>
      <w:spacing w:after="0"/>
      <w:jc w:val="right"/>
    </w:pPr>
    <w:r w:rsidRPr="00712AA8">
      <w:rPr>
        <w:rFonts w:cstheme="minorHAnsi"/>
        <w:i/>
        <w:iCs/>
        <w:noProof/>
        <w:sz w:val="22"/>
      </w:rPr>
      <mc:AlternateContent>
        <mc:Choice Requires="wps">
          <w:drawing>
            <wp:anchor distT="0" distB="0" distL="114300" distR="114300" simplePos="0" relativeHeight="251662336" behindDoc="0" locked="0" layoutInCell="1" allowOverlap="1" wp14:anchorId="35455F28" wp14:editId="416057B3">
              <wp:simplePos x="0" y="0"/>
              <wp:positionH relativeFrom="column">
                <wp:posOffset>-133350</wp:posOffset>
              </wp:positionH>
              <wp:positionV relativeFrom="paragraph">
                <wp:posOffset>-142875</wp:posOffset>
              </wp:positionV>
              <wp:extent cx="2695575" cy="542925"/>
              <wp:effectExtent l="0" t="0" r="0" b="0"/>
              <wp:wrapNone/>
              <wp:docPr id="404403357" name="Text Box 40440335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D0CF7" w14:textId="77777777" w:rsidR="00CA4D40" w:rsidRDefault="00CA4D40" w:rsidP="00CA4D40">
                          <w:r>
                            <w:rPr>
                              <w:noProof/>
                            </w:rPr>
                            <w:drawing>
                              <wp:inline distT="0" distB="0" distL="0" distR="0" wp14:anchorId="10E70BA4" wp14:editId="0AB656FE">
                                <wp:extent cx="1828800" cy="333590"/>
                                <wp:effectExtent l="0" t="0" r="0" b="9525"/>
                                <wp:docPr id="1463635352" name="Picture 14636353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55F28" id="_x0000_t202" coordsize="21600,21600" o:spt="202" path="m,l,21600r21600,l21600,xe">
              <v:stroke joinstyle="miter"/>
              <v:path gradientshapeok="t" o:connecttype="rect"/>
            </v:shapetype>
            <v:shape id="Text Box 404403357"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2FD0CF7" w14:textId="77777777" w:rsidR="00CA4D40" w:rsidRDefault="00CA4D40" w:rsidP="00CA4D40">
                    <w:r>
                      <w:rPr>
                        <w:noProof/>
                      </w:rPr>
                      <w:drawing>
                        <wp:inline distT="0" distB="0" distL="0" distR="0" wp14:anchorId="10E70BA4" wp14:editId="0AB656FE">
                          <wp:extent cx="1828800" cy="333590"/>
                          <wp:effectExtent l="0" t="0" r="0" b="9525"/>
                          <wp:docPr id="1463635352" name="Picture 14636353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12AA8">
      <w:rPr>
        <w:rFonts w:cstheme="minorHAnsi"/>
        <w:i/>
        <w:iCs/>
        <w:sz w:val="22"/>
      </w:rPr>
      <w:t>Mapp v. Ohio</w:t>
    </w:r>
    <w:r>
      <w:rPr>
        <w:rFonts w:cstheme="minorHAnsi"/>
        <w:sz w:val="22"/>
      </w:rPr>
      <w:t xml:space="preserve"> (1961)</w:t>
    </w:r>
  </w:p>
  <w:p w14:paraId="540FD7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3DD7" w14:textId="77777777" w:rsidR="00CA4D40" w:rsidRPr="00712AA8" w:rsidRDefault="00CA4D40" w:rsidP="00CA4D40">
    <w:pPr>
      <w:spacing w:after="0"/>
      <w:jc w:val="right"/>
    </w:pPr>
    <w:r w:rsidRPr="00712AA8">
      <w:rPr>
        <w:rFonts w:cstheme="minorHAnsi"/>
        <w:noProof/>
        <w:sz w:val="22"/>
      </w:rPr>
      <mc:AlternateContent>
        <mc:Choice Requires="wps">
          <w:drawing>
            <wp:anchor distT="0" distB="0" distL="114300" distR="114300" simplePos="0" relativeHeight="251660288" behindDoc="0" locked="0" layoutInCell="1" allowOverlap="1" wp14:anchorId="088A1BC7" wp14:editId="35585D63">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64446" w14:textId="77777777" w:rsidR="00CA4D40" w:rsidRDefault="00CA4D40" w:rsidP="00CA4D40">
                          <w:r>
                            <w:rPr>
                              <w:noProof/>
                            </w:rPr>
                            <w:drawing>
                              <wp:inline distT="0" distB="0" distL="0" distR="0" wp14:anchorId="38061F33" wp14:editId="5DE7C569">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A1BC7"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75D64446" w14:textId="77777777" w:rsidR="00CA4D40" w:rsidRDefault="00CA4D40" w:rsidP="00CA4D40">
                    <w:r>
                      <w:rPr>
                        <w:noProof/>
                      </w:rPr>
                      <w:drawing>
                        <wp:inline distT="0" distB="0" distL="0" distR="0" wp14:anchorId="38061F33" wp14:editId="5DE7C569">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12AA8">
      <w:rPr>
        <w:rFonts w:cstheme="minorHAnsi"/>
        <w:sz w:val="22"/>
      </w:rPr>
      <w:t>Street Law, Inc. Case Summary</w:t>
    </w:r>
  </w:p>
  <w:p w14:paraId="0DBE9ACB" w14:textId="4EA39D4C" w:rsidR="00000000" w:rsidRPr="00CA4D40" w:rsidRDefault="00000000" w:rsidP="00CA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8"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9"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1"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2"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3"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5"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6"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4797049">
    <w:abstractNumId w:val="8"/>
  </w:num>
  <w:num w:numId="2" w16cid:durableId="1883328640">
    <w:abstractNumId w:val="3"/>
  </w:num>
  <w:num w:numId="3" w16cid:durableId="1050033937">
    <w:abstractNumId w:val="2"/>
  </w:num>
  <w:num w:numId="4" w16cid:durableId="1337420978">
    <w:abstractNumId w:val="4"/>
  </w:num>
  <w:num w:numId="5" w16cid:durableId="1311786406">
    <w:abstractNumId w:val="10"/>
  </w:num>
  <w:num w:numId="6" w16cid:durableId="754059275">
    <w:abstractNumId w:val="5"/>
  </w:num>
  <w:num w:numId="7" w16cid:durableId="197475665">
    <w:abstractNumId w:val="10"/>
    <w:lvlOverride w:ilvl="0">
      <w:startOverride w:val="1"/>
    </w:lvlOverride>
  </w:num>
  <w:num w:numId="8" w16cid:durableId="1340887454">
    <w:abstractNumId w:val="10"/>
    <w:lvlOverride w:ilvl="0">
      <w:startOverride w:val="1"/>
    </w:lvlOverride>
  </w:num>
  <w:num w:numId="9" w16cid:durableId="1399397992">
    <w:abstractNumId w:val="10"/>
    <w:lvlOverride w:ilvl="0">
      <w:startOverride w:val="1"/>
    </w:lvlOverride>
  </w:num>
  <w:num w:numId="10" w16cid:durableId="586426828">
    <w:abstractNumId w:val="10"/>
    <w:lvlOverride w:ilvl="0">
      <w:startOverride w:val="1"/>
    </w:lvlOverride>
  </w:num>
  <w:num w:numId="11" w16cid:durableId="384185131">
    <w:abstractNumId w:val="16"/>
  </w:num>
  <w:num w:numId="12" w16cid:durableId="1054743266">
    <w:abstractNumId w:val="11"/>
  </w:num>
  <w:num w:numId="13" w16cid:durableId="1802727059">
    <w:abstractNumId w:val="6"/>
  </w:num>
  <w:num w:numId="14" w16cid:durableId="1490754420">
    <w:abstractNumId w:val="13"/>
  </w:num>
  <w:num w:numId="15" w16cid:durableId="1482573291">
    <w:abstractNumId w:val="8"/>
  </w:num>
  <w:num w:numId="16" w16cid:durableId="712726667">
    <w:abstractNumId w:val="8"/>
  </w:num>
  <w:num w:numId="17" w16cid:durableId="319895350">
    <w:abstractNumId w:val="8"/>
  </w:num>
  <w:num w:numId="18" w16cid:durableId="2142720753">
    <w:abstractNumId w:val="8"/>
  </w:num>
  <w:num w:numId="19" w16cid:durableId="1505827640">
    <w:abstractNumId w:val="8"/>
  </w:num>
  <w:num w:numId="20" w16cid:durableId="1193570981">
    <w:abstractNumId w:val="8"/>
  </w:num>
  <w:num w:numId="21" w16cid:durableId="1653563769">
    <w:abstractNumId w:val="8"/>
  </w:num>
  <w:num w:numId="22" w16cid:durableId="231745901">
    <w:abstractNumId w:val="8"/>
  </w:num>
  <w:num w:numId="23" w16cid:durableId="1755084198">
    <w:abstractNumId w:val="14"/>
  </w:num>
  <w:num w:numId="24" w16cid:durableId="1214585647">
    <w:abstractNumId w:val="15"/>
  </w:num>
  <w:num w:numId="25" w16cid:durableId="78791452">
    <w:abstractNumId w:val="1"/>
  </w:num>
  <w:num w:numId="26" w16cid:durableId="758719687">
    <w:abstractNumId w:val="8"/>
  </w:num>
  <w:num w:numId="27" w16cid:durableId="1799058657">
    <w:abstractNumId w:val="8"/>
  </w:num>
  <w:num w:numId="28" w16cid:durableId="433941303">
    <w:abstractNumId w:val="8"/>
  </w:num>
  <w:num w:numId="29" w16cid:durableId="1801142665">
    <w:abstractNumId w:val="8"/>
  </w:num>
  <w:num w:numId="30" w16cid:durableId="1456368880">
    <w:abstractNumId w:val="8"/>
  </w:num>
  <w:num w:numId="31" w16cid:durableId="49153114">
    <w:abstractNumId w:val="8"/>
  </w:num>
  <w:num w:numId="32" w16cid:durableId="2128968835">
    <w:abstractNumId w:val="8"/>
  </w:num>
  <w:num w:numId="33" w16cid:durableId="1114441628">
    <w:abstractNumId w:val="8"/>
  </w:num>
  <w:num w:numId="34" w16cid:durableId="132601306">
    <w:abstractNumId w:val="8"/>
  </w:num>
  <w:num w:numId="35" w16cid:durableId="1798253562">
    <w:abstractNumId w:val="8"/>
  </w:num>
  <w:num w:numId="36" w16cid:durableId="1028027057">
    <w:abstractNumId w:val="8"/>
  </w:num>
  <w:num w:numId="37" w16cid:durableId="151063742">
    <w:abstractNumId w:val="8"/>
  </w:num>
  <w:num w:numId="38" w16cid:durableId="685789377">
    <w:abstractNumId w:val="8"/>
  </w:num>
  <w:num w:numId="39" w16cid:durableId="699285805">
    <w:abstractNumId w:val="8"/>
  </w:num>
  <w:num w:numId="40" w16cid:durableId="850025169">
    <w:abstractNumId w:val="9"/>
  </w:num>
  <w:num w:numId="41" w16cid:durableId="1919904001">
    <w:abstractNumId w:val="7"/>
  </w:num>
  <w:num w:numId="42" w16cid:durableId="2052801654">
    <w:abstractNumId w:val="0"/>
  </w:num>
  <w:num w:numId="43" w16cid:durableId="630667730">
    <w:abstractNumId w:val="12"/>
  </w:num>
  <w:num w:numId="44" w16cid:durableId="820123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870E2C"/>
    <w:rsid w:val="000168D2"/>
    <w:rsid w:val="00053963"/>
    <w:rsid w:val="0005649C"/>
    <w:rsid w:val="0006077E"/>
    <w:rsid w:val="00080C83"/>
    <w:rsid w:val="000B075A"/>
    <w:rsid w:val="000B2AD7"/>
    <w:rsid w:val="000D0DD2"/>
    <w:rsid w:val="00102532"/>
    <w:rsid w:val="0011375A"/>
    <w:rsid w:val="00162FD1"/>
    <w:rsid w:val="00167354"/>
    <w:rsid w:val="001733D0"/>
    <w:rsid w:val="00182073"/>
    <w:rsid w:val="00187AB3"/>
    <w:rsid w:val="001A14E4"/>
    <w:rsid w:val="001B4A90"/>
    <w:rsid w:val="001B70F1"/>
    <w:rsid w:val="001C7F9C"/>
    <w:rsid w:val="0020301B"/>
    <w:rsid w:val="00226301"/>
    <w:rsid w:val="00232194"/>
    <w:rsid w:val="0024475D"/>
    <w:rsid w:val="00266B65"/>
    <w:rsid w:val="00276997"/>
    <w:rsid w:val="002D547E"/>
    <w:rsid w:val="00300B24"/>
    <w:rsid w:val="00322097"/>
    <w:rsid w:val="00356294"/>
    <w:rsid w:val="00363999"/>
    <w:rsid w:val="003667F4"/>
    <w:rsid w:val="0036766C"/>
    <w:rsid w:val="0037199A"/>
    <w:rsid w:val="003B5E6A"/>
    <w:rsid w:val="003C45FB"/>
    <w:rsid w:val="003D6BB0"/>
    <w:rsid w:val="00412E1A"/>
    <w:rsid w:val="00441354"/>
    <w:rsid w:val="004B70A8"/>
    <w:rsid w:val="005157B7"/>
    <w:rsid w:val="00543D1E"/>
    <w:rsid w:val="00563862"/>
    <w:rsid w:val="005725D8"/>
    <w:rsid w:val="00595F86"/>
    <w:rsid w:val="005A0E37"/>
    <w:rsid w:val="005B6361"/>
    <w:rsid w:val="005E6784"/>
    <w:rsid w:val="00603D78"/>
    <w:rsid w:val="006416A9"/>
    <w:rsid w:val="006513B2"/>
    <w:rsid w:val="00662E0B"/>
    <w:rsid w:val="006646D7"/>
    <w:rsid w:val="00676226"/>
    <w:rsid w:val="00687CED"/>
    <w:rsid w:val="006B3DCC"/>
    <w:rsid w:val="006D2B34"/>
    <w:rsid w:val="00702ADC"/>
    <w:rsid w:val="00723469"/>
    <w:rsid w:val="00726463"/>
    <w:rsid w:val="007518CC"/>
    <w:rsid w:val="00802C08"/>
    <w:rsid w:val="00825B92"/>
    <w:rsid w:val="0083075C"/>
    <w:rsid w:val="00835BD2"/>
    <w:rsid w:val="00856B50"/>
    <w:rsid w:val="00870E2C"/>
    <w:rsid w:val="008A2983"/>
    <w:rsid w:val="008A68E3"/>
    <w:rsid w:val="008B4C62"/>
    <w:rsid w:val="008C1D79"/>
    <w:rsid w:val="008E4946"/>
    <w:rsid w:val="009043B3"/>
    <w:rsid w:val="0092618F"/>
    <w:rsid w:val="00950777"/>
    <w:rsid w:val="00956CD6"/>
    <w:rsid w:val="009E3139"/>
    <w:rsid w:val="00A0376F"/>
    <w:rsid w:val="00A44D95"/>
    <w:rsid w:val="00A63389"/>
    <w:rsid w:val="00AA325A"/>
    <w:rsid w:val="00AF0400"/>
    <w:rsid w:val="00B5053C"/>
    <w:rsid w:val="00B53909"/>
    <w:rsid w:val="00B54C48"/>
    <w:rsid w:val="00B6578D"/>
    <w:rsid w:val="00B878B4"/>
    <w:rsid w:val="00BC2519"/>
    <w:rsid w:val="00BD31DC"/>
    <w:rsid w:val="00BD5E35"/>
    <w:rsid w:val="00C13BA7"/>
    <w:rsid w:val="00C425C2"/>
    <w:rsid w:val="00C454EE"/>
    <w:rsid w:val="00C57879"/>
    <w:rsid w:val="00C74FFF"/>
    <w:rsid w:val="00CA4D40"/>
    <w:rsid w:val="00CB29FD"/>
    <w:rsid w:val="00CB2B3C"/>
    <w:rsid w:val="00CC35CD"/>
    <w:rsid w:val="00CD384D"/>
    <w:rsid w:val="00D14D54"/>
    <w:rsid w:val="00D16592"/>
    <w:rsid w:val="00D17C16"/>
    <w:rsid w:val="00D80159"/>
    <w:rsid w:val="00DC34E4"/>
    <w:rsid w:val="00DC460E"/>
    <w:rsid w:val="00DD2703"/>
    <w:rsid w:val="00DE0CB5"/>
    <w:rsid w:val="00DF6710"/>
    <w:rsid w:val="00E05F40"/>
    <w:rsid w:val="00E06F97"/>
    <w:rsid w:val="00E14417"/>
    <w:rsid w:val="00E5058B"/>
    <w:rsid w:val="00E565F9"/>
    <w:rsid w:val="00E601C0"/>
    <w:rsid w:val="00E6358D"/>
    <w:rsid w:val="00E66369"/>
    <w:rsid w:val="00EA6F5A"/>
    <w:rsid w:val="00ED6EEE"/>
    <w:rsid w:val="00EE72ED"/>
    <w:rsid w:val="00EF4F79"/>
    <w:rsid w:val="00F300F0"/>
    <w:rsid w:val="00F31014"/>
    <w:rsid w:val="00F87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D7F1"/>
  <w15:docId w15:val="{B9172C09-F4E7-4FAA-8F0E-68874B8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AF0400"/>
    <w:pPr>
      <w:keepNext/>
      <w:spacing w:before="360" w:after="120" w:line="360" w:lineRule="auto"/>
      <w:contextualSpacing/>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AF0400"/>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59"/>
    <w:rsid w:val="0085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22689">
      <w:bodyDiv w:val="1"/>
      <w:marLeft w:val="0"/>
      <w:marRight w:val="0"/>
      <w:marTop w:val="0"/>
      <w:marBottom w:val="0"/>
      <w:divBdr>
        <w:top w:val="none" w:sz="0" w:space="0" w:color="auto"/>
        <w:left w:val="none" w:sz="0" w:space="0" w:color="auto"/>
        <w:bottom w:val="none" w:sz="0" w:space="0" w:color="auto"/>
        <w:right w:val="none" w:sz="0" w:space="0" w:color="auto"/>
      </w:divBdr>
    </w:div>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1DBDD-4A38-4538-B679-9956E684B0E0}">
  <ds:schemaRefs>
    <ds:schemaRef ds:uri="http://schemas.openxmlformats.org/officeDocument/2006/bibliography"/>
  </ds:schemaRefs>
</ds:datastoreItem>
</file>

<file path=customXml/itemProps2.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ED7D653C-4F99-4D1B-8372-9FAC9A04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2</TotalTime>
  <Pages>3</Pages>
  <Words>1100</Words>
  <Characters>5956</Characters>
  <Application>Microsoft Office Word</Application>
  <DocSecurity>0</DocSecurity>
  <Lines>85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2020-10-19T18:35:00Z</dcterms:created>
  <dcterms:modified xsi:type="dcterms:W3CDTF">2024-01-17T20:27:00Z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