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7CD3AB8" w:rsidR="005311FB" w:rsidRPr="00C46A0D" w:rsidRDefault="00D8305B" w:rsidP="00D8305B">
      <w:pPr>
        <w:pStyle w:val="Title1sl"/>
        <w:pBdr>
          <w:bottom w:val="single" w:sz="12" w:space="1" w:color="auto"/>
        </w:pBdr>
        <w:spacing w:before="240"/>
        <w:rPr>
          <w:sz w:val="40"/>
          <w:szCs w:val="40"/>
        </w:rPr>
      </w:pPr>
      <w:r w:rsidRPr="002628C2">
        <w:rPr>
          <w:i/>
          <w:iCs/>
          <w:noProof/>
          <w:sz w:val="40"/>
          <w:szCs w:val="40"/>
        </w:rPr>
        <mc:AlternateContent>
          <mc:Choice Requires="wps">
            <w:drawing>
              <wp:anchor distT="0" distB="0" distL="114300" distR="114300" simplePos="0" relativeHeight="251659264" behindDoc="0" locked="0" layoutInCell="1" allowOverlap="1" wp14:anchorId="3897B308" wp14:editId="63D951C1">
                <wp:simplePos x="0" y="0"/>
                <wp:positionH relativeFrom="column">
                  <wp:posOffset>-26670</wp:posOffset>
                </wp:positionH>
                <wp:positionV relativeFrom="paragraph">
                  <wp:posOffset>582930</wp:posOffset>
                </wp:positionV>
                <wp:extent cx="6000115" cy="446722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000115" cy="4467225"/>
                        </a:xfrm>
                        <a:prstGeom prst="rect">
                          <a:avLst/>
                        </a:prstGeom>
                        <a:noFill/>
                        <a:ln w="6350">
                          <a:noFill/>
                        </a:ln>
                      </wps:spPr>
                      <wps:txbx>
                        <w:txbxContent>
                          <w:p w14:paraId="5ACD269C" w14:textId="52C16549" w:rsidR="00D8305B" w:rsidRDefault="00D8305B" w:rsidP="00D8305B">
                            <w:pPr>
                              <w:jc w:val="center"/>
                            </w:pPr>
                            <w:r>
                              <w:rPr>
                                <w:noProof/>
                              </w:rPr>
                              <w:drawing>
                                <wp:inline distT="0" distB="0" distL="0" distR="0" wp14:anchorId="6057962E" wp14:editId="29C27507">
                                  <wp:extent cx="3227614" cy="4223920"/>
                                  <wp:effectExtent l="38100" t="38100" r="87630" b="1009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764"/>
                                          <a:stretch/>
                                        </pic:blipFill>
                                        <pic:spPr bwMode="auto">
                                          <a:xfrm>
                                            <a:off x="0" y="0"/>
                                            <a:ext cx="3267405" cy="427599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97B308" id="_x0000_t202" coordsize="21600,21600" o:spt="202" path="m,l,21600r21600,l21600,xe">
                <v:stroke joinstyle="miter"/>
                <v:path gradientshapeok="t" o:connecttype="rect"/>
              </v:shapetype>
              <v:shape id="Text Box 2" o:spid="_x0000_s1026" type="#_x0000_t202" style="position:absolute;margin-left:-2.1pt;margin-top:45.9pt;width:472.45pt;height:3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" filled="f" stroked="f" strokeweight=".5pt">
                <v:textbox>
                  <w:txbxContent>
                    <w:p w14:paraId="5ACD269C" w14:textId="52C16549" w:rsidR="00D8305B" w:rsidRDefault="00D8305B" w:rsidP="00D8305B">
                      <w:pPr>
                        <w:jc w:val="center"/>
                      </w:pPr>
                      <w:r>
                        <w:rPr>
                          <w:noProof/>
                        </w:rPr>
                        <w:drawing>
                          <wp:inline distT="0" distB="0" distL="0" distR="0" wp14:anchorId="6057962E" wp14:editId="29C27507">
                            <wp:extent cx="3227614" cy="4223920"/>
                            <wp:effectExtent l="38100" t="38100" r="87630" b="1009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764"/>
                                    <a:stretch/>
                                  </pic:blipFill>
                                  <pic:spPr bwMode="auto">
                                    <a:xfrm>
                                      <a:off x="0" y="0"/>
                                      <a:ext cx="3267405" cy="427599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v:textbox>
                <w10:wrap type="topAndBottom"/>
              </v:shape>
            </w:pict>
          </mc:Fallback>
        </mc:AlternateContent>
      </w:r>
      <w:r w:rsidR="002628C2" w:rsidRPr="002628C2">
        <w:rPr>
          <w:i/>
          <w:iCs/>
          <w:noProof/>
          <w:sz w:val="40"/>
          <w:szCs w:val="40"/>
        </w:rPr>
        <w:t>Mapp v. Ohio</w:t>
      </w:r>
      <w:r w:rsidR="00F64E56" w:rsidRPr="002628C2">
        <w:rPr>
          <w:sz w:val="32"/>
          <w:szCs w:val="32"/>
        </w:rPr>
        <w:t xml:space="preserve"> </w:t>
      </w:r>
      <w:r w:rsidR="00F64E56" w:rsidRPr="00C46A0D">
        <w:rPr>
          <w:sz w:val="40"/>
          <w:szCs w:val="40"/>
        </w:rPr>
        <w:t xml:space="preserve">/ </w:t>
      </w:r>
      <w:r w:rsidR="00EC35D3" w:rsidRPr="00C46A0D">
        <w:rPr>
          <w:sz w:val="40"/>
          <w:szCs w:val="40"/>
        </w:rPr>
        <w:t>Document</w:t>
      </w:r>
      <w:r w:rsidR="002E34AE" w:rsidRPr="00C46A0D">
        <w:rPr>
          <w:sz w:val="40"/>
          <w:szCs w:val="40"/>
        </w:rPr>
        <w:t xml:space="preserve"> Analysis</w:t>
      </w:r>
    </w:p>
    <w:p w14:paraId="2D8F9540" w14:textId="127F7A65" w:rsidR="001C4718" w:rsidRPr="001C4718" w:rsidRDefault="00D8305B" w:rsidP="001C4718">
      <w:pPr>
        <w:rPr>
          <w:rFonts w:ascii="Garamond" w:hAnsi="Garamond"/>
          <w:b/>
          <w:bCs/>
          <w:i/>
          <w:iCs/>
          <w:sz w:val="20"/>
          <w:szCs w:val="20"/>
        </w:rPr>
      </w:pPr>
      <w:r w:rsidRPr="00D8305B">
        <w:rPr>
          <w:rFonts w:ascii="Garamond" w:hAnsi="Garamond" w:cs="Arial"/>
          <w:color w:val="333333"/>
          <w:sz w:val="20"/>
          <w:szCs w:val="20"/>
          <w:shd w:val="clear" w:color="auto" w:fill="FFFFFF"/>
        </w:rPr>
        <w:t>“Save Our Republic: Impeach Earl Warren,” October 17, 1966, Postcard,</w:t>
      </w:r>
      <w:r>
        <w:rPr>
          <w:rFonts w:ascii="Garamond" w:hAnsi="Garamond" w:cs="Arial"/>
          <w:color w:val="333333"/>
          <w:sz w:val="20"/>
          <w:szCs w:val="20"/>
          <w:shd w:val="clear" w:color="auto" w:fill="FFFFFF"/>
        </w:rPr>
        <w:t xml:space="preserve"> </w:t>
      </w:r>
      <w:r w:rsidRPr="00D8305B">
        <w:rPr>
          <w:rFonts w:ascii="Garamond" w:hAnsi="Garamond" w:cs="Arial"/>
          <w:color w:val="333333"/>
          <w:sz w:val="20"/>
          <w:szCs w:val="20"/>
          <w:shd w:val="clear" w:color="auto" w:fill="FFFFFF"/>
        </w:rPr>
        <w:t>Hugo L. Black Papers, Manuscript Division, Library of Congres</w:t>
      </w:r>
      <w:r>
        <w:rPr>
          <w:rFonts w:ascii="Garamond" w:hAnsi="Garamond" w:cs="Arial"/>
          <w:color w:val="333333"/>
          <w:sz w:val="20"/>
          <w:szCs w:val="20"/>
          <w:shd w:val="clear" w:color="auto" w:fill="FFFFFF"/>
        </w:rPr>
        <w:t xml:space="preserve">s, </w:t>
      </w:r>
      <w:hyperlink r:id="rId11" w:history="1">
        <w:r w:rsidRPr="00D8305B">
          <w:rPr>
            <w:rStyle w:val="Hyperlink"/>
            <w:color w:val="auto"/>
            <w:sz w:val="20"/>
            <w:szCs w:val="20"/>
            <w:u w:val="none"/>
          </w:rPr>
          <w:t>https://www.loc.gov/law/help/digitized-books/miranda-v-arizona/miranda-documents.php</w:t>
        </w:r>
      </w:hyperlink>
      <w:r>
        <w:rPr>
          <w:rFonts w:ascii="Garamond" w:hAnsi="Garamond"/>
          <w:sz w:val="20"/>
          <w:szCs w:val="20"/>
        </w:rPr>
        <w:t>.</w:t>
      </w:r>
    </w:p>
    <w:p w14:paraId="27DAA00E" w14:textId="77777777" w:rsidR="00C46A0D" w:rsidRPr="00AA1FD9" w:rsidRDefault="00C46A0D" w:rsidP="00C46A0D">
      <w:pPr>
        <w:pStyle w:val="Subhead1sl"/>
        <w:rPr>
          <w:noProof/>
        </w:rPr>
      </w:pPr>
      <w:r w:rsidRPr="00AA1FD9">
        <w:rPr>
          <w:noProof/>
        </w:rPr>
        <w:t>Background</w:t>
      </w:r>
    </w:p>
    <w:p w14:paraId="093AEFDD" w14:textId="44D5EE40" w:rsidR="00C46A0D" w:rsidRDefault="00C46A0D" w:rsidP="00C46A0D">
      <w:pPr>
        <w:rPr>
          <w:rFonts w:ascii="Garamond" w:hAnsi="Garamond"/>
          <w:noProof/>
          <w:sz w:val="24"/>
          <w:szCs w:val="24"/>
        </w:rPr>
      </w:pPr>
      <w:r>
        <w:rPr>
          <w:rFonts w:ascii="Garamond" w:hAnsi="Garamond"/>
          <w:noProof/>
          <w:sz w:val="24"/>
          <w:szCs w:val="24"/>
        </w:rPr>
        <w:t>Earl Warren was the Republican governor of California. He was nominated by President Dwight D. Eisenhower</w:t>
      </w:r>
      <w:r w:rsidR="00461C09">
        <w:rPr>
          <w:rFonts w:ascii="Garamond" w:hAnsi="Garamond"/>
          <w:noProof/>
          <w:sz w:val="24"/>
          <w:szCs w:val="24"/>
        </w:rPr>
        <w:t xml:space="preserve"> (also a Republican)</w:t>
      </w:r>
      <w:r>
        <w:rPr>
          <w:rFonts w:ascii="Garamond" w:hAnsi="Garamond"/>
          <w:noProof/>
          <w:sz w:val="24"/>
          <w:szCs w:val="24"/>
        </w:rPr>
        <w:t xml:space="preserve"> to be Chief Justice of the United States. In 1954, he was confirmed by the Senate. President Eisenhower expected Chief Justice Warren to make conservative decisions</w:t>
      </w:r>
      <w:r w:rsidR="00461C09">
        <w:rPr>
          <w:rFonts w:ascii="Garamond" w:hAnsi="Garamond"/>
          <w:noProof/>
          <w:sz w:val="24"/>
          <w:szCs w:val="24"/>
        </w:rPr>
        <w:t xml:space="preserve">; </w:t>
      </w:r>
      <w:r>
        <w:rPr>
          <w:rFonts w:ascii="Garamond" w:hAnsi="Garamond"/>
          <w:noProof/>
          <w:sz w:val="24"/>
          <w:szCs w:val="24"/>
        </w:rPr>
        <w:t>however</w:t>
      </w:r>
      <w:r w:rsidR="00461C09">
        <w:rPr>
          <w:rFonts w:ascii="Garamond" w:hAnsi="Garamond"/>
          <w:noProof/>
          <w:sz w:val="24"/>
          <w:szCs w:val="24"/>
        </w:rPr>
        <w:t>,</w:t>
      </w:r>
      <w:r>
        <w:rPr>
          <w:rFonts w:ascii="Garamond" w:hAnsi="Garamond"/>
          <w:noProof/>
          <w:sz w:val="24"/>
          <w:szCs w:val="24"/>
        </w:rPr>
        <w:t xml:space="preserve"> in his first term on the Supreme Court he wrote the unanimous opinion in </w:t>
      </w:r>
      <w:r w:rsidRPr="00A840BC">
        <w:rPr>
          <w:rFonts w:ascii="Garamond" w:hAnsi="Garamond"/>
          <w:i/>
          <w:iCs/>
          <w:noProof/>
          <w:sz w:val="24"/>
          <w:szCs w:val="24"/>
        </w:rPr>
        <w:t>Brown v. Board of Education of Topeka, Kansas</w:t>
      </w:r>
      <w:r w:rsidR="00461C09">
        <w:rPr>
          <w:rFonts w:ascii="Garamond" w:hAnsi="Garamond"/>
          <w:i/>
          <w:iCs/>
          <w:noProof/>
          <w:sz w:val="24"/>
          <w:szCs w:val="24"/>
        </w:rPr>
        <w:t>,</w:t>
      </w:r>
      <w:r>
        <w:rPr>
          <w:rFonts w:ascii="Garamond" w:hAnsi="Garamond"/>
          <w:noProof/>
          <w:sz w:val="24"/>
          <w:szCs w:val="24"/>
        </w:rPr>
        <w:t xml:space="preserve"> which desegratated public schools. By the mid-1960s the Warren Court made many decisions to protect the rights of the accused </w:t>
      </w:r>
      <w:r w:rsidR="00461C09">
        <w:rPr>
          <w:rFonts w:ascii="Garamond" w:hAnsi="Garamond"/>
          <w:noProof/>
          <w:sz w:val="24"/>
          <w:szCs w:val="24"/>
        </w:rPr>
        <w:t xml:space="preserve">including </w:t>
      </w:r>
      <w:r w:rsidRPr="00601BF5">
        <w:rPr>
          <w:rFonts w:ascii="Garamond" w:hAnsi="Garamond"/>
          <w:i/>
          <w:iCs/>
          <w:noProof/>
          <w:sz w:val="24"/>
          <w:szCs w:val="24"/>
        </w:rPr>
        <w:t>Mapp v. Ohio</w:t>
      </w:r>
      <w:r>
        <w:rPr>
          <w:rFonts w:ascii="Garamond" w:hAnsi="Garamond"/>
          <w:noProof/>
          <w:sz w:val="24"/>
          <w:szCs w:val="24"/>
        </w:rPr>
        <w:t xml:space="preserve"> (1961),</w:t>
      </w:r>
      <w:r w:rsidR="00461C09">
        <w:rPr>
          <w:rFonts w:ascii="Garamond" w:hAnsi="Garamond"/>
          <w:noProof/>
          <w:sz w:val="24"/>
          <w:szCs w:val="24"/>
        </w:rPr>
        <w:t xml:space="preserve"> which extended the exclusionary rule to states;</w:t>
      </w:r>
      <w:r>
        <w:rPr>
          <w:rFonts w:ascii="Garamond" w:hAnsi="Garamond"/>
          <w:noProof/>
          <w:sz w:val="24"/>
          <w:szCs w:val="24"/>
        </w:rPr>
        <w:t xml:space="preserve"> </w:t>
      </w:r>
      <w:r w:rsidRPr="00601BF5">
        <w:rPr>
          <w:rFonts w:ascii="Garamond" w:hAnsi="Garamond"/>
          <w:i/>
          <w:iCs/>
          <w:noProof/>
          <w:sz w:val="24"/>
          <w:szCs w:val="24"/>
        </w:rPr>
        <w:t>Gideon v. Wainwright</w:t>
      </w:r>
      <w:r>
        <w:rPr>
          <w:rFonts w:ascii="Garamond" w:hAnsi="Garamond"/>
          <w:noProof/>
          <w:sz w:val="24"/>
          <w:szCs w:val="24"/>
        </w:rPr>
        <w:t xml:space="preserve"> (1963)</w:t>
      </w:r>
      <w:r w:rsidR="00461C09">
        <w:rPr>
          <w:rFonts w:ascii="Garamond" w:hAnsi="Garamond"/>
          <w:noProof/>
          <w:sz w:val="24"/>
          <w:szCs w:val="24"/>
        </w:rPr>
        <w:t xml:space="preserve">, which </w:t>
      </w:r>
      <w:r>
        <w:rPr>
          <w:rFonts w:ascii="Garamond" w:hAnsi="Garamond"/>
          <w:noProof/>
          <w:sz w:val="24"/>
          <w:szCs w:val="24"/>
        </w:rPr>
        <w:t>requir</w:t>
      </w:r>
      <w:r w:rsidR="00461C09">
        <w:rPr>
          <w:rFonts w:ascii="Garamond" w:hAnsi="Garamond"/>
          <w:noProof/>
          <w:sz w:val="24"/>
          <w:szCs w:val="24"/>
        </w:rPr>
        <w:t xml:space="preserve">ed </w:t>
      </w:r>
      <w:r>
        <w:rPr>
          <w:rFonts w:ascii="Garamond" w:hAnsi="Garamond"/>
          <w:noProof/>
          <w:sz w:val="24"/>
          <w:szCs w:val="24"/>
        </w:rPr>
        <w:t>states to provide attorneys for poor defendants</w:t>
      </w:r>
      <w:r w:rsidR="00461C09">
        <w:rPr>
          <w:rFonts w:ascii="Garamond" w:hAnsi="Garamond"/>
          <w:noProof/>
          <w:sz w:val="24"/>
          <w:szCs w:val="24"/>
        </w:rPr>
        <w:t xml:space="preserve">; </w:t>
      </w:r>
      <w:r>
        <w:rPr>
          <w:rFonts w:ascii="Garamond" w:hAnsi="Garamond"/>
          <w:noProof/>
          <w:sz w:val="24"/>
          <w:szCs w:val="24"/>
        </w:rPr>
        <w:t xml:space="preserve">and </w:t>
      </w:r>
      <w:r w:rsidRPr="00601BF5">
        <w:rPr>
          <w:rFonts w:ascii="Garamond" w:hAnsi="Garamond"/>
          <w:i/>
          <w:iCs/>
          <w:noProof/>
          <w:sz w:val="24"/>
          <w:szCs w:val="24"/>
        </w:rPr>
        <w:t>Miranda v. Arizona</w:t>
      </w:r>
      <w:r>
        <w:rPr>
          <w:rFonts w:ascii="Garamond" w:hAnsi="Garamond"/>
          <w:noProof/>
          <w:sz w:val="24"/>
          <w:szCs w:val="24"/>
        </w:rPr>
        <w:t xml:space="preserve"> (1966)</w:t>
      </w:r>
      <w:r w:rsidR="00461C09">
        <w:rPr>
          <w:rFonts w:ascii="Garamond" w:hAnsi="Garamond"/>
          <w:noProof/>
          <w:sz w:val="24"/>
          <w:szCs w:val="24"/>
        </w:rPr>
        <w:t xml:space="preserve">, which </w:t>
      </w:r>
      <w:r>
        <w:rPr>
          <w:rFonts w:ascii="Garamond" w:hAnsi="Garamond"/>
          <w:noProof/>
          <w:sz w:val="24"/>
          <w:szCs w:val="24"/>
        </w:rPr>
        <w:t>requir</w:t>
      </w:r>
      <w:r w:rsidR="00461C09">
        <w:rPr>
          <w:rFonts w:ascii="Garamond" w:hAnsi="Garamond"/>
          <w:noProof/>
          <w:sz w:val="24"/>
          <w:szCs w:val="24"/>
        </w:rPr>
        <w:t xml:space="preserve">ed </w:t>
      </w:r>
      <w:r>
        <w:rPr>
          <w:rFonts w:ascii="Garamond" w:hAnsi="Garamond"/>
          <w:noProof/>
          <w:sz w:val="24"/>
          <w:szCs w:val="24"/>
        </w:rPr>
        <w:t>police to inform people in cus</w:t>
      </w:r>
      <w:r w:rsidR="00461C09">
        <w:rPr>
          <w:rFonts w:ascii="Garamond" w:hAnsi="Garamond"/>
          <w:noProof/>
          <w:sz w:val="24"/>
          <w:szCs w:val="24"/>
        </w:rPr>
        <w:t>t</w:t>
      </w:r>
      <w:r>
        <w:rPr>
          <w:rFonts w:ascii="Garamond" w:hAnsi="Garamond"/>
          <w:noProof/>
          <w:sz w:val="24"/>
          <w:szCs w:val="24"/>
        </w:rPr>
        <w:t xml:space="preserve">ody of their right to </w:t>
      </w:r>
      <w:r w:rsidR="00461C09">
        <w:rPr>
          <w:rFonts w:ascii="Garamond" w:hAnsi="Garamond"/>
          <w:noProof/>
          <w:sz w:val="24"/>
          <w:szCs w:val="24"/>
        </w:rPr>
        <w:t xml:space="preserve">stay </w:t>
      </w:r>
      <w:r>
        <w:rPr>
          <w:rFonts w:ascii="Garamond" w:hAnsi="Garamond"/>
          <w:noProof/>
          <w:sz w:val="24"/>
          <w:szCs w:val="24"/>
        </w:rPr>
        <w:t xml:space="preserve">silent </w:t>
      </w:r>
      <w:r w:rsidR="00461C09">
        <w:rPr>
          <w:rFonts w:ascii="Garamond" w:hAnsi="Garamond"/>
          <w:noProof/>
          <w:sz w:val="24"/>
          <w:szCs w:val="24"/>
        </w:rPr>
        <w:t xml:space="preserve">in order to </w:t>
      </w:r>
      <w:r>
        <w:rPr>
          <w:rFonts w:ascii="Garamond" w:hAnsi="Garamond"/>
          <w:noProof/>
          <w:sz w:val="24"/>
          <w:szCs w:val="24"/>
        </w:rPr>
        <w:t xml:space="preserve">not incriminate themselves and </w:t>
      </w:r>
      <w:r w:rsidR="00461C09">
        <w:rPr>
          <w:rFonts w:ascii="Garamond" w:hAnsi="Garamond"/>
          <w:noProof/>
          <w:sz w:val="24"/>
          <w:szCs w:val="24"/>
        </w:rPr>
        <w:t xml:space="preserve">their right to </w:t>
      </w:r>
      <w:r>
        <w:rPr>
          <w:rFonts w:ascii="Garamond" w:hAnsi="Garamond"/>
          <w:noProof/>
          <w:sz w:val="24"/>
          <w:szCs w:val="24"/>
        </w:rPr>
        <w:t>have an attorney provided.</w:t>
      </w:r>
    </w:p>
    <w:p w14:paraId="35109C4C" w14:textId="566046E1" w:rsidR="00C46A0D" w:rsidRPr="00B65F1F" w:rsidRDefault="00C46A0D" w:rsidP="00C46A0D">
      <w:pPr>
        <w:rPr>
          <w:rFonts w:ascii="Garamond" w:hAnsi="Garamond"/>
          <w:noProof/>
          <w:sz w:val="24"/>
          <w:szCs w:val="24"/>
        </w:rPr>
      </w:pPr>
      <w:r>
        <w:rPr>
          <w:rFonts w:ascii="Garamond" w:hAnsi="Garamond"/>
          <w:noProof/>
          <w:sz w:val="24"/>
          <w:szCs w:val="24"/>
        </w:rPr>
        <w:lastRenderedPageBreak/>
        <w:t>An “Impeach Earl Warren” movement was started by people who opposed the Warren Court’s decisions. However, as stated in Article III of the U.S. Constitution, justices “</w:t>
      </w:r>
      <w:r w:rsidRPr="00933764">
        <w:rPr>
          <w:rFonts w:ascii="Garamond" w:hAnsi="Garamond"/>
          <w:i/>
          <w:iCs/>
          <w:sz w:val="24"/>
          <w:szCs w:val="24"/>
        </w:rPr>
        <w:t xml:space="preserve">shall hold their Offices during good </w:t>
      </w:r>
      <w:proofErr w:type="spellStart"/>
      <w:r w:rsidRPr="00933764">
        <w:rPr>
          <w:rFonts w:ascii="Garamond" w:hAnsi="Garamond"/>
          <w:i/>
          <w:iCs/>
          <w:sz w:val="24"/>
          <w:szCs w:val="24"/>
        </w:rPr>
        <w:t>Behaviour</w:t>
      </w:r>
      <w:proofErr w:type="spellEnd"/>
      <w:r>
        <w:rPr>
          <w:rFonts w:ascii="Garamond" w:hAnsi="Garamond"/>
          <w:sz w:val="24"/>
          <w:szCs w:val="24"/>
        </w:rPr>
        <w:t>” meaning they have life terms. Article II states that civil officers</w:t>
      </w:r>
      <w:r w:rsidR="00461C09">
        <w:rPr>
          <w:rFonts w:ascii="Garamond" w:hAnsi="Garamond"/>
          <w:sz w:val="24"/>
          <w:szCs w:val="24"/>
        </w:rPr>
        <w:t>,</w:t>
      </w:r>
      <w:r>
        <w:rPr>
          <w:rFonts w:ascii="Garamond" w:hAnsi="Garamond"/>
          <w:sz w:val="24"/>
          <w:szCs w:val="24"/>
        </w:rPr>
        <w:t xml:space="preserve"> including justices</w:t>
      </w:r>
      <w:r w:rsidR="00461C09">
        <w:rPr>
          <w:rFonts w:ascii="Garamond" w:hAnsi="Garamond"/>
          <w:sz w:val="24"/>
          <w:szCs w:val="24"/>
        </w:rPr>
        <w:t>,</w:t>
      </w:r>
      <w:r>
        <w:rPr>
          <w:rFonts w:ascii="Garamond" w:hAnsi="Garamond"/>
          <w:sz w:val="24"/>
          <w:szCs w:val="24"/>
        </w:rPr>
        <w:t xml:space="preserve"> may only be impeached </w:t>
      </w:r>
      <w:r w:rsidRPr="004364CA">
        <w:rPr>
          <w:rFonts w:ascii="Garamond" w:hAnsi="Garamond"/>
          <w:sz w:val="24"/>
          <w:szCs w:val="24"/>
        </w:rPr>
        <w:t>for “</w:t>
      </w:r>
      <w:r w:rsidRPr="00933764">
        <w:rPr>
          <w:rFonts w:ascii="Garamond" w:hAnsi="Garamond" w:cs="Lucida Sans Unicode"/>
          <w:i/>
          <w:iCs/>
          <w:color w:val="333333"/>
          <w:sz w:val="24"/>
          <w:szCs w:val="24"/>
          <w:bdr w:val="none" w:sz="0" w:space="0" w:color="auto" w:frame="1"/>
          <w:shd w:val="clear" w:color="auto" w:fill="FFFFFF"/>
        </w:rPr>
        <w:t>Treason, Bribery, or other high Crimes and Misdemeanors</w:t>
      </w:r>
      <w:r w:rsidRPr="004364CA">
        <w:rPr>
          <w:rFonts w:ascii="Garamond" w:hAnsi="Garamond" w:cs="Lucida Sans Unicode"/>
          <w:color w:val="333333"/>
          <w:sz w:val="24"/>
          <w:szCs w:val="24"/>
          <w:bdr w:val="none" w:sz="0" w:space="0" w:color="auto" w:frame="1"/>
          <w:shd w:val="clear" w:color="auto" w:fill="FFFFFF"/>
        </w:rPr>
        <w:t>.”</w:t>
      </w:r>
    </w:p>
    <w:p w14:paraId="6189A45B" w14:textId="4181832E" w:rsidR="002E34AE" w:rsidRPr="00A7731A" w:rsidRDefault="002E34AE" w:rsidP="00D8305B">
      <w:pPr>
        <w:pStyle w:val="Subhead1sl"/>
      </w:pPr>
      <w:r w:rsidRPr="00A7731A">
        <w:t>Observe</w:t>
      </w:r>
    </w:p>
    <w:p w14:paraId="72FCE679" w14:textId="4C03D887" w:rsidR="002E34AE" w:rsidRDefault="002E34AE" w:rsidP="002628C2">
      <w:pPr>
        <w:pStyle w:val="Numberedlistwroomforanswerssl"/>
        <w:spacing w:after="2280"/>
        <w:ind w:left="360"/>
      </w:pPr>
      <w:r w:rsidRPr="002E34AE">
        <w:t>What do you notice first</w:t>
      </w:r>
      <w:r w:rsidR="00461C09">
        <w:t xml:space="preserve"> about the front of the postcard</w:t>
      </w:r>
      <w:r w:rsidRPr="002E34AE">
        <w:t>?</w:t>
      </w:r>
    </w:p>
    <w:p w14:paraId="063335CD" w14:textId="5836F951" w:rsidR="004A0544" w:rsidRPr="002E34AE" w:rsidRDefault="004A0544" w:rsidP="002628C2">
      <w:pPr>
        <w:pStyle w:val="Numberedlistwroomforanswerssl"/>
        <w:spacing w:after="2280"/>
        <w:ind w:left="360"/>
      </w:pPr>
      <w:r>
        <w:t>What</w:t>
      </w:r>
      <w:r w:rsidR="00461C09">
        <w:t xml:space="preserve"> do you notice first about the back of the postcard</w:t>
      </w:r>
      <w:r>
        <w:t>?</w:t>
      </w:r>
    </w:p>
    <w:p w14:paraId="4792CBE4" w14:textId="439D5A40" w:rsidR="002E34AE" w:rsidRPr="002A2102" w:rsidRDefault="002E34AE" w:rsidP="002E34AE">
      <w:pPr>
        <w:pStyle w:val="Subhead1sl"/>
      </w:pPr>
      <w:r w:rsidRPr="002A2102">
        <w:t>Reflect</w:t>
      </w:r>
    </w:p>
    <w:p w14:paraId="19683626" w14:textId="77777777" w:rsidR="002628C2" w:rsidRPr="002B69B0" w:rsidRDefault="002628C2" w:rsidP="002628C2">
      <w:pPr>
        <w:pStyle w:val="Numberedlistwroomforanswerssl"/>
        <w:spacing w:after="2280"/>
        <w:ind w:left="360"/>
      </w:pPr>
      <w:r>
        <w:t>Why do you think someone sent this postcard?</w:t>
      </w:r>
    </w:p>
    <w:p w14:paraId="28D5FA58" w14:textId="77777777" w:rsidR="002628C2" w:rsidRPr="002B69B0" w:rsidRDefault="002628C2" w:rsidP="002628C2">
      <w:pPr>
        <w:pStyle w:val="Numberedlistwroomforanswerssl"/>
        <w:spacing w:after="2280"/>
        <w:ind w:left="360"/>
      </w:pPr>
      <w:r w:rsidRPr="002B69B0">
        <w:t xml:space="preserve">What can you tell about the point of view of the </w:t>
      </w:r>
      <w:r>
        <w:t>person who sent the postcard</w:t>
      </w:r>
      <w:r w:rsidRPr="002B69B0">
        <w:t>?</w:t>
      </w:r>
    </w:p>
    <w:p w14:paraId="3CBD31F5" w14:textId="77777777" w:rsidR="002628C2" w:rsidRDefault="002628C2" w:rsidP="002628C2">
      <w:pPr>
        <w:pStyle w:val="Numberedlistwroomforanswerssl"/>
        <w:spacing w:after="2280"/>
        <w:ind w:left="360"/>
      </w:pPr>
      <w:r w:rsidRPr="002B69B0">
        <w:lastRenderedPageBreak/>
        <w:t xml:space="preserve">What do you learn about the </w:t>
      </w:r>
      <w:r>
        <w:t xml:space="preserve">reaction of some people to the decision in </w:t>
      </w:r>
      <w:r w:rsidRPr="002628C2">
        <w:rPr>
          <w:i/>
          <w:iCs/>
        </w:rPr>
        <w:t>Mapp v. Ohio</w:t>
      </w:r>
      <w:r w:rsidRPr="002B69B0">
        <w:t xml:space="preserve"> (196</w:t>
      </w:r>
      <w:r>
        <w:t>1</w:t>
      </w:r>
      <w:r w:rsidRPr="002B69B0">
        <w:t xml:space="preserve">) </w:t>
      </w:r>
      <w:r>
        <w:t xml:space="preserve">and others that protected the rights of the accused </w:t>
      </w:r>
      <w:r w:rsidRPr="002B69B0">
        <w:t xml:space="preserve">from this </w:t>
      </w:r>
      <w:r>
        <w:t>postcard</w:t>
      </w:r>
      <w:r w:rsidRPr="002B69B0">
        <w:t>?</w:t>
      </w:r>
    </w:p>
    <w:p w14:paraId="5C49553B" w14:textId="7F8A1E9E" w:rsidR="002628C2" w:rsidRDefault="002628C2" w:rsidP="002628C2">
      <w:pPr>
        <w:pStyle w:val="Numberedlistwroomforanswerssl"/>
        <w:spacing w:after="2280"/>
        <w:ind w:left="360"/>
      </w:pPr>
      <w:r>
        <w:t>Do you think everyone had this reaction to the decisions?</w:t>
      </w:r>
    </w:p>
    <w:p w14:paraId="66E76AD3" w14:textId="77777777" w:rsidR="008C3566" w:rsidRPr="00B933B7" w:rsidRDefault="008C3566" w:rsidP="001016A1">
      <w:pPr>
        <w:pStyle w:val="Numberedlistwroomforanswerssl"/>
        <w:spacing w:after="2280"/>
        <w:ind w:left="360"/>
      </w:pPr>
      <w:r>
        <w:t xml:space="preserve">Article III of the U.S. Constitution states this about the life terms of Supreme Court justices: “The Judges, both of the supreme and inferior Courts, shall hold their Offices during good </w:t>
      </w:r>
      <w:proofErr w:type="spellStart"/>
      <w:r>
        <w:t>Behaviour</w:t>
      </w:r>
      <w:proofErr w:type="spellEnd"/>
      <w:r>
        <w:t>.” Article II states that public officers such as justices “shall be removed from Office on Impeachment for, and Conviction of, Treason, Bribery, or other high Crimes and Misdemeanors.” Considering these two constitutional provisions, do you think Chief Justice Earl Warren could be impeached?</w:t>
      </w:r>
    </w:p>
    <w:p w14:paraId="2512280F" w14:textId="7B8A7B5B" w:rsidR="002E34AE" w:rsidRPr="002E34AE" w:rsidRDefault="002E34AE" w:rsidP="002E34AE">
      <w:pPr>
        <w:pStyle w:val="Subhead1sl"/>
      </w:pPr>
      <w:r w:rsidRPr="002E34AE">
        <w:t>Question</w:t>
      </w:r>
    </w:p>
    <w:p w14:paraId="06307B49" w14:textId="77777777" w:rsidR="002E34AE" w:rsidRPr="00B933B7" w:rsidRDefault="002E34AE" w:rsidP="002628C2">
      <w:pPr>
        <w:pStyle w:val="Numberedlistwroomforanswerssl"/>
        <w:ind w:left="360"/>
      </w:pPr>
      <w:r w:rsidRPr="00B933B7">
        <w:t>What do you still wonder about?</w:t>
      </w:r>
    </w:p>
    <w:p w14:paraId="0F81CE87" w14:textId="51EE99D8" w:rsidR="002E34AE" w:rsidRPr="00E21D0E" w:rsidRDefault="002E34AE" w:rsidP="00D32707">
      <w:pPr>
        <w:pStyle w:val="Numberedlistwroomforanswerssl"/>
        <w:numPr>
          <w:ilvl w:val="0"/>
          <w:numId w:val="0"/>
        </w:numPr>
        <w:ind w:left="360"/>
      </w:pPr>
      <w:r w:rsidRPr="00E21D0E">
        <w:t xml:space="preserve"> </w:t>
      </w:r>
    </w:p>
    <w:sectPr w:rsidR="002E34AE" w:rsidRPr="00E21D0E" w:rsidSect="00987C9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5F8AB" w14:textId="77777777" w:rsidR="005F1D23" w:rsidRDefault="005F1D23" w:rsidP="0078549D">
      <w:pPr>
        <w:spacing w:after="0" w:line="240" w:lineRule="auto"/>
      </w:pPr>
      <w:r>
        <w:separator/>
      </w:r>
    </w:p>
  </w:endnote>
  <w:endnote w:type="continuationSeparator" w:id="0">
    <w:p w14:paraId="6E8ECAE9" w14:textId="77777777" w:rsidR="005F1D23" w:rsidRDefault="005F1D23"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C2A9105"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8305B">
          <w:rPr>
            <w:rStyle w:val="BasiccopyslChar"/>
            <w:sz w:val="22"/>
            <w:szCs w:val="22"/>
          </w:rPr>
          <w:t xml:space="preserve"> 0</w:t>
        </w:r>
        <w:r w:rsidR="002628C2">
          <w:rPr>
            <w:rStyle w:val="BasiccopyslChar"/>
            <w:sz w:val="22"/>
            <w:szCs w:val="22"/>
          </w:rPr>
          <w:t>9</w:t>
        </w:r>
        <w:r w:rsidR="00D8305B">
          <w:rPr>
            <w:rStyle w:val="BasiccopyslChar"/>
            <w:sz w:val="22"/>
            <w:szCs w:val="22"/>
          </w:rPr>
          <w:t>/</w:t>
        </w:r>
        <w:r w:rsidR="002628C2">
          <w:rPr>
            <w:rStyle w:val="BasiccopyslChar"/>
            <w:sz w:val="22"/>
            <w:szCs w:val="22"/>
          </w:rPr>
          <w:t>16</w:t>
        </w:r>
        <w:r w:rsidR="00D8305B">
          <w:rPr>
            <w:rStyle w:val="BasiccopyslChar"/>
            <w:sz w:val="22"/>
            <w:szCs w:val="22"/>
          </w:rPr>
          <w:t>/2020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092B3" w14:textId="77777777" w:rsidR="005F1D23" w:rsidRDefault="005F1D23" w:rsidP="0078549D">
      <w:pPr>
        <w:spacing w:after="0" w:line="240" w:lineRule="auto"/>
      </w:pPr>
      <w:r>
        <w:separator/>
      </w:r>
    </w:p>
  </w:footnote>
  <w:footnote w:type="continuationSeparator" w:id="0">
    <w:p w14:paraId="39D7316C" w14:textId="77777777" w:rsidR="005F1D23" w:rsidRDefault="005F1D23"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A7E0" w14:textId="5CD206BD" w:rsidR="00D8305B" w:rsidRPr="002628C2" w:rsidRDefault="00D8305B" w:rsidP="00D8305B">
    <w:pPr>
      <w:pStyle w:val="Basiccopysl"/>
      <w:rPr>
        <w:sz w:val="22"/>
        <w:szCs w:val="22"/>
      </w:rPr>
    </w:pPr>
    <w:r w:rsidRPr="002628C2">
      <w:rPr>
        <w:sz w:val="22"/>
        <w:szCs w:val="22"/>
      </w:rPr>
      <w:t>LandmarkCases.org</w:t>
    </w:r>
    <w:r w:rsidRPr="002628C2">
      <w:rPr>
        <w:sz w:val="22"/>
        <w:szCs w:val="22"/>
      </w:rPr>
      <w:tab/>
    </w:r>
    <w:r w:rsidRPr="002628C2">
      <w:rPr>
        <w:sz w:val="22"/>
        <w:szCs w:val="22"/>
      </w:rPr>
      <w:tab/>
    </w:r>
    <w:r w:rsidRPr="002628C2">
      <w:rPr>
        <w:sz w:val="22"/>
        <w:szCs w:val="22"/>
      </w:rPr>
      <w:tab/>
    </w:r>
    <w:r w:rsidRPr="002628C2">
      <w:rPr>
        <w:sz w:val="22"/>
        <w:szCs w:val="22"/>
      </w:rPr>
      <w:tab/>
    </w:r>
    <w:r w:rsidRPr="002628C2">
      <w:rPr>
        <w:sz w:val="22"/>
        <w:szCs w:val="22"/>
      </w:rPr>
      <w:tab/>
    </w:r>
    <w:r w:rsidRPr="002628C2">
      <w:rPr>
        <w:sz w:val="22"/>
        <w:szCs w:val="22"/>
      </w:rPr>
      <w:tab/>
      <w:t xml:space="preserve">   </w:t>
    </w:r>
    <w:r w:rsidR="002628C2">
      <w:rPr>
        <w:sz w:val="22"/>
        <w:szCs w:val="22"/>
      </w:rPr>
      <w:t xml:space="preserve">        </w:t>
    </w:r>
    <w:r w:rsidR="002628C2" w:rsidRPr="002628C2">
      <w:rPr>
        <w:i/>
        <w:iCs/>
        <w:sz w:val="22"/>
        <w:szCs w:val="22"/>
      </w:rPr>
      <w:t>Mapp v.</w:t>
    </w:r>
    <w:r w:rsidR="002628C2">
      <w:rPr>
        <w:i/>
        <w:iCs/>
        <w:sz w:val="22"/>
        <w:szCs w:val="22"/>
      </w:rPr>
      <w:t xml:space="preserve"> Ohio</w:t>
    </w:r>
    <w:r w:rsidRPr="002628C2">
      <w:rPr>
        <w:i/>
        <w:iCs/>
        <w:sz w:val="22"/>
        <w:szCs w:val="22"/>
      </w:rPr>
      <w:t xml:space="preserve"> / </w:t>
    </w:r>
    <w:r w:rsidRPr="002628C2">
      <w:rPr>
        <w:sz w:val="22"/>
        <w:szCs w:val="22"/>
      </w:rPr>
      <w:t>Document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946C77F" w:rsidR="00987C93" w:rsidRPr="002628C2" w:rsidRDefault="00987C93" w:rsidP="00987C93">
    <w:pPr>
      <w:pStyle w:val="Basiccopysl"/>
      <w:rPr>
        <w:sz w:val="22"/>
        <w:szCs w:val="22"/>
      </w:rPr>
    </w:pPr>
    <w:r w:rsidRPr="002628C2">
      <w:rPr>
        <w:sz w:val="22"/>
        <w:szCs w:val="22"/>
      </w:rPr>
      <w:t>LandmarkCases.org</w:t>
    </w:r>
    <w:r w:rsidRPr="002628C2">
      <w:rPr>
        <w:sz w:val="22"/>
        <w:szCs w:val="22"/>
      </w:rPr>
      <w:tab/>
    </w:r>
    <w:r w:rsidRPr="002628C2">
      <w:rPr>
        <w:sz w:val="22"/>
        <w:szCs w:val="22"/>
      </w:rPr>
      <w:tab/>
    </w:r>
    <w:r w:rsidRPr="002628C2">
      <w:rPr>
        <w:sz w:val="22"/>
        <w:szCs w:val="22"/>
      </w:rPr>
      <w:tab/>
    </w:r>
    <w:r w:rsidRPr="002628C2">
      <w:rPr>
        <w:sz w:val="22"/>
        <w:szCs w:val="22"/>
      </w:rPr>
      <w:tab/>
    </w:r>
    <w:r w:rsidRPr="002628C2">
      <w:rPr>
        <w:sz w:val="22"/>
        <w:szCs w:val="22"/>
      </w:rPr>
      <w:tab/>
    </w:r>
    <w:r w:rsidRPr="002628C2">
      <w:rPr>
        <w:sz w:val="22"/>
        <w:szCs w:val="22"/>
      </w:rPr>
      <w:tab/>
    </w:r>
    <w:r w:rsidR="00D8305B" w:rsidRPr="002628C2">
      <w:rPr>
        <w:sz w:val="22"/>
        <w:szCs w:val="22"/>
      </w:rPr>
      <w:t xml:space="preserve">   </w:t>
    </w:r>
    <w:r w:rsidR="002628C2">
      <w:rPr>
        <w:sz w:val="22"/>
        <w:szCs w:val="22"/>
      </w:rPr>
      <w:t xml:space="preserve">        </w:t>
    </w:r>
    <w:r w:rsidR="002628C2" w:rsidRPr="002628C2">
      <w:rPr>
        <w:i/>
        <w:iCs/>
        <w:sz w:val="22"/>
        <w:szCs w:val="22"/>
      </w:rPr>
      <w:t>Mapp v.</w:t>
    </w:r>
    <w:r w:rsidR="002628C2">
      <w:rPr>
        <w:i/>
        <w:iCs/>
        <w:sz w:val="22"/>
        <w:szCs w:val="22"/>
      </w:rPr>
      <w:t xml:space="preserve"> Ohio</w:t>
    </w:r>
    <w:r w:rsidR="002E34AE" w:rsidRPr="002628C2">
      <w:rPr>
        <w:i/>
        <w:iCs/>
        <w:sz w:val="22"/>
        <w:szCs w:val="22"/>
      </w:rPr>
      <w:t xml:space="preserve"> / </w:t>
    </w:r>
    <w:r w:rsidR="00EC35D3" w:rsidRPr="002628C2">
      <w:rPr>
        <w:sz w:val="22"/>
        <w:szCs w:val="22"/>
      </w:rPr>
      <w:t>Document</w:t>
    </w:r>
    <w:r w:rsidR="002E34AE" w:rsidRPr="002628C2">
      <w:rPr>
        <w:sz w:val="22"/>
        <w:szCs w:val="22"/>
      </w:rPr>
      <w:t xml:space="preserve">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94CC6"/>
    <w:rsid w:val="000D1C51"/>
    <w:rsid w:val="000E239D"/>
    <w:rsid w:val="001016A1"/>
    <w:rsid w:val="001056C3"/>
    <w:rsid w:val="00116A1D"/>
    <w:rsid w:val="00154185"/>
    <w:rsid w:val="00170B98"/>
    <w:rsid w:val="001B3E05"/>
    <w:rsid w:val="001C0CFC"/>
    <w:rsid w:val="001C4718"/>
    <w:rsid w:val="001D78FB"/>
    <w:rsid w:val="0021030F"/>
    <w:rsid w:val="0025076D"/>
    <w:rsid w:val="002628C2"/>
    <w:rsid w:val="00290061"/>
    <w:rsid w:val="002B4D38"/>
    <w:rsid w:val="002C68A3"/>
    <w:rsid w:val="002D2203"/>
    <w:rsid w:val="002E34AE"/>
    <w:rsid w:val="00317735"/>
    <w:rsid w:val="00352B3D"/>
    <w:rsid w:val="0035621A"/>
    <w:rsid w:val="00375090"/>
    <w:rsid w:val="00396AEB"/>
    <w:rsid w:val="003C6F20"/>
    <w:rsid w:val="003E47FF"/>
    <w:rsid w:val="00400A63"/>
    <w:rsid w:val="00461C09"/>
    <w:rsid w:val="004632BE"/>
    <w:rsid w:val="004A0544"/>
    <w:rsid w:val="004B560A"/>
    <w:rsid w:val="004B73F9"/>
    <w:rsid w:val="004E7457"/>
    <w:rsid w:val="004F77FB"/>
    <w:rsid w:val="005311FB"/>
    <w:rsid w:val="00536BF2"/>
    <w:rsid w:val="00572315"/>
    <w:rsid w:val="005A0330"/>
    <w:rsid w:val="005A4E3D"/>
    <w:rsid w:val="005F1D23"/>
    <w:rsid w:val="006135E5"/>
    <w:rsid w:val="006C3E71"/>
    <w:rsid w:val="006E09C9"/>
    <w:rsid w:val="006E3717"/>
    <w:rsid w:val="00782455"/>
    <w:rsid w:val="0078549D"/>
    <w:rsid w:val="007973E6"/>
    <w:rsid w:val="007F700D"/>
    <w:rsid w:val="00815CB0"/>
    <w:rsid w:val="0081706F"/>
    <w:rsid w:val="00824C79"/>
    <w:rsid w:val="008C3566"/>
    <w:rsid w:val="00987C93"/>
    <w:rsid w:val="009976D7"/>
    <w:rsid w:val="009D6B03"/>
    <w:rsid w:val="009E0FC2"/>
    <w:rsid w:val="00A740A5"/>
    <w:rsid w:val="00A7731A"/>
    <w:rsid w:val="00AC42CE"/>
    <w:rsid w:val="00AE0053"/>
    <w:rsid w:val="00AE0C77"/>
    <w:rsid w:val="00B535F7"/>
    <w:rsid w:val="00B62487"/>
    <w:rsid w:val="00BD6AF6"/>
    <w:rsid w:val="00C05B0A"/>
    <w:rsid w:val="00C15DAC"/>
    <w:rsid w:val="00C46A0D"/>
    <w:rsid w:val="00D32707"/>
    <w:rsid w:val="00D418C3"/>
    <w:rsid w:val="00D8305B"/>
    <w:rsid w:val="00DB51F9"/>
    <w:rsid w:val="00DE3D18"/>
    <w:rsid w:val="00E3555A"/>
    <w:rsid w:val="00E50F82"/>
    <w:rsid w:val="00E64542"/>
    <w:rsid w:val="00EB20C0"/>
    <w:rsid w:val="00EC35D3"/>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14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paragraph" w:customStyle="1" w:styleId="mw-mmv-credit">
    <w:name w:val="mw-mmv-credit"/>
    <w:basedOn w:val="Normal"/>
    <w:rsid w:val="00EC3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source-author">
    <w:name w:val="mw-mmv-source-author"/>
    <w:basedOn w:val="DefaultParagraphFont"/>
    <w:rsid w:val="00EC35D3"/>
  </w:style>
  <w:style w:type="character" w:customStyle="1" w:styleId="mw-mmv-author">
    <w:name w:val="mw-mmv-author"/>
    <w:basedOn w:val="DefaultParagraphFont"/>
    <w:rsid w:val="00EC35D3"/>
  </w:style>
  <w:style w:type="character" w:customStyle="1" w:styleId="mw-mmv-source">
    <w:name w:val="mw-mmv-source"/>
    <w:basedOn w:val="DefaultParagraphFont"/>
    <w:rsid w:val="00EC35D3"/>
  </w:style>
  <w:style w:type="paragraph" w:customStyle="1" w:styleId="mw-mmv-image-desc">
    <w:name w:val="mw-mmv-image-desc"/>
    <w:basedOn w:val="Normal"/>
    <w:rsid w:val="00EC35D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C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6296">
      <w:bodyDiv w:val="1"/>
      <w:marLeft w:val="0"/>
      <w:marRight w:val="0"/>
      <w:marTop w:val="0"/>
      <w:marBottom w:val="0"/>
      <w:divBdr>
        <w:top w:val="none" w:sz="0" w:space="0" w:color="auto"/>
        <w:left w:val="none" w:sz="0" w:space="0" w:color="auto"/>
        <w:bottom w:val="none" w:sz="0" w:space="0" w:color="auto"/>
        <w:right w:val="none" w:sz="0" w:space="0" w:color="auto"/>
      </w:divBdr>
      <w:divsChild>
        <w:div w:id="90402547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gov/law/help/digitized-books/miranda-v-arizona/miranda-documents.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2C116251-E2D7-48ED-B60D-99AE37FA1EFA}"/>
</file>

<file path=customXml/itemProps3.xml><?xml version="1.0" encoding="utf-8"?>
<ds:datastoreItem xmlns:ds="http://schemas.openxmlformats.org/officeDocument/2006/customXml" ds:itemID="{E1E703E7-B7DE-4AFD-8F66-6E5338864BF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30</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5</cp:revision>
  <dcterms:created xsi:type="dcterms:W3CDTF">2020-09-16T16:55:00Z</dcterms:created>
  <dcterms:modified xsi:type="dcterms:W3CDTF">2020-09-16T17:46:00Z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