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A90AE" w14:textId="77777777" w:rsidR="006A1D3E" w:rsidRPr="00A16CCD" w:rsidRDefault="006A1D3E" w:rsidP="00984167">
      <w:pPr>
        <w:pStyle w:val="Basiccopysl"/>
        <w:spacing w:before="240" w:after="0"/>
        <w:jc w:val="center"/>
        <w:rPr>
          <w:b/>
          <w:iCs/>
        </w:rPr>
      </w:pPr>
      <w:bookmarkStart w:id="0" w:name="_Hlk38909876"/>
      <w:r w:rsidRPr="00A16CCD">
        <w:rPr>
          <w:rFonts w:ascii="Gill Sans MT" w:hAnsi="Gill Sans MT"/>
          <w:b/>
          <w:iCs/>
          <w:sz w:val="36"/>
          <w:szCs w:val="36"/>
        </w:rPr>
        <w:t>Classifying Arguments Activity</w:t>
      </w:r>
    </w:p>
    <w:bookmarkEnd w:id="0"/>
    <w:p w14:paraId="6E5952E2" w14:textId="2CAA2FCA" w:rsidR="00567C62" w:rsidRPr="00567C62" w:rsidRDefault="005D0354" w:rsidP="00984167">
      <w:pPr>
        <w:pStyle w:val="Title2sl"/>
        <w:spacing w:before="240"/>
        <w:rPr>
          <w:sz w:val="28"/>
          <w:szCs w:val="28"/>
        </w:rPr>
      </w:pPr>
      <w:r>
        <w:rPr>
          <w:sz w:val="28"/>
          <w:szCs w:val="28"/>
        </w:rPr>
        <w:t>Gideon v. Wainwright</w:t>
      </w:r>
      <w:r w:rsidR="00567C62" w:rsidRPr="00567C62">
        <w:rPr>
          <w:sz w:val="28"/>
          <w:szCs w:val="28"/>
        </w:rPr>
        <w:t xml:space="preserve"> </w:t>
      </w:r>
      <w:r w:rsidR="00567C62" w:rsidRPr="00777899">
        <w:rPr>
          <w:i w:val="0"/>
          <w:iCs/>
          <w:sz w:val="28"/>
          <w:szCs w:val="28"/>
        </w:rPr>
        <w:t>(196</w:t>
      </w:r>
      <w:r w:rsidRPr="00777899">
        <w:rPr>
          <w:i w:val="0"/>
          <w:iCs/>
          <w:sz w:val="28"/>
          <w:szCs w:val="28"/>
        </w:rPr>
        <w:t>3</w:t>
      </w:r>
      <w:r w:rsidR="00567C62" w:rsidRPr="00777899">
        <w:rPr>
          <w:i w:val="0"/>
          <w:iCs/>
          <w:sz w:val="28"/>
          <w:szCs w:val="28"/>
        </w:rPr>
        <w:t>)</w:t>
      </w:r>
    </w:p>
    <w:p w14:paraId="6427A89C" w14:textId="75E8BDF3" w:rsidR="00635369" w:rsidRPr="005F2BEB" w:rsidRDefault="00635369" w:rsidP="00635369">
      <w:pPr>
        <w:pStyle w:val="Basiccopysl"/>
        <w:rPr>
          <w:szCs w:val="23"/>
        </w:rPr>
      </w:pPr>
      <w:r w:rsidRPr="005F2BEB">
        <w:rPr>
          <w:szCs w:val="23"/>
        </w:rPr>
        <w:t xml:space="preserve">After reading the </w:t>
      </w:r>
      <w:r w:rsidRPr="005F2BEB">
        <w:rPr>
          <w:b/>
          <w:szCs w:val="23"/>
        </w:rPr>
        <w:t xml:space="preserve">background, facts, issue, </w:t>
      </w:r>
      <w:r w:rsidR="006A1D3E">
        <w:rPr>
          <w:b/>
          <w:szCs w:val="23"/>
        </w:rPr>
        <w:t xml:space="preserve">constitutional </w:t>
      </w:r>
      <w:r w:rsidR="00E12B5C">
        <w:rPr>
          <w:b/>
          <w:szCs w:val="23"/>
        </w:rPr>
        <w:t>amendment</w:t>
      </w:r>
      <w:r w:rsidR="00D87E35">
        <w:rPr>
          <w:b/>
          <w:szCs w:val="23"/>
        </w:rPr>
        <w:t>s</w:t>
      </w:r>
      <w:r w:rsidR="006A1D3E">
        <w:rPr>
          <w:b/>
          <w:szCs w:val="23"/>
        </w:rPr>
        <w:t xml:space="preserve">, </w:t>
      </w:r>
      <w:r w:rsidRPr="005F2BEB">
        <w:rPr>
          <w:szCs w:val="23"/>
        </w:rPr>
        <w:t xml:space="preserve">and </w:t>
      </w:r>
      <w:r w:rsidRPr="005F2BEB">
        <w:rPr>
          <w:b/>
          <w:szCs w:val="23"/>
        </w:rPr>
        <w:t>Supreme Court precedent</w:t>
      </w:r>
      <w:r w:rsidR="00E12B5C">
        <w:rPr>
          <w:b/>
          <w:szCs w:val="23"/>
        </w:rPr>
        <w:t>s</w:t>
      </w:r>
      <w:r w:rsidRPr="005F2BEB">
        <w:rPr>
          <w:b/>
          <w:szCs w:val="23"/>
        </w:rPr>
        <w:t xml:space="preserve">, </w:t>
      </w:r>
      <w:r w:rsidRPr="005F2BEB">
        <w:rPr>
          <w:szCs w:val="23"/>
        </w:rPr>
        <w:t>read each of the arguments below. These arguments come from the briefs submitted by the parties in this case. If the argument supports the</w:t>
      </w:r>
      <w:r>
        <w:rPr>
          <w:szCs w:val="23"/>
        </w:rPr>
        <w:t xml:space="preserve"> petitioner</w:t>
      </w:r>
      <w:r w:rsidR="00862EAE">
        <w:rPr>
          <w:szCs w:val="23"/>
        </w:rPr>
        <w:t xml:space="preserve">, </w:t>
      </w:r>
      <w:r w:rsidR="005D0354">
        <w:rPr>
          <w:szCs w:val="23"/>
        </w:rPr>
        <w:t>Gideon</w:t>
      </w:r>
      <w:r w:rsidR="00BA3E4D">
        <w:rPr>
          <w:szCs w:val="23"/>
        </w:rPr>
        <w:t xml:space="preserve"> (</w:t>
      </w:r>
      <w:r w:rsidR="005D0354">
        <w:rPr>
          <w:szCs w:val="23"/>
        </w:rPr>
        <w:t>a defendant who was denied a court appointed lawyer</w:t>
      </w:r>
      <w:r w:rsidR="00BA3E4D">
        <w:rPr>
          <w:szCs w:val="23"/>
        </w:rPr>
        <w:t>)</w:t>
      </w:r>
      <w:r w:rsidRPr="00635369">
        <w:rPr>
          <w:szCs w:val="23"/>
        </w:rPr>
        <w:t>,</w:t>
      </w:r>
      <w:r w:rsidRPr="005F2BEB">
        <w:rPr>
          <w:szCs w:val="23"/>
        </w:rPr>
        <w:t xml:space="preserve"> write </w:t>
      </w:r>
      <w:r w:rsidR="005D0354">
        <w:rPr>
          <w:b/>
          <w:szCs w:val="23"/>
          <w:u w:val="single"/>
        </w:rPr>
        <w:t>G</w:t>
      </w:r>
      <w:r w:rsidRPr="005F2BEB">
        <w:rPr>
          <w:szCs w:val="23"/>
        </w:rPr>
        <w:t xml:space="preserve"> on the line after the argument. If the argument supports the </w:t>
      </w:r>
      <w:r w:rsidRPr="00635369">
        <w:rPr>
          <w:szCs w:val="23"/>
        </w:rPr>
        <w:t>respondent,</w:t>
      </w:r>
      <w:r>
        <w:rPr>
          <w:szCs w:val="23"/>
        </w:rPr>
        <w:t xml:space="preserve"> </w:t>
      </w:r>
      <w:r w:rsidR="005D0354">
        <w:rPr>
          <w:szCs w:val="23"/>
        </w:rPr>
        <w:t>Wainwright</w:t>
      </w:r>
      <w:r w:rsidR="00BA3E4D">
        <w:rPr>
          <w:szCs w:val="23"/>
        </w:rPr>
        <w:t xml:space="preserve"> (</w:t>
      </w:r>
      <w:r w:rsidR="005D0354">
        <w:rPr>
          <w:szCs w:val="23"/>
        </w:rPr>
        <w:t xml:space="preserve">the </w:t>
      </w:r>
      <w:r w:rsidR="00D87E35">
        <w:rPr>
          <w:szCs w:val="23"/>
        </w:rPr>
        <w:t>d</w:t>
      </w:r>
      <w:r w:rsidR="005D0354">
        <w:rPr>
          <w:szCs w:val="23"/>
        </w:rPr>
        <w:t xml:space="preserve">irector of </w:t>
      </w:r>
      <w:r w:rsidR="00D87E35">
        <w:rPr>
          <w:szCs w:val="23"/>
        </w:rPr>
        <w:t>c</w:t>
      </w:r>
      <w:r w:rsidR="005D0354">
        <w:rPr>
          <w:szCs w:val="23"/>
        </w:rPr>
        <w:t>orrections)</w:t>
      </w:r>
      <w:r w:rsidRPr="005F2BEB">
        <w:rPr>
          <w:szCs w:val="23"/>
        </w:rPr>
        <w:t xml:space="preserve"> write </w:t>
      </w:r>
      <w:proofErr w:type="spellStart"/>
      <w:r w:rsidR="005D0354">
        <w:rPr>
          <w:b/>
          <w:szCs w:val="23"/>
          <w:u w:val="single"/>
        </w:rPr>
        <w:t>W</w:t>
      </w:r>
      <w:r w:rsidRPr="005F2BEB">
        <w:rPr>
          <w:szCs w:val="23"/>
        </w:rPr>
        <w:t xml:space="preserve"> on</w:t>
      </w:r>
      <w:proofErr w:type="spellEnd"/>
      <w:r w:rsidRPr="005F2BEB">
        <w:rPr>
          <w:szCs w:val="23"/>
        </w:rPr>
        <w:t xml:space="preserve"> the line after the argument. Work in your groups. When you have finished, determine which argument for each side is the most persuasive and be ready to give your reasons.</w:t>
      </w:r>
    </w:p>
    <w:p w14:paraId="08C76659" w14:textId="77777777" w:rsidR="00F019F8" w:rsidRDefault="00F019F8" w:rsidP="00F019F8">
      <w:pPr>
        <w:pStyle w:val="Subhead2sl"/>
      </w:pPr>
      <w:r w:rsidRPr="00ED7038">
        <w:t xml:space="preserve">Arguments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F019F8" w14:paraId="14F7C814" w14:textId="77777777" w:rsidTr="00454795">
        <w:tc>
          <w:tcPr>
            <w:tcW w:w="8475" w:type="dxa"/>
            <w:vAlign w:val="bottom"/>
          </w:tcPr>
          <w:p w14:paraId="64AE1CD3" w14:textId="77777777" w:rsidR="00F019F8" w:rsidRPr="00D35BCB" w:rsidRDefault="00F019F8" w:rsidP="00F019F8">
            <w:pPr>
              <w:pStyle w:val="ListParagraph"/>
              <w:numPr>
                <w:ilvl w:val="0"/>
                <w:numId w:val="28"/>
              </w:numPr>
              <w:spacing w:before="120" w:after="120"/>
              <w:ind w:left="525" w:hanging="540"/>
              <w:rPr>
                <w:sz w:val="24"/>
                <w:szCs w:val="24"/>
              </w:rPr>
            </w:pPr>
            <w:r w:rsidRPr="00D35BCB">
              <w:rPr>
                <w:rFonts w:ascii="Garamond" w:eastAsia="Garamond" w:hAnsi="Garamond" w:cs="Garamond"/>
                <w:sz w:val="24"/>
                <w:szCs w:val="24"/>
                <w14:textOutline w14:w="12700" w14:cap="flat" w14:cmpd="sng" w14:algn="ctr">
                  <w14:noFill/>
                  <w14:prstDash w14:val="solid"/>
                  <w14:miter w14:lim="400000"/>
                </w14:textOutline>
              </w:rPr>
              <w:t xml:space="preserve">If </w:t>
            </w:r>
            <w:r w:rsidRPr="00D35BCB">
              <w:rPr>
                <w:rFonts w:ascii="Garamond" w:eastAsia="Garamond" w:hAnsi="Garamond" w:cs="Garamond"/>
                <w:i/>
                <w:iCs/>
                <w:sz w:val="24"/>
                <w:szCs w:val="24"/>
                <w14:textOutline w14:w="12700" w14:cap="flat" w14:cmpd="sng" w14:algn="ctr">
                  <w14:noFill/>
                  <w14:prstDash w14:val="solid"/>
                  <w14:miter w14:lim="400000"/>
                </w14:textOutline>
              </w:rPr>
              <w:t>Betts v. Brady</w:t>
            </w:r>
            <w:r w:rsidRPr="00D35BCB">
              <w:rPr>
                <w:rFonts w:ascii="Garamond" w:eastAsia="Garamond" w:hAnsi="Garamond" w:cs="Garamond"/>
                <w:sz w:val="24"/>
                <w:szCs w:val="24"/>
                <w14:textOutline w14:w="12700" w14:cap="flat" w14:cmpd="sng" w14:algn="ctr">
                  <w14:noFill/>
                  <w14:prstDash w14:val="solid"/>
                  <w14:miter w14:lim="400000"/>
                </w14:textOutline>
              </w:rPr>
              <w:t xml:space="preserve"> is overturned, states would have to provide lawyers to the indigent in all criminal prosecutions, no matter how small or trivial they are. This would place a tremendous burden on the taxpayers of every state.</w:t>
            </w:r>
          </w:p>
        </w:tc>
        <w:tc>
          <w:tcPr>
            <w:tcW w:w="885" w:type="dxa"/>
            <w:tcBorders>
              <w:bottom w:val="single" w:sz="4" w:space="0" w:color="auto"/>
            </w:tcBorders>
            <w:vAlign w:val="bottom"/>
          </w:tcPr>
          <w:p w14:paraId="0694C936" w14:textId="77777777" w:rsidR="00F019F8" w:rsidRPr="008F180B" w:rsidRDefault="00F019F8" w:rsidP="00454795">
            <w:pPr>
              <w:pStyle w:val="Subhead2sl"/>
              <w:spacing w:before="0"/>
              <w:ind w:left="540" w:hanging="540"/>
              <w:jc w:val="center"/>
              <w:rPr>
                <w:i w:val="0"/>
              </w:rPr>
            </w:pPr>
          </w:p>
        </w:tc>
      </w:tr>
      <w:tr w:rsidR="00F019F8" w14:paraId="1C798660" w14:textId="77777777" w:rsidTr="00454795">
        <w:tc>
          <w:tcPr>
            <w:tcW w:w="8475" w:type="dxa"/>
            <w:vAlign w:val="bottom"/>
          </w:tcPr>
          <w:p w14:paraId="00C3683C" w14:textId="77777777" w:rsidR="00F019F8" w:rsidRPr="00D35BCB" w:rsidRDefault="00F019F8" w:rsidP="00F019F8">
            <w:pPr>
              <w:pStyle w:val="ListParagraph"/>
              <w:numPr>
                <w:ilvl w:val="0"/>
                <w:numId w:val="28"/>
              </w:numPr>
              <w:spacing w:before="120" w:after="120"/>
              <w:ind w:left="525" w:hanging="540"/>
              <w:rPr>
                <w:sz w:val="24"/>
                <w:szCs w:val="24"/>
              </w:rPr>
            </w:pPr>
            <w:r w:rsidRPr="00D35BCB">
              <w:rPr>
                <w:rFonts w:ascii="Garamond" w:eastAsia="Garamond" w:hAnsi="Garamond" w:cs="Garamond"/>
                <w:sz w:val="24"/>
                <w:szCs w:val="24"/>
              </w:rPr>
              <w:t xml:space="preserve">There is broad support to overturn </w:t>
            </w:r>
            <w:r w:rsidRPr="00D35BCB">
              <w:rPr>
                <w:rFonts w:ascii="Garamond" w:eastAsia="Garamond" w:hAnsi="Garamond" w:cs="Garamond"/>
                <w:i/>
                <w:iCs/>
                <w:sz w:val="24"/>
                <w:szCs w:val="24"/>
              </w:rPr>
              <w:t>Betts v. Brady.</w:t>
            </w:r>
            <w:r w:rsidRPr="00D35BCB">
              <w:rPr>
                <w:rFonts w:ascii="Garamond" w:eastAsia="Garamond" w:hAnsi="Garamond" w:cs="Garamond"/>
                <w:sz w:val="24"/>
                <w:szCs w:val="24"/>
              </w:rPr>
              <w:t xml:space="preserve"> Twenty-two states filed amicus curiae, (“friend of the court”) briefs to support the application of the Sixth Amendment right to counsel to state courts regardless of the type of offense.</w:t>
            </w:r>
          </w:p>
        </w:tc>
        <w:tc>
          <w:tcPr>
            <w:tcW w:w="885" w:type="dxa"/>
            <w:tcBorders>
              <w:top w:val="single" w:sz="4" w:space="0" w:color="auto"/>
              <w:bottom w:val="single" w:sz="4" w:space="0" w:color="auto"/>
            </w:tcBorders>
            <w:vAlign w:val="bottom"/>
          </w:tcPr>
          <w:p w14:paraId="6382656A" w14:textId="77777777" w:rsidR="00F019F8" w:rsidRPr="008F180B" w:rsidRDefault="00F019F8" w:rsidP="00454795">
            <w:pPr>
              <w:pStyle w:val="Subhead2sl"/>
              <w:spacing w:before="0"/>
              <w:ind w:left="540" w:hanging="540"/>
              <w:jc w:val="center"/>
              <w:rPr>
                <w:i w:val="0"/>
              </w:rPr>
            </w:pPr>
          </w:p>
        </w:tc>
      </w:tr>
      <w:tr w:rsidR="00F019F8" w14:paraId="43FAD355" w14:textId="77777777" w:rsidTr="00454795">
        <w:tc>
          <w:tcPr>
            <w:tcW w:w="8475" w:type="dxa"/>
            <w:vAlign w:val="bottom"/>
          </w:tcPr>
          <w:p w14:paraId="7D24E145" w14:textId="77777777" w:rsidR="00F019F8" w:rsidRPr="00D35BCB" w:rsidRDefault="00F019F8" w:rsidP="00F019F8">
            <w:pPr>
              <w:pStyle w:val="Bulletsl"/>
              <w:numPr>
                <w:ilvl w:val="0"/>
                <w:numId w:val="28"/>
              </w:numPr>
              <w:spacing w:before="120" w:line="276" w:lineRule="auto"/>
              <w:ind w:left="525" w:hanging="540"/>
            </w:pPr>
            <w:r w:rsidRPr="00D35BCB">
              <w:t>Fair trials cannot be assured unless everyone has the assistance of a lawyer. The average person does not have the knowledge, resources, and skill required to provide an adequate legal defense for themself.</w:t>
            </w:r>
          </w:p>
        </w:tc>
        <w:tc>
          <w:tcPr>
            <w:tcW w:w="885" w:type="dxa"/>
            <w:tcBorders>
              <w:top w:val="single" w:sz="4" w:space="0" w:color="auto"/>
              <w:bottom w:val="single" w:sz="4" w:space="0" w:color="auto"/>
            </w:tcBorders>
            <w:vAlign w:val="bottom"/>
          </w:tcPr>
          <w:p w14:paraId="0AE31073" w14:textId="77777777" w:rsidR="00F019F8" w:rsidRPr="008F180B" w:rsidRDefault="00F019F8" w:rsidP="00454795">
            <w:pPr>
              <w:pStyle w:val="Subhead2sl"/>
              <w:spacing w:before="0"/>
              <w:ind w:left="540" w:hanging="540"/>
              <w:jc w:val="center"/>
              <w:rPr>
                <w:i w:val="0"/>
              </w:rPr>
            </w:pPr>
          </w:p>
        </w:tc>
      </w:tr>
      <w:tr w:rsidR="00F019F8" w14:paraId="31F4B636" w14:textId="77777777" w:rsidTr="00454795">
        <w:tc>
          <w:tcPr>
            <w:tcW w:w="8475" w:type="dxa"/>
            <w:vAlign w:val="bottom"/>
          </w:tcPr>
          <w:p w14:paraId="088A4FA1" w14:textId="77777777" w:rsidR="00F019F8" w:rsidRPr="00D35BCB" w:rsidRDefault="00F019F8" w:rsidP="00F019F8">
            <w:pPr>
              <w:pStyle w:val="Bulletsl"/>
              <w:numPr>
                <w:ilvl w:val="0"/>
                <w:numId w:val="28"/>
              </w:numPr>
              <w:spacing w:before="120" w:line="276" w:lineRule="auto"/>
              <w:ind w:left="525" w:hanging="540"/>
            </w:pPr>
            <w:r w:rsidRPr="00D35BCB">
              <w:rPr>
                <w:i/>
                <w:iCs/>
              </w:rPr>
              <w:t xml:space="preserve">Betts v. Brady </w:t>
            </w:r>
            <w:r w:rsidRPr="00D35BCB">
              <w:t>established that in any criminal case a defendant is entitled to counsel if they can claim special circumstances that show they would be denied a fair trial without counsel. Gideon did not claim such circumstances.</w:t>
            </w:r>
          </w:p>
        </w:tc>
        <w:tc>
          <w:tcPr>
            <w:tcW w:w="885" w:type="dxa"/>
            <w:tcBorders>
              <w:top w:val="single" w:sz="4" w:space="0" w:color="auto"/>
              <w:bottom w:val="single" w:sz="4" w:space="0" w:color="auto"/>
            </w:tcBorders>
            <w:vAlign w:val="bottom"/>
          </w:tcPr>
          <w:p w14:paraId="3D1D8E9B" w14:textId="77777777" w:rsidR="00F019F8" w:rsidRPr="008F180B" w:rsidRDefault="00F019F8" w:rsidP="00454795">
            <w:pPr>
              <w:pStyle w:val="Subhead2sl"/>
              <w:spacing w:before="0"/>
              <w:ind w:left="540" w:hanging="540"/>
              <w:jc w:val="center"/>
              <w:rPr>
                <w:i w:val="0"/>
              </w:rPr>
            </w:pPr>
          </w:p>
        </w:tc>
      </w:tr>
      <w:tr w:rsidR="00F019F8" w14:paraId="0D32AEFE" w14:textId="77777777" w:rsidTr="00454795">
        <w:tc>
          <w:tcPr>
            <w:tcW w:w="8475" w:type="dxa"/>
            <w:vAlign w:val="bottom"/>
          </w:tcPr>
          <w:p w14:paraId="13FF10A8" w14:textId="77777777" w:rsidR="00F019F8" w:rsidRPr="00D35BCB" w:rsidRDefault="00F019F8" w:rsidP="00F019F8">
            <w:pPr>
              <w:pStyle w:val="Bulletsl"/>
              <w:numPr>
                <w:ilvl w:val="0"/>
                <w:numId w:val="28"/>
              </w:numPr>
              <w:spacing w:before="120" w:line="276" w:lineRule="auto"/>
              <w:ind w:left="525" w:hanging="540"/>
            </w:pPr>
            <w:r w:rsidRPr="00D35BCB">
              <w:t>The Supreme Court has ruled that the right to counsel in death penalty cases is fundamental and applies to the states (</w:t>
            </w:r>
            <w:r w:rsidRPr="00D35BCB">
              <w:rPr>
                <w:i/>
              </w:rPr>
              <w:t>Powell v. Alabama</w:t>
            </w:r>
            <w:r w:rsidRPr="00D35BCB">
              <w:t>), but not in non-death-penalty cases (</w:t>
            </w:r>
            <w:r w:rsidRPr="00D35BCB">
              <w:rPr>
                <w:i/>
              </w:rPr>
              <w:t>Betts v. Brady</w:t>
            </w:r>
            <w:r w:rsidRPr="00D35BCB">
              <w:t xml:space="preserve">). This is not logical, and </w:t>
            </w:r>
            <w:r w:rsidRPr="00D35BCB">
              <w:rPr>
                <w:i/>
              </w:rPr>
              <w:t>Betts v. Brady</w:t>
            </w:r>
            <w:r w:rsidRPr="00D35BCB">
              <w:t xml:space="preserve"> should be overturned. The Sixth Amendment does not distinguish between types of criminal cases, and neither does the 14</w:t>
            </w:r>
            <w:r w:rsidRPr="00D35BCB">
              <w:rPr>
                <w:vertAlign w:val="superscript"/>
              </w:rPr>
              <w:t>th</w:t>
            </w:r>
            <w:r w:rsidRPr="00D35BCB">
              <w:t xml:space="preserve"> Amendment. Even non-capital crimes can result in long prison sentences, which is depriving someone of their liberty. There is no “trivial” criminal case because a person’s liberty is at stake. </w:t>
            </w:r>
          </w:p>
        </w:tc>
        <w:tc>
          <w:tcPr>
            <w:tcW w:w="885" w:type="dxa"/>
            <w:tcBorders>
              <w:top w:val="single" w:sz="4" w:space="0" w:color="auto"/>
              <w:bottom w:val="single" w:sz="4" w:space="0" w:color="auto"/>
            </w:tcBorders>
            <w:vAlign w:val="bottom"/>
          </w:tcPr>
          <w:p w14:paraId="3B2ECB1B" w14:textId="77777777" w:rsidR="00F019F8" w:rsidRPr="008F180B" w:rsidRDefault="00F019F8" w:rsidP="00454795">
            <w:pPr>
              <w:pStyle w:val="Subhead2sl"/>
              <w:spacing w:before="0"/>
              <w:ind w:left="540" w:hanging="540"/>
              <w:jc w:val="center"/>
              <w:rPr>
                <w:i w:val="0"/>
              </w:rPr>
            </w:pPr>
          </w:p>
        </w:tc>
      </w:tr>
    </w:tbl>
    <w:p w14:paraId="43ABAC16" w14:textId="6472CADB" w:rsidR="00950E78" w:rsidRDefault="00950E78" w:rsidP="006A1D3E">
      <w:pPr>
        <w:ind w:left="540" w:hanging="540"/>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885"/>
      </w:tblGrid>
      <w:tr w:rsidR="00F019F8" w14:paraId="51C87574" w14:textId="77777777" w:rsidTr="00454795">
        <w:tc>
          <w:tcPr>
            <w:tcW w:w="8475" w:type="dxa"/>
          </w:tcPr>
          <w:p w14:paraId="3E502966" w14:textId="77777777" w:rsidR="00F019F8" w:rsidRDefault="00F019F8" w:rsidP="00F019F8">
            <w:pPr>
              <w:pStyle w:val="Bulletsl"/>
              <w:numPr>
                <w:ilvl w:val="0"/>
                <w:numId w:val="28"/>
              </w:numPr>
              <w:spacing w:before="120" w:line="276" w:lineRule="auto"/>
              <w:ind w:left="525" w:hanging="540"/>
            </w:pPr>
            <w:r w:rsidRPr="003F3D2D">
              <w:lastRenderedPageBreak/>
              <w:t>The U</w:t>
            </w:r>
            <w:r>
              <w:t xml:space="preserve">nited </w:t>
            </w:r>
            <w:r w:rsidRPr="003F3D2D">
              <w:t>S</w:t>
            </w:r>
            <w:r>
              <w:t>tates</w:t>
            </w:r>
            <w:r w:rsidRPr="003F3D2D">
              <w:t xml:space="preserve"> has a federal system </w:t>
            </w:r>
            <w:r>
              <w:t>in which</w:t>
            </w:r>
            <w:r w:rsidRPr="003F3D2D">
              <w:t xml:space="preserve"> the federal government may not exercise arbitrary power over the states. Imposing an inflexible rule on states that all defendants are entitled to counsel if they cannot afford one would allow the Supreme Court (the federal government) to intrude into </w:t>
            </w:r>
            <w:r>
              <w:t xml:space="preserve">states’ </w:t>
            </w:r>
            <w:r w:rsidRPr="003F3D2D">
              <w:t xml:space="preserve">powers. A state should be free to adopt any system it chooses, experimenting and adopting the types of rules and procedures it feels are necessary in </w:t>
            </w:r>
            <w:r>
              <w:t>its</w:t>
            </w:r>
            <w:r w:rsidRPr="003F3D2D">
              <w:t xml:space="preserve"> own courts. </w:t>
            </w:r>
          </w:p>
        </w:tc>
        <w:tc>
          <w:tcPr>
            <w:tcW w:w="885" w:type="dxa"/>
            <w:tcBorders>
              <w:bottom w:val="single" w:sz="4" w:space="0" w:color="auto"/>
            </w:tcBorders>
            <w:vAlign w:val="bottom"/>
          </w:tcPr>
          <w:p w14:paraId="2450FB61" w14:textId="77777777" w:rsidR="00F019F8" w:rsidRPr="008F180B" w:rsidRDefault="00F019F8" w:rsidP="00454795">
            <w:pPr>
              <w:pStyle w:val="Subhead2sl"/>
              <w:spacing w:before="0"/>
              <w:ind w:left="540" w:hanging="540"/>
              <w:jc w:val="center"/>
              <w:rPr>
                <w:i w:val="0"/>
              </w:rPr>
            </w:pPr>
          </w:p>
        </w:tc>
      </w:tr>
      <w:tr w:rsidR="00F019F8" w14:paraId="0BD4088A" w14:textId="77777777" w:rsidTr="00454795">
        <w:tc>
          <w:tcPr>
            <w:tcW w:w="8475" w:type="dxa"/>
            <w:vAlign w:val="bottom"/>
          </w:tcPr>
          <w:p w14:paraId="124ECC58" w14:textId="77777777" w:rsidR="00F019F8" w:rsidRPr="005F2BEB" w:rsidRDefault="00F019F8" w:rsidP="00F019F8">
            <w:pPr>
              <w:pStyle w:val="Bulletsl"/>
              <w:numPr>
                <w:ilvl w:val="0"/>
                <w:numId w:val="28"/>
              </w:numPr>
              <w:spacing w:before="120" w:line="276" w:lineRule="auto"/>
              <w:ind w:left="525" w:hanging="540"/>
            </w:pPr>
            <w:r>
              <w:t xml:space="preserve">The Supreme Court should uphold </w:t>
            </w:r>
            <w:r w:rsidRPr="00F019F8">
              <w:rPr>
                <w:i/>
                <w:iCs/>
              </w:rPr>
              <w:t>Betts v. Brady,</w:t>
            </w:r>
            <w:r w:rsidRPr="00D35BCB">
              <w:t xml:space="preserve"> </w:t>
            </w:r>
            <w:r>
              <w:t xml:space="preserve">which was decided only 21 years before </w:t>
            </w:r>
            <w:r w:rsidRPr="00D35BCB">
              <w:t xml:space="preserve">Gideon. </w:t>
            </w:r>
            <w:r>
              <w:t>The Court considered this issue then and issued a ruling that should remain in force</w:t>
            </w:r>
            <w:r w:rsidRPr="003F3D2D">
              <w:t xml:space="preserve">. </w:t>
            </w:r>
          </w:p>
        </w:tc>
        <w:tc>
          <w:tcPr>
            <w:tcW w:w="885" w:type="dxa"/>
            <w:tcBorders>
              <w:top w:val="single" w:sz="4" w:space="0" w:color="auto"/>
              <w:bottom w:val="single" w:sz="4" w:space="0" w:color="auto"/>
            </w:tcBorders>
            <w:vAlign w:val="bottom"/>
          </w:tcPr>
          <w:p w14:paraId="74020057" w14:textId="77777777" w:rsidR="00F019F8" w:rsidRPr="008F180B" w:rsidRDefault="00F019F8" w:rsidP="00454795">
            <w:pPr>
              <w:pStyle w:val="Subhead2sl"/>
              <w:spacing w:before="0"/>
              <w:ind w:left="540" w:hanging="540"/>
              <w:jc w:val="center"/>
              <w:rPr>
                <w:i w:val="0"/>
              </w:rPr>
            </w:pPr>
          </w:p>
        </w:tc>
      </w:tr>
      <w:tr w:rsidR="00F019F8" w14:paraId="2713A4FB" w14:textId="77777777" w:rsidTr="00454795">
        <w:tc>
          <w:tcPr>
            <w:tcW w:w="8475" w:type="dxa"/>
            <w:vAlign w:val="bottom"/>
          </w:tcPr>
          <w:p w14:paraId="60583E38" w14:textId="77777777" w:rsidR="00F019F8" w:rsidRDefault="00F019F8" w:rsidP="00F019F8">
            <w:pPr>
              <w:pStyle w:val="Bulletsl"/>
              <w:numPr>
                <w:ilvl w:val="0"/>
                <w:numId w:val="28"/>
              </w:numPr>
              <w:spacing w:before="120" w:line="276" w:lineRule="auto"/>
              <w:ind w:left="525" w:hanging="540"/>
            </w:pPr>
            <w:r>
              <w:t>Society changed its</w:t>
            </w:r>
            <w:r w:rsidRPr="003F3D2D">
              <w:t xml:space="preserve"> thinking about </w:t>
            </w:r>
            <w:r>
              <w:t>the right to counsel</w:t>
            </w:r>
            <w:r w:rsidRPr="003F3D2D">
              <w:t xml:space="preserve"> </w:t>
            </w:r>
            <w:r>
              <w:t xml:space="preserve">between 1942, when </w:t>
            </w:r>
            <w:r w:rsidRPr="00F019F8">
              <w:rPr>
                <w:i/>
                <w:iCs/>
              </w:rPr>
              <w:t>Betts v. Brady</w:t>
            </w:r>
            <w:r w:rsidRPr="00D35BCB">
              <w:t xml:space="preserve"> </w:t>
            </w:r>
            <w:r>
              <w:t xml:space="preserve">was decided, and 1963, when </w:t>
            </w:r>
            <w:r w:rsidRPr="00D35BCB">
              <w:t>Gideon</w:t>
            </w:r>
            <w:r>
              <w:t xml:space="preserve"> came before</w:t>
            </w:r>
            <w:r w:rsidRPr="00BA21B4">
              <w:t xml:space="preserve"> the Court</w:t>
            </w:r>
            <w:r w:rsidRPr="003F3D2D">
              <w:t xml:space="preserve">. At the time of the </w:t>
            </w:r>
            <w:r w:rsidRPr="00F019F8">
              <w:rPr>
                <w:i/>
                <w:iCs/>
              </w:rPr>
              <w:t>Betts v. Brady</w:t>
            </w:r>
            <w:r w:rsidRPr="00D35BCB">
              <w:t xml:space="preserve"> </w:t>
            </w:r>
            <w:r w:rsidRPr="003F3D2D">
              <w:t xml:space="preserve">decision, </w:t>
            </w:r>
            <w:r>
              <w:t>fewer</w:t>
            </w:r>
            <w:r w:rsidRPr="003F3D2D">
              <w:t xml:space="preserve"> than half of the states required appointment of counsel to the poor. At the time of Gideon’s arrest, over </w:t>
            </w:r>
            <w:r>
              <w:t xml:space="preserve">45 </w:t>
            </w:r>
            <w:r w:rsidRPr="003F3D2D">
              <w:t>state</w:t>
            </w:r>
            <w:r>
              <w:t>s</w:t>
            </w:r>
            <w:r w:rsidRPr="003F3D2D">
              <w:t xml:space="preserve"> required </w:t>
            </w:r>
            <w:r>
              <w:t>it</w:t>
            </w:r>
            <w:r w:rsidRPr="003F3D2D">
              <w:t xml:space="preserve">. </w:t>
            </w:r>
          </w:p>
        </w:tc>
        <w:tc>
          <w:tcPr>
            <w:tcW w:w="885" w:type="dxa"/>
            <w:tcBorders>
              <w:top w:val="single" w:sz="4" w:space="0" w:color="auto"/>
              <w:bottom w:val="single" w:sz="4" w:space="0" w:color="auto"/>
            </w:tcBorders>
            <w:vAlign w:val="bottom"/>
          </w:tcPr>
          <w:p w14:paraId="3457CB01" w14:textId="77777777" w:rsidR="00F019F8" w:rsidRPr="008F180B" w:rsidRDefault="00F019F8" w:rsidP="00454795">
            <w:pPr>
              <w:pStyle w:val="Subhead2sl"/>
              <w:spacing w:before="0"/>
              <w:ind w:left="540" w:hanging="540"/>
              <w:jc w:val="center"/>
              <w:rPr>
                <w:i w:val="0"/>
              </w:rPr>
            </w:pPr>
          </w:p>
        </w:tc>
      </w:tr>
      <w:tr w:rsidR="00F019F8" w14:paraId="0C76F0A7" w14:textId="77777777" w:rsidTr="00454795">
        <w:tc>
          <w:tcPr>
            <w:tcW w:w="8475" w:type="dxa"/>
            <w:vAlign w:val="bottom"/>
          </w:tcPr>
          <w:p w14:paraId="37ACECD4" w14:textId="77777777" w:rsidR="00F019F8" w:rsidRPr="005F2BEB" w:rsidRDefault="00F019F8" w:rsidP="00F019F8">
            <w:pPr>
              <w:pStyle w:val="Bulletsl"/>
              <w:numPr>
                <w:ilvl w:val="0"/>
                <w:numId w:val="28"/>
              </w:numPr>
              <w:spacing w:before="120" w:line="276" w:lineRule="auto"/>
              <w:ind w:left="525" w:hanging="540"/>
            </w:pPr>
            <w:r>
              <w:t xml:space="preserve">It is possible for </w:t>
            </w:r>
            <w:r w:rsidRPr="003F3D2D">
              <w:t>a defendant without a lawyer to have a fair trial. Several judges may be involved in the processing of a defendant including arraignment, pretrial, and the trial. This exposure to multiple judges protects the defendant who is without a lawyer</w:t>
            </w:r>
            <w:r>
              <w:t>,</w:t>
            </w:r>
            <w:r w:rsidRPr="003F3D2D">
              <w:t xml:space="preserve"> as each judge knows the law and will ensure that the defendant is treated fairly. In any case, representation by a lawyer does not automatically guarantee a fair trial.</w:t>
            </w:r>
          </w:p>
        </w:tc>
        <w:tc>
          <w:tcPr>
            <w:tcW w:w="885" w:type="dxa"/>
            <w:tcBorders>
              <w:top w:val="single" w:sz="4" w:space="0" w:color="auto"/>
              <w:bottom w:val="single" w:sz="4" w:space="0" w:color="auto"/>
            </w:tcBorders>
            <w:vAlign w:val="bottom"/>
          </w:tcPr>
          <w:p w14:paraId="00064AF9" w14:textId="77777777" w:rsidR="00F019F8" w:rsidRPr="008F180B" w:rsidRDefault="00F019F8" w:rsidP="00454795">
            <w:pPr>
              <w:pStyle w:val="Subhead2sl"/>
              <w:spacing w:before="0"/>
              <w:ind w:left="540" w:hanging="540"/>
              <w:jc w:val="center"/>
              <w:rPr>
                <w:i w:val="0"/>
              </w:rPr>
            </w:pPr>
          </w:p>
        </w:tc>
      </w:tr>
    </w:tbl>
    <w:p w14:paraId="49FAE101" w14:textId="77777777" w:rsidR="00F019F8" w:rsidRDefault="00F019F8" w:rsidP="00F019F8">
      <w:pPr>
        <w:ind w:left="540" w:hanging="540"/>
      </w:pPr>
    </w:p>
    <w:p w14:paraId="3896BC8C" w14:textId="77777777" w:rsidR="00F019F8" w:rsidRDefault="00F019F8" w:rsidP="00F019F8">
      <w:pPr>
        <w:ind w:left="540" w:hanging="540"/>
      </w:pPr>
    </w:p>
    <w:p w14:paraId="440AA60A" w14:textId="2C3BEB59" w:rsidR="00950E78" w:rsidRDefault="00950E78" w:rsidP="006A1D3E">
      <w:pPr>
        <w:ind w:left="540" w:hanging="540"/>
        <w:sectPr w:rsidR="00950E78" w:rsidSect="005750DB">
          <w:headerReference w:type="default" r:id="rId10"/>
          <w:footerReference w:type="default" r:id="rId11"/>
          <w:headerReference w:type="first" r:id="rId12"/>
          <w:footerReference w:type="first" r:id="rId13"/>
          <w:footnotePr>
            <w:numFmt w:val="chicago"/>
          </w:footnotePr>
          <w:pgSz w:w="12240" w:h="15840"/>
          <w:pgMar w:top="1440" w:right="1440" w:bottom="1440" w:left="1440" w:header="720" w:footer="720" w:gutter="0"/>
          <w:cols w:space="720"/>
          <w:titlePg/>
          <w:docGrid w:linePitch="360"/>
        </w:sectPr>
      </w:pPr>
    </w:p>
    <w:p w14:paraId="0A839236" w14:textId="77777777" w:rsidR="00D87E35" w:rsidRPr="00F42CDF" w:rsidRDefault="00D87E35" w:rsidP="00D87E35">
      <w:pPr>
        <w:pStyle w:val="Title2sl"/>
        <w:rPr>
          <w:i w:val="0"/>
          <w:color w:val="000000"/>
        </w:rPr>
      </w:pPr>
      <w:r>
        <w:lastRenderedPageBreak/>
        <w:t xml:space="preserve">Gideon v. Wainwright </w:t>
      </w:r>
      <w:r w:rsidRPr="00D87E35">
        <w:rPr>
          <w:i w:val="0"/>
        </w:rPr>
        <w:t>(1963)</w:t>
      </w:r>
    </w:p>
    <w:p w14:paraId="748CD970" w14:textId="77777777" w:rsidR="00D87E35" w:rsidRPr="00F42CDF" w:rsidRDefault="00D87E35" w:rsidP="00D87E35">
      <w:pPr>
        <w:pStyle w:val="Basiccopysl"/>
        <w:jc w:val="center"/>
      </w:pPr>
      <w:r w:rsidRPr="00F42CDF">
        <w:rPr>
          <w:b/>
        </w:rPr>
        <w:t>Argued:</w:t>
      </w:r>
      <w:r w:rsidRPr="00F42CDF">
        <w:t xml:space="preserve"> </w:t>
      </w:r>
      <w:r>
        <w:t>January 15, 1963</w:t>
      </w:r>
    </w:p>
    <w:p w14:paraId="5A7E83E3" w14:textId="77777777" w:rsidR="00D87E35" w:rsidRPr="00F42CDF" w:rsidRDefault="00D87E35" w:rsidP="00D87E35">
      <w:pPr>
        <w:pStyle w:val="Basiccopysl"/>
        <w:jc w:val="center"/>
      </w:pPr>
      <w:r w:rsidRPr="00F42CDF">
        <w:rPr>
          <w:b/>
        </w:rPr>
        <w:t>Decided:</w:t>
      </w:r>
      <w:r w:rsidRPr="00F42CDF">
        <w:t xml:space="preserve"> </w:t>
      </w:r>
      <w:r>
        <w:t>March 16, 1963</w:t>
      </w:r>
    </w:p>
    <w:p w14:paraId="44B26413" w14:textId="77777777" w:rsidR="00F019F8" w:rsidRPr="00ED3234" w:rsidRDefault="00F019F8" w:rsidP="00F019F8">
      <w:pPr>
        <w:pStyle w:val="Subhead2sl"/>
      </w:pPr>
      <w:r w:rsidRPr="00ED3234">
        <w:t>Background</w:t>
      </w:r>
    </w:p>
    <w:p w14:paraId="0AB60386" w14:textId="77777777" w:rsidR="00F019F8" w:rsidRDefault="00F019F8" w:rsidP="00F019F8">
      <w:pPr>
        <w:pStyle w:val="Basiccopysl"/>
      </w:pPr>
      <w:r>
        <w:t>Part of the Bill of Rights,</w:t>
      </w:r>
      <w:r w:rsidRPr="003F3D2D">
        <w:t xml:space="preserve"> </w:t>
      </w:r>
      <w:r>
        <w:t>t</w:t>
      </w:r>
      <w:r w:rsidRPr="003F3D2D">
        <w:t xml:space="preserve">he Sixth Amendment </w:t>
      </w:r>
      <w:r>
        <w:t xml:space="preserve">to the U.S. Constitution protects the rights of people accused of crimes. Among these protections is the right to have a criminal defense lawyer’s assistance. That means that the government cannot prevent someone from consulting with a lawyer and having a lawyer represent them in court. Not everyone who has been accused of a crime, however, can afford to hire a lawyer. In 1938, the U.S. Supreme Court ruled that, in federal criminal courts, the government must pay for a lawyer for </w:t>
      </w:r>
      <w:r w:rsidRPr="00040C2D">
        <w:t xml:space="preserve">indigent </w:t>
      </w:r>
      <w:r>
        <w:t xml:space="preserve">defendants who cannot afford one themselves. People are considered indigent if they are so poor that they are unable to afford the necessities of life like food and shelter. </w:t>
      </w:r>
      <w:r>
        <w:rPr>
          <w:i/>
        </w:rPr>
        <w:t>Gideon v. Wainwright</w:t>
      </w:r>
      <w:r>
        <w:t xml:space="preserve"> is a case about whether or not that right must also be extended to indigent defendants charged with crimes in state courts, where most crimes are prosecuted. </w:t>
      </w:r>
    </w:p>
    <w:p w14:paraId="03B1DE43" w14:textId="77777777" w:rsidR="00F019F8" w:rsidRDefault="00F019F8" w:rsidP="00F019F8">
      <w:pPr>
        <w:pStyle w:val="Basiccopysl"/>
      </w:pPr>
      <w:r>
        <w:t>The 14</w:t>
      </w:r>
      <w:r w:rsidRPr="00417215">
        <w:rPr>
          <w:vertAlign w:val="superscript"/>
        </w:rPr>
        <w:t>th</w:t>
      </w:r>
      <w:r>
        <w:t xml:space="preserve"> Amendment says that states shall not “deprive any person of life, liberty, or property, without due process of law.” The Supreme Court has ruled that some of the constitutional rights that at first only protected people from infringement by the federal government, are so fundamental to the concept of liberty (protected by the 14</w:t>
      </w:r>
      <w:r w:rsidRPr="00417215">
        <w:rPr>
          <w:vertAlign w:val="superscript"/>
        </w:rPr>
        <w:t>th</w:t>
      </w:r>
      <w:r>
        <w:t xml:space="preserve"> Amendment) that they must also apply to state governments. In 1963, the Supreme Court reconsidered whether, in criminal cases, the right to counsel paid for by the government was one of those fundamental rights, even though it had held the opposite only 21 years before. </w:t>
      </w:r>
    </w:p>
    <w:p w14:paraId="59A854C1" w14:textId="77777777" w:rsidR="00F019F8" w:rsidRPr="00ED3234" w:rsidRDefault="00F019F8" w:rsidP="00F019F8">
      <w:pPr>
        <w:pStyle w:val="Subhead2sl"/>
      </w:pPr>
      <w:r w:rsidRPr="00ED3234">
        <w:t>Facts</w:t>
      </w:r>
    </w:p>
    <w:p w14:paraId="29C85498" w14:textId="77777777" w:rsidR="00F019F8" w:rsidRDefault="00F019F8" w:rsidP="00F019F8">
      <w:pPr>
        <w:pStyle w:val="Basiccopysl"/>
        <w:rPr>
          <w:shd w:val="clear" w:color="auto" w:fill="FFFFFF"/>
        </w:rPr>
      </w:pPr>
      <w:r w:rsidRPr="003F3D2D">
        <w:rPr>
          <w:shd w:val="clear" w:color="auto" w:fill="FFFFFF"/>
        </w:rPr>
        <w:t xml:space="preserve">In 1961, </w:t>
      </w:r>
      <w:r>
        <w:rPr>
          <w:shd w:val="clear" w:color="auto" w:fill="FFFFFF"/>
        </w:rPr>
        <w:t>someone burglarized</w:t>
      </w:r>
      <w:r w:rsidRPr="003F3D2D">
        <w:rPr>
          <w:shd w:val="clear" w:color="auto" w:fill="FFFFFF"/>
        </w:rPr>
        <w:t xml:space="preserve"> the Bay Harbor Pool Room in Panama City, Florida.</w:t>
      </w:r>
      <w:r>
        <w:rPr>
          <w:shd w:val="clear" w:color="auto" w:fill="FFFFFF"/>
        </w:rPr>
        <w:t xml:space="preserve"> Based partly on eyewitness reports, p</w:t>
      </w:r>
      <w:r w:rsidRPr="003F3D2D">
        <w:rPr>
          <w:shd w:val="clear" w:color="auto" w:fill="FFFFFF"/>
        </w:rPr>
        <w:t xml:space="preserve">olice arrested Clarence Earl Gideon after he was found nearby with a pint of wine and some change in his pockets. Gideon, who could not afford a lawyer, asked </w:t>
      </w:r>
      <w:r>
        <w:rPr>
          <w:shd w:val="clear" w:color="auto" w:fill="FFFFFF"/>
        </w:rPr>
        <w:t>the Florida court</w:t>
      </w:r>
      <w:r w:rsidRPr="003F3D2D">
        <w:rPr>
          <w:shd w:val="clear" w:color="auto" w:fill="FFFFFF"/>
        </w:rPr>
        <w:t xml:space="preserve"> to appoint one for him</w:t>
      </w:r>
      <w:r>
        <w:rPr>
          <w:shd w:val="clear" w:color="auto" w:fill="FFFFFF"/>
        </w:rPr>
        <w:t>.</w:t>
      </w:r>
      <w:r w:rsidRPr="003F3D2D">
        <w:rPr>
          <w:shd w:val="clear" w:color="auto" w:fill="FFFFFF"/>
        </w:rPr>
        <w:t xml:space="preserve"> The judge denied his request</w:t>
      </w:r>
      <w:r>
        <w:rPr>
          <w:shd w:val="clear" w:color="auto" w:fill="FFFFFF"/>
        </w:rPr>
        <w:t xml:space="preserve">. At that time </w:t>
      </w:r>
      <w:r w:rsidRPr="003F3D2D">
        <w:rPr>
          <w:shd w:val="clear" w:color="auto" w:fill="FFFFFF"/>
        </w:rPr>
        <w:t>Florida law require</w:t>
      </w:r>
      <w:r>
        <w:rPr>
          <w:shd w:val="clear" w:color="auto" w:fill="FFFFFF"/>
        </w:rPr>
        <w:t>d</w:t>
      </w:r>
      <w:r w:rsidRPr="003F3D2D">
        <w:rPr>
          <w:shd w:val="clear" w:color="auto" w:fill="FFFFFF"/>
        </w:rPr>
        <w:t xml:space="preserve"> appointment of counsel for indigent defendants only in capital </w:t>
      </w:r>
      <w:r>
        <w:rPr>
          <w:shd w:val="clear" w:color="auto" w:fill="FFFFFF"/>
        </w:rPr>
        <w:t xml:space="preserve">(death penalty) </w:t>
      </w:r>
      <w:r w:rsidRPr="003F3D2D">
        <w:rPr>
          <w:shd w:val="clear" w:color="auto" w:fill="FFFFFF"/>
        </w:rPr>
        <w:t xml:space="preserve">cases. Gideon </w:t>
      </w:r>
      <w:r>
        <w:rPr>
          <w:shd w:val="clear" w:color="auto" w:fill="FFFFFF"/>
        </w:rPr>
        <w:t xml:space="preserve">defended himself at trial, but the jury </w:t>
      </w:r>
      <w:r w:rsidRPr="003F3D2D">
        <w:rPr>
          <w:shd w:val="clear" w:color="auto" w:fill="FFFFFF"/>
        </w:rPr>
        <w:t xml:space="preserve">found </w:t>
      </w:r>
      <w:r>
        <w:rPr>
          <w:shd w:val="clear" w:color="auto" w:fill="FFFFFF"/>
        </w:rPr>
        <w:t xml:space="preserve">him </w:t>
      </w:r>
      <w:r w:rsidRPr="003F3D2D">
        <w:rPr>
          <w:shd w:val="clear" w:color="auto" w:fill="FFFFFF"/>
        </w:rPr>
        <w:t>guilty of breaking and entering and petty larceny</w:t>
      </w:r>
      <w:r>
        <w:rPr>
          <w:shd w:val="clear" w:color="auto" w:fill="FFFFFF"/>
        </w:rPr>
        <w:t>, which are felonies under Florida law</w:t>
      </w:r>
      <w:r w:rsidRPr="003F3D2D">
        <w:rPr>
          <w:shd w:val="clear" w:color="auto" w:fill="FFFFFF"/>
        </w:rPr>
        <w:t xml:space="preserve">. </w:t>
      </w:r>
    </w:p>
    <w:p w14:paraId="056214F4" w14:textId="77777777" w:rsidR="00F019F8" w:rsidRDefault="00F019F8" w:rsidP="00F019F8">
      <w:pPr>
        <w:pStyle w:val="Basiccopysl"/>
        <w:rPr>
          <w:shd w:val="clear" w:color="auto" w:fill="FFFFFF"/>
        </w:rPr>
      </w:pPr>
      <w:r w:rsidRPr="003F3D2D">
        <w:rPr>
          <w:shd w:val="clear" w:color="auto" w:fill="FFFFFF"/>
        </w:rPr>
        <w:t>While serving his five</w:t>
      </w:r>
      <w:r>
        <w:rPr>
          <w:shd w:val="clear" w:color="auto" w:fill="FFFFFF"/>
        </w:rPr>
        <w:t>-</w:t>
      </w:r>
      <w:r w:rsidRPr="003F3D2D">
        <w:rPr>
          <w:shd w:val="clear" w:color="auto" w:fill="FFFFFF"/>
        </w:rPr>
        <w:t>year sentence in a Florida state prison, Gideon began studying law</w:t>
      </w:r>
      <w:r>
        <w:rPr>
          <w:shd w:val="clear" w:color="auto" w:fill="FFFFFF"/>
        </w:rPr>
        <w:t xml:space="preserve">. His study </w:t>
      </w:r>
      <w:r w:rsidRPr="003F3D2D">
        <w:rPr>
          <w:shd w:val="clear" w:color="auto" w:fill="FFFFFF"/>
        </w:rPr>
        <w:t>reaffirmed his belief</w:t>
      </w:r>
      <w:r>
        <w:rPr>
          <w:shd w:val="clear" w:color="auto" w:fill="FFFFFF"/>
        </w:rPr>
        <w:t xml:space="preserve"> that</w:t>
      </w:r>
      <w:r w:rsidRPr="003F3D2D">
        <w:rPr>
          <w:shd w:val="clear" w:color="auto" w:fill="FFFFFF"/>
        </w:rPr>
        <w:t xml:space="preserve"> his rights were violated when the Florida Circuit Court refused his request for </w:t>
      </w:r>
      <w:r>
        <w:rPr>
          <w:shd w:val="clear" w:color="auto" w:fill="FFFFFF"/>
        </w:rPr>
        <w:t xml:space="preserve">appointed </w:t>
      </w:r>
      <w:r w:rsidRPr="003F3D2D">
        <w:rPr>
          <w:shd w:val="clear" w:color="auto" w:fill="FFFFFF"/>
        </w:rPr>
        <w:t xml:space="preserve">counsel. Gideon filed a </w:t>
      </w:r>
      <w:r w:rsidRPr="00BA21B4">
        <w:rPr>
          <w:i/>
          <w:shd w:val="clear" w:color="auto" w:fill="FFFFFF"/>
        </w:rPr>
        <w:t>habeas corpus</w:t>
      </w:r>
      <w:r w:rsidRPr="003F3D2D">
        <w:rPr>
          <w:shd w:val="clear" w:color="auto" w:fill="FFFFFF"/>
        </w:rPr>
        <w:t xml:space="preserve"> petition, arguing </w:t>
      </w:r>
      <w:r>
        <w:rPr>
          <w:shd w:val="clear" w:color="auto" w:fill="FFFFFF"/>
        </w:rPr>
        <w:t xml:space="preserve">that </w:t>
      </w:r>
      <w:r w:rsidRPr="003F3D2D">
        <w:rPr>
          <w:shd w:val="clear" w:color="auto" w:fill="FFFFFF"/>
        </w:rPr>
        <w:t xml:space="preserve">he was improperly imprisoned because he had been refused </w:t>
      </w:r>
      <w:r>
        <w:rPr>
          <w:shd w:val="clear" w:color="auto" w:fill="FFFFFF"/>
        </w:rPr>
        <w:t>a free lawyer</w:t>
      </w:r>
      <w:r w:rsidRPr="003F3D2D">
        <w:rPr>
          <w:shd w:val="clear" w:color="auto" w:fill="FFFFFF"/>
        </w:rPr>
        <w:t xml:space="preserve"> during his trial, th</w:t>
      </w:r>
      <w:r>
        <w:rPr>
          <w:shd w:val="clear" w:color="auto" w:fill="FFFFFF"/>
        </w:rPr>
        <w:t>u</w:t>
      </w:r>
      <w:r w:rsidRPr="003F3D2D">
        <w:rPr>
          <w:shd w:val="clear" w:color="auto" w:fill="FFFFFF"/>
        </w:rPr>
        <w:t xml:space="preserve">s violating his constitutional rights guaranteed by the </w:t>
      </w:r>
      <w:r>
        <w:rPr>
          <w:shd w:val="clear" w:color="auto" w:fill="FFFFFF"/>
        </w:rPr>
        <w:t>S</w:t>
      </w:r>
      <w:r w:rsidRPr="003F3D2D">
        <w:rPr>
          <w:shd w:val="clear" w:color="auto" w:fill="FFFFFF"/>
        </w:rPr>
        <w:t xml:space="preserve">ixth </w:t>
      </w:r>
      <w:r>
        <w:rPr>
          <w:shd w:val="clear" w:color="auto" w:fill="FFFFFF"/>
        </w:rPr>
        <w:t>A</w:t>
      </w:r>
      <w:r w:rsidRPr="003F3D2D">
        <w:rPr>
          <w:shd w:val="clear" w:color="auto" w:fill="FFFFFF"/>
        </w:rPr>
        <w:t xml:space="preserve">mendment. The Florida Supreme Court </w:t>
      </w:r>
      <w:r>
        <w:rPr>
          <w:shd w:val="clear" w:color="auto" w:fill="FFFFFF"/>
        </w:rPr>
        <w:t>ruled against him</w:t>
      </w:r>
      <w:r w:rsidRPr="003F3D2D">
        <w:rPr>
          <w:shd w:val="clear" w:color="auto" w:fill="FFFFFF"/>
        </w:rPr>
        <w:t xml:space="preserve">. From his prison cell, Gideon </w:t>
      </w:r>
      <w:r>
        <w:rPr>
          <w:shd w:val="clear" w:color="auto" w:fill="FFFFFF"/>
        </w:rPr>
        <w:t>hand-</w:t>
      </w:r>
      <w:r w:rsidRPr="003F3D2D">
        <w:rPr>
          <w:shd w:val="clear" w:color="auto" w:fill="FFFFFF"/>
        </w:rPr>
        <w:t xml:space="preserve">wrote a petition </w:t>
      </w:r>
      <w:r>
        <w:rPr>
          <w:shd w:val="clear" w:color="auto" w:fill="FFFFFF"/>
        </w:rPr>
        <w:t xml:space="preserve">to the </w:t>
      </w:r>
      <w:r w:rsidRPr="003F3D2D">
        <w:rPr>
          <w:shd w:val="clear" w:color="auto" w:fill="FFFFFF"/>
        </w:rPr>
        <w:t>U.S. Supreme Court</w:t>
      </w:r>
      <w:r>
        <w:rPr>
          <w:shd w:val="clear" w:color="auto" w:fill="FFFFFF"/>
        </w:rPr>
        <w:t xml:space="preserve">, asking the </w:t>
      </w:r>
      <w:r>
        <w:rPr>
          <w:shd w:val="clear" w:color="auto" w:fill="FFFFFF"/>
        </w:rPr>
        <w:lastRenderedPageBreak/>
        <w:t xml:space="preserve">Court </w:t>
      </w:r>
      <w:r w:rsidRPr="003F3D2D">
        <w:rPr>
          <w:shd w:val="clear" w:color="auto" w:fill="FFFFFF"/>
        </w:rPr>
        <w:t xml:space="preserve">to hear his case. </w:t>
      </w:r>
      <w:r>
        <w:rPr>
          <w:shd w:val="clear" w:color="auto" w:fill="FFFFFF"/>
        </w:rPr>
        <w:t>T</w:t>
      </w:r>
      <w:r w:rsidRPr="003F3D2D">
        <w:rPr>
          <w:shd w:val="clear" w:color="auto" w:fill="FFFFFF"/>
        </w:rPr>
        <w:t xml:space="preserve">he </w:t>
      </w:r>
      <w:r>
        <w:rPr>
          <w:shd w:val="clear" w:color="auto" w:fill="FFFFFF"/>
        </w:rPr>
        <w:t>Supreme C</w:t>
      </w:r>
      <w:r w:rsidRPr="003F3D2D">
        <w:rPr>
          <w:shd w:val="clear" w:color="auto" w:fill="FFFFFF"/>
        </w:rPr>
        <w:t xml:space="preserve">ourt agreed </w:t>
      </w:r>
      <w:r>
        <w:rPr>
          <w:shd w:val="clear" w:color="auto" w:fill="FFFFFF"/>
        </w:rPr>
        <w:t>and appointed lawyer Abe Fortas, who was later named as a justice to the Supreme Court, to argue on his behalf</w:t>
      </w:r>
      <w:r w:rsidRPr="003F3D2D">
        <w:rPr>
          <w:shd w:val="clear" w:color="auto" w:fill="FFFFFF"/>
        </w:rPr>
        <w:t>.</w:t>
      </w:r>
    </w:p>
    <w:p w14:paraId="1ECA7DEE" w14:textId="77777777" w:rsidR="00F019F8" w:rsidRPr="00ED3234" w:rsidRDefault="00F019F8" w:rsidP="00F019F8">
      <w:pPr>
        <w:pStyle w:val="Subhead2sl"/>
      </w:pPr>
      <w:r w:rsidRPr="00ED3234">
        <w:t>Issue</w:t>
      </w:r>
    </w:p>
    <w:p w14:paraId="594DCA28" w14:textId="77777777" w:rsidR="00F019F8" w:rsidRDefault="00F019F8" w:rsidP="00F019F8">
      <w:pPr>
        <w:pStyle w:val="Basiccopysl"/>
      </w:pPr>
      <w:r w:rsidRPr="003F3D2D">
        <w:t>Does the Sixth Amendment</w:t>
      </w:r>
      <w:r>
        <w:t>’</w:t>
      </w:r>
      <w:r w:rsidRPr="003F3D2D">
        <w:t>s right to counsel in criminal cases extend to defendants in state courts</w:t>
      </w:r>
      <w:r>
        <w:t>,</w:t>
      </w:r>
      <w:r w:rsidRPr="003F3D2D">
        <w:t xml:space="preserve"> </w:t>
      </w:r>
      <w:r>
        <w:t>even in cases in which the death penalty is not at issue</w:t>
      </w:r>
      <w:r w:rsidRPr="003F3D2D">
        <w:t>?</w:t>
      </w:r>
    </w:p>
    <w:p w14:paraId="1851514D" w14:textId="77777777" w:rsidR="00F019F8" w:rsidRDefault="00F019F8" w:rsidP="00F019F8">
      <w:pPr>
        <w:pStyle w:val="Subhead2sl"/>
      </w:pPr>
      <w:r w:rsidRPr="00ED3234">
        <w:t xml:space="preserve">Constitutional </w:t>
      </w:r>
      <w:r>
        <w:t>Amendments</w:t>
      </w:r>
      <w:r w:rsidRPr="00ED3234">
        <w:t xml:space="preserve"> and </w:t>
      </w:r>
      <w:r>
        <w:t xml:space="preserve">Supreme Court </w:t>
      </w:r>
      <w:r w:rsidRPr="00ED3234">
        <w:t>Precedents</w:t>
      </w:r>
    </w:p>
    <w:p w14:paraId="02A8B89D" w14:textId="77777777" w:rsidR="00F019F8" w:rsidRPr="00A06F2D" w:rsidRDefault="00F019F8" w:rsidP="00F019F8">
      <w:pPr>
        <w:pStyle w:val="Bulletsl"/>
        <w:spacing w:before="240"/>
        <w:rPr>
          <w:rFonts w:asciiTheme="minorHAnsi" w:hAnsiTheme="minorHAnsi"/>
          <w:b/>
          <w:sz w:val="22"/>
          <w:szCs w:val="22"/>
        </w:rPr>
      </w:pPr>
      <w:r>
        <w:rPr>
          <w:b/>
        </w:rPr>
        <w:t xml:space="preserve">Sixth Amendment to the </w:t>
      </w:r>
      <w:r w:rsidRPr="00A06F2D">
        <w:rPr>
          <w:b/>
        </w:rPr>
        <w:t>U.S. Constitution</w:t>
      </w:r>
    </w:p>
    <w:p w14:paraId="1DBF1702" w14:textId="77777777" w:rsidR="00F019F8" w:rsidRDefault="00F019F8" w:rsidP="00F019F8">
      <w:pPr>
        <w:pStyle w:val="Basiccopysl"/>
        <w:ind w:left="720"/>
      </w:pPr>
      <w:r w:rsidRPr="00ED3234">
        <w:t>“In all criminal prosecutions, the accused shall enjoy the right . . . to have the Assistance of Counsel for his defense.”</w:t>
      </w:r>
    </w:p>
    <w:p w14:paraId="46E27581" w14:textId="77777777" w:rsidR="00F019F8" w:rsidRPr="00A06F2D" w:rsidRDefault="00F019F8" w:rsidP="00F019F8">
      <w:pPr>
        <w:pStyle w:val="Bulletsl"/>
        <w:spacing w:before="240"/>
        <w:rPr>
          <w:b/>
        </w:rPr>
      </w:pPr>
      <w:r>
        <w:rPr>
          <w:b/>
        </w:rPr>
        <w:t>14</w:t>
      </w:r>
      <w:r w:rsidRPr="00D63238">
        <w:rPr>
          <w:b/>
          <w:vertAlign w:val="superscript"/>
        </w:rPr>
        <w:t>th</w:t>
      </w:r>
      <w:r>
        <w:rPr>
          <w:b/>
        </w:rPr>
        <w:t xml:space="preserve"> Amendment to the </w:t>
      </w:r>
      <w:r w:rsidRPr="00A06F2D">
        <w:rPr>
          <w:b/>
        </w:rPr>
        <w:t>U.S. Constitution</w:t>
      </w:r>
    </w:p>
    <w:p w14:paraId="78C2B52B" w14:textId="77777777" w:rsidR="00F019F8" w:rsidRPr="00A06F2D" w:rsidRDefault="00F019F8" w:rsidP="00F019F8">
      <w:pPr>
        <w:pStyle w:val="Basiccopysl"/>
        <w:ind w:left="720"/>
      </w:pPr>
      <w:r w:rsidRPr="00A06F2D">
        <w:t>“…nor shall any State deprive any person of life, liberty, or property, without due process of law….”</w:t>
      </w:r>
    </w:p>
    <w:p w14:paraId="60AD349F" w14:textId="77777777" w:rsidR="00F019F8" w:rsidRPr="006031BB" w:rsidRDefault="00F019F8" w:rsidP="00F019F8">
      <w:pPr>
        <w:pStyle w:val="Bulletsl"/>
        <w:spacing w:before="240"/>
        <w:rPr>
          <w:bCs/>
        </w:rPr>
      </w:pPr>
      <w:r w:rsidRPr="006031BB">
        <w:rPr>
          <w:bCs/>
          <w:i/>
        </w:rPr>
        <w:t>Powell v. Alabama</w:t>
      </w:r>
      <w:r w:rsidRPr="006031BB">
        <w:rPr>
          <w:bCs/>
        </w:rPr>
        <w:t xml:space="preserve"> (1932) </w:t>
      </w:r>
    </w:p>
    <w:p w14:paraId="6FC8974B" w14:textId="77777777" w:rsidR="00F019F8" w:rsidRPr="00A06F2D" w:rsidRDefault="00F019F8" w:rsidP="00F019F8">
      <w:pPr>
        <w:pStyle w:val="Basiccopysl"/>
        <w:ind w:left="720"/>
      </w:pPr>
      <w:r w:rsidRPr="00A06F2D">
        <w:t xml:space="preserve">Nine teenagers were accused of assaulting two women. All nine were tried on one day within a week after </w:t>
      </w:r>
      <w:r>
        <w:t>being</w:t>
      </w:r>
      <w:r w:rsidRPr="00A06F2D">
        <w:t xml:space="preserve"> indicted and were found guilty in Alabama state court and sentenced to death. No lawyer represented the teens. The Supreme Court </w:t>
      </w:r>
      <w:r>
        <w:t>ruled</w:t>
      </w:r>
      <w:r w:rsidRPr="00A06F2D">
        <w:t xml:space="preserve"> that </w:t>
      </w:r>
      <w:r>
        <w:t xml:space="preserve">accused persons in a </w:t>
      </w:r>
      <w:r w:rsidRPr="00A06F2D">
        <w:t xml:space="preserve">capital case have the </w:t>
      </w:r>
      <w:r>
        <w:t xml:space="preserve">right to </w:t>
      </w:r>
      <w:r w:rsidRPr="00A06F2D">
        <w:t>counsel for their defense</w:t>
      </w:r>
      <w:r>
        <w:t>, which</w:t>
      </w:r>
      <w:r w:rsidRPr="00A06F2D">
        <w:t xml:space="preserve"> includes the right to have sufficient time to consult with counsel and to prepare a defense. The Court said that this is one of the fundamental rights that must be applied to the states under the </w:t>
      </w:r>
      <w:r>
        <w:t>14</w:t>
      </w:r>
      <w:r w:rsidRPr="001440AD">
        <w:rPr>
          <w:vertAlign w:val="superscript"/>
        </w:rPr>
        <w:t>th</w:t>
      </w:r>
      <w:r w:rsidRPr="00A06F2D">
        <w:t xml:space="preserve"> Amendment. The Court also said that state courts must appoint counsel, whether requested or not, when the defendant is incapable of making an adequate defense because of </w:t>
      </w:r>
      <w:r>
        <w:t>“</w:t>
      </w:r>
      <w:r w:rsidRPr="00A06F2D">
        <w:t>ignorance, feeble-mindedness, illiteracy or the like.</w:t>
      </w:r>
      <w:r>
        <w:t>”</w:t>
      </w:r>
    </w:p>
    <w:p w14:paraId="7D6108C9" w14:textId="77777777" w:rsidR="00F019F8" w:rsidRPr="006031BB" w:rsidRDefault="00F019F8" w:rsidP="00F019F8">
      <w:pPr>
        <w:pStyle w:val="Bulletsl"/>
        <w:spacing w:before="240"/>
        <w:rPr>
          <w:bCs/>
        </w:rPr>
      </w:pPr>
      <w:r w:rsidRPr="006031BB">
        <w:rPr>
          <w:bCs/>
          <w:i/>
        </w:rPr>
        <w:t>Johnson v. Zerbst</w:t>
      </w:r>
      <w:r w:rsidRPr="006031BB">
        <w:rPr>
          <w:bCs/>
        </w:rPr>
        <w:t xml:space="preserve"> (1938) </w:t>
      </w:r>
    </w:p>
    <w:p w14:paraId="0E9B00A2" w14:textId="77777777" w:rsidR="00F019F8" w:rsidRPr="00A06F2D" w:rsidRDefault="00F019F8" w:rsidP="00F019F8">
      <w:pPr>
        <w:pStyle w:val="Basiccopysl"/>
        <w:ind w:left="720"/>
      </w:pPr>
      <w:r w:rsidRPr="00A06F2D">
        <w:t xml:space="preserve">The Supreme Court said that the Sixth Amendment requires that, in federal criminal cases that could be punishable by imprisonment, </w:t>
      </w:r>
      <w:r>
        <w:t>lawyers</w:t>
      </w:r>
      <w:r w:rsidRPr="00A06F2D">
        <w:t xml:space="preserve"> must be </w:t>
      </w:r>
      <w:r>
        <w:t>provided</w:t>
      </w:r>
      <w:r w:rsidRPr="00A06F2D">
        <w:t xml:space="preserve"> for defendants too poor to hire their own lawyer, unless the accused person waives that right.</w:t>
      </w:r>
    </w:p>
    <w:p w14:paraId="6B73F2D5" w14:textId="77777777" w:rsidR="00F019F8" w:rsidRPr="006031BB" w:rsidRDefault="00F019F8" w:rsidP="00F019F8">
      <w:pPr>
        <w:pStyle w:val="Bulletsl"/>
        <w:spacing w:before="240"/>
        <w:rPr>
          <w:bCs/>
        </w:rPr>
      </w:pPr>
      <w:r w:rsidRPr="006031BB">
        <w:rPr>
          <w:bCs/>
          <w:i/>
        </w:rPr>
        <w:t>Betts v. Brady</w:t>
      </w:r>
      <w:r w:rsidRPr="006031BB">
        <w:rPr>
          <w:bCs/>
        </w:rPr>
        <w:t xml:space="preserve"> (1942) </w:t>
      </w:r>
    </w:p>
    <w:p w14:paraId="410AD47E" w14:textId="05338163" w:rsidR="00D87E35" w:rsidRPr="00ED3234" w:rsidRDefault="00F019F8" w:rsidP="00F019F8">
      <w:pPr>
        <w:pStyle w:val="Basiccopysl"/>
        <w:ind w:left="720"/>
      </w:pPr>
      <w:r w:rsidRPr="003F3D2D">
        <w:t xml:space="preserve">Betts was </w:t>
      </w:r>
      <w:r>
        <w:t>convicted of</w:t>
      </w:r>
      <w:r w:rsidRPr="003F3D2D">
        <w:t xml:space="preserve"> robbery in Maryland</w:t>
      </w:r>
      <w:r>
        <w:t xml:space="preserve"> under circumstances very similar to Gideon’s. Despite Betts’ request that a lawyer </w:t>
      </w:r>
      <w:r w:rsidRPr="003F3D2D">
        <w:t>be appointed for him</w:t>
      </w:r>
      <w:r>
        <w:t>, t</w:t>
      </w:r>
      <w:r w:rsidRPr="003F3D2D">
        <w:t xml:space="preserve">he </w:t>
      </w:r>
      <w:r>
        <w:t xml:space="preserve">Supreme </w:t>
      </w:r>
      <w:r w:rsidRPr="003F3D2D">
        <w:t xml:space="preserve">Court ruled that the </w:t>
      </w:r>
      <w:r>
        <w:t>14</w:t>
      </w:r>
      <w:r w:rsidRPr="001440AD">
        <w:rPr>
          <w:vertAlign w:val="superscript"/>
        </w:rPr>
        <w:t>th</w:t>
      </w:r>
      <w:r w:rsidRPr="003F3D2D">
        <w:t xml:space="preserve"> </w:t>
      </w:r>
      <w:r>
        <w:t>A</w:t>
      </w:r>
      <w:r w:rsidRPr="003F3D2D">
        <w:t>mendment did not require states to provide counsel to the poor in non</w:t>
      </w:r>
      <w:r>
        <w:t>-death-penalty</w:t>
      </w:r>
      <w:r w:rsidRPr="003F3D2D">
        <w:t xml:space="preserve"> cases.</w:t>
      </w:r>
    </w:p>
    <w:sectPr w:rsidR="00D87E35" w:rsidRPr="00ED3234" w:rsidSect="005750DB">
      <w:headerReference w:type="first" r:id="rId14"/>
      <w:footerReference w:type="first" r:id="rId15"/>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0D230" w14:textId="77777777" w:rsidR="005750DB" w:rsidRDefault="005750DB" w:rsidP="0078549D">
      <w:pPr>
        <w:spacing w:after="0" w:line="240" w:lineRule="auto"/>
      </w:pPr>
      <w:r>
        <w:separator/>
      </w:r>
    </w:p>
  </w:endnote>
  <w:endnote w:type="continuationSeparator" w:id="0">
    <w:p w14:paraId="51630AD3" w14:textId="77777777" w:rsidR="005750DB" w:rsidRDefault="005750DB"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425D1A49" w14:textId="5549AA92" w:rsidR="0078549D" w:rsidRPr="0078549D" w:rsidRDefault="0078549D">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96332">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sidR="00F42CDF">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sidR="00C006FA">
          <w:rPr>
            <w:rFonts w:ascii="Garamond" w:hAnsi="Garamond"/>
            <w:noProof/>
          </w:rPr>
          <w:t>3</w:t>
        </w:r>
        <w:r w:rsidRPr="008A3806">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993711322"/>
      <w:docPartObj>
        <w:docPartGallery w:val="Page Numbers (Bottom of Page)"/>
        <w:docPartUnique/>
      </w:docPartObj>
    </w:sdtPr>
    <w:sdtEndPr>
      <w:rPr>
        <w:noProof/>
      </w:rPr>
    </w:sdtEndPr>
    <w:sdtContent>
      <w:p w14:paraId="08B8073E" w14:textId="0286238D" w:rsidR="00F42CDF" w:rsidRDefault="00F42CDF">
        <w:pPr>
          <w:pStyle w:val="Footer"/>
          <w:rPr>
            <w:rFonts w:ascii="Garamond" w:hAnsi="Garamond"/>
          </w:rPr>
        </w:pPr>
        <w:r w:rsidRPr="008A3806">
          <w:rPr>
            <w:rFonts w:ascii="Garamond" w:hAnsi="Garamond" w:cstheme="minorHAnsi"/>
          </w:rPr>
          <w:t>©</w:t>
        </w:r>
        <w:r w:rsidRPr="008A3806">
          <w:rPr>
            <w:rFonts w:ascii="Garamond" w:hAnsi="Garamond"/>
          </w:rPr>
          <w:t xml:space="preserve"> 20</w:t>
        </w:r>
        <w:r w:rsidR="00280872">
          <w:rPr>
            <w:rFonts w:ascii="Garamond" w:hAnsi="Garamond"/>
          </w:rPr>
          <w:t>20</w:t>
        </w:r>
        <w:r w:rsidRPr="008A3806">
          <w:rPr>
            <w:rFonts w:ascii="Garamond" w:hAnsi="Garamond"/>
          </w:rPr>
          <w:t xml:space="preserve"> Street Law, Inc.</w:t>
        </w:r>
        <w:r w:rsidR="003E4E99">
          <w:rPr>
            <w:rFonts w:ascii="Garamond" w:hAnsi="Garamond"/>
          </w:rPr>
          <w:tab/>
        </w:r>
        <w:r w:rsidR="003E4E99">
          <w:rPr>
            <w:rFonts w:ascii="Garamond" w:hAnsi="Garamond"/>
          </w:rPr>
          <w:tab/>
          <w:t xml:space="preserve">Last updated: </w:t>
        </w:r>
        <w:r w:rsidR="00984167">
          <w:rPr>
            <w:rFonts w:ascii="Garamond" w:hAnsi="Garamond"/>
          </w:rPr>
          <w:t>0</w:t>
        </w:r>
        <w:r w:rsidR="00CE3CC0">
          <w:rPr>
            <w:rFonts w:ascii="Garamond" w:hAnsi="Garamond"/>
          </w:rPr>
          <w:t>1/23/2024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016045271"/>
      <w:docPartObj>
        <w:docPartGallery w:val="Page Numbers (Bottom of Page)"/>
        <w:docPartUnique/>
      </w:docPartObj>
    </w:sdtPr>
    <w:sdtEndPr>
      <w:rPr>
        <w:noProof/>
      </w:rPr>
    </w:sdtEndPr>
    <w:sdtContent>
      <w:p w14:paraId="3C0C47C4" w14:textId="7A653040" w:rsidR="00984167" w:rsidRDefault="00984167">
        <w:pPr>
          <w:pStyle w:val="Footer"/>
          <w:rPr>
            <w:rFonts w:ascii="Garamond" w:hAnsi="Garamond"/>
          </w:rPr>
        </w:pPr>
        <w:r w:rsidRPr="008A3806">
          <w:rPr>
            <w:rFonts w:ascii="Garamond" w:hAnsi="Garamond" w:cstheme="minorHAnsi"/>
          </w:rPr>
          <w:t>©</w:t>
        </w:r>
        <w:r w:rsidRPr="008A3806">
          <w:rPr>
            <w:rFonts w:ascii="Garamond" w:hAnsi="Garamond"/>
          </w:rPr>
          <w:t xml:space="preserve"> 20</w:t>
        </w:r>
        <w:r>
          <w:rPr>
            <w:rFonts w:ascii="Garamond" w:hAnsi="Garamond"/>
          </w:rPr>
          <w:t>20</w:t>
        </w:r>
        <w:r w:rsidRPr="008A3806">
          <w:rPr>
            <w:rFonts w:ascii="Garamond" w:hAnsi="Garamond"/>
          </w:rPr>
          <w:t xml:space="preserve"> Street Law, Inc.</w:t>
        </w:r>
        <w:r w:rsidRPr="008A3806">
          <w:rPr>
            <w:rFonts w:ascii="Garamond" w:hAnsi="Garamond"/>
          </w:rPr>
          <w:tab/>
        </w:r>
        <w:r w:rsidRPr="008A3806">
          <w:rPr>
            <w:rFonts w:ascii="Garamond" w:hAnsi="Garamond"/>
          </w:rPr>
          <w:tab/>
        </w:r>
        <w:r>
          <w:rPr>
            <w:rFonts w:ascii="Garamond" w:hAnsi="Garamond"/>
          </w:rPr>
          <w:t xml:space="preserve"> </w:t>
        </w:r>
        <w:r w:rsidRPr="008A3806">
          <w:rPr>
            <w:rFonts w:ascii="Garamond" w:hAnsi="Garamond"/>
          </w:rPr>
          <w:fldChar w:fldCharType="begin"/>
        </w:r>
        <w:r w:rsidRPr="008A3806">
          <w:rPr>
            <w:rFonts w:ascii="Garamond" w:hAnsi="Garamond"/>
          </w:rPr>
          <w:instrText xml:space="preserve"> PAGE   \* MERGEFORMAT </w:instrText>
        </w:r>
        <w:r w:rsidRPr="008A3806">
          <w:rPr>
            <w:rFonts w:ascii="Garamond" w:hAnsi="Garamond"/>
          </w:rPr>
          <w:fldChar w:fldCharType="separate"/>
        </w:r>
        <w:r>
          <w:rPr>
            <w:rFonts w:ascii="Garamond" w:hAnsi="Garamond"/>
          </w:rPr>
          <w:t>4</w:t>
        </w:r>
        <w:r w:rsidRPr="008A3806">
          <w:rPr>
            <w:rFonts w:ascii="Garamond" w:hAnsi="Garamond"/>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0009" w14:textId="77777777" w:rsidR="005750DB" w:rsidRDefault="005750DB" w:rsidP="0078549D">
      <w:pPr>
        <w:spacing w:after="0" w:line="240" w:lineRule="auto"/>
      </w:pPr>
      <w:r>
        <w:separator/>
      </w:r>
    </w:p>
  </w:footnote>
  <w:footnote w:type="continuationSeparator" w:id="0">
    <w:p w14:paraId="4CE8E4F8" w14:textId="77777777" w:rsidR="005750DB" w:rsidRDefault="005750DB"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EA6E" w14:textId="77777777" w:rsidR="00E0203F" w:rsidRPr="004B3FAC" w:rsidRDefault="00E0203F" w:rsidP="00E0203F">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5648" behindDoc="0" locked="0" layoutInCell="1" allowOverlap="1" wp14:anchorId="70293A5A" wp14:editId="78B077F7">
              <wp:simplePos x="0" y="0"/>
              <wp:positionH relativeFrom="column">
                <wp:posOffset>-209550</wp:posOffset>
              </wp:positionH>
              <wp:positionV relativeFrom="paragraph">
                <wp:posOffset>-171450</wp:posOffset>
              </wp:positionV>
              <wp:extent cx="2695575" cy="542925"/>
              <wp:effectExtent l="0" t="0" r="0" b="0"/>
              <wp:wrapNone/>
              <wp:docPr id="1970723458" name="Text Box 1970723458"/>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FA78" w14:textId="77777777" w:rsidR="00E0203F" w:rsidRDefault="00E0203F" w:rsidP="00E0203F">
                          <w:r>
                            <w:rPr>
                              <w:noProof/>
                            </w:rPr>
                            <w:drawing>
                              <wp:inline distT="0" distB="0" distL="0" distR="0" wp14:anchorId="3D149C32" wp14:editId="5AB8F265">
                                <wp:extent cx="1828800" cy="333590"/>
                                <wp:effectExtent l="0" t="0" r="0" b="9525"/>
                                <wp:docPr id="2141525096" name="Picture 21415250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293A5A" id="_x0000_t202" coordsize="21600,21600" o:spt="202" path="m,l,21600r21600,l21600,xe">
              <v:stroke joinstyle="miter"/>
              <v:path gradientshapeok="t" o:connecttype="rect"/>
            </v:shapetype>
            <v:shape id="Text Box 1970723458" o:spid="_x0000_s1026" type="#_x0000_t202" style="position:absolute;left:0;text-align:left;margin-left:-16.5pt;margin-top:-13.5pt;width:212.25pt;height:42.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488BFA78" w14:textId="77777777" w:rsidR="00E0203F" w:rsidRDefault="00E0203F" w:rsidP="00E0203F">
                    <w:r>
                      <w:rPr>
                        <w:noProof/>
                      </w:rPr>
                      <w:drawing>
                        <wp:inline distT="0" distB="0" distL="0" distR="0" wp14:anchorId="3D149C32" wp14:editId="5AB8F265">
                          <wp:extent cx="1828800" cy="333590"/>
                          <wp:effectExtent l="0" t="0" r="0" b="9525"/>
                          <wp:docPr id="2141525096" name="Picture 21415250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7A74F27F"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3A7" w14:textId="13E2A36E" w:rsidR="00CE3CC0" w:rsidRPr="004B3FAC" w:rsidRDefault="00CE3CC0" w:rsidP="00CE3CC0">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69504" behindDoc="0" locked="0" layoutInCell="1" allowOverlap="1" wp14:anchorId="756428F6" wp14:editId="1E8469C5">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E5ABB" w14:textId="77777777" w:rsidR="00CE3CC0" w:rsidRDefault="00CE3CC0" w:rsidP="00CE3CC0">
                          <w:r>
                            <w:rPr>
                              <w:noProof/>
                            </w:rPr>
                            <w:drawing>
                              <wp:inline distT="0" distB="0" distL="0" distR="0" wp14:anchorId="444B9F43" wp14:editId="24299353">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56428F6"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43DE5ABB" w14:textId="77777777" w:rsidR="00CE3CC0" w:rsidRDefault="00CE3CC0" w:rsidP="00CE3CC0">
                    <w:r>
                      <w:rPr>
                        <w:noProof/>
                      </w:rPr>
                      <w:drawing>
                        <wp:inline distT="0" distB="0" distL="0" distR="0" wp14:anchorId="444B9F43" wp14:editId="24299353">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00E0203F">
      <w:rPr>
        <w:rFonts w:ascii="Garamond" w:hAnsi="Garamond"/>
        <w:szCs w:val="20"/>
      </w:rPr>
      <w:t>Classifying Arguments Activity</w:t>
    </w:r>
  </w:p>
  <w:p w14:paraId="64E014FB" w14:textId="77777777" w:rsidR="00B91534" w:rsidRDefault="00B91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CDA8" w14:textId="77777777" w:rsidR="00E0203F" w:rsidRPr="004B3FAC" w:rsidRDefault="00E0203F" w:rsidP="00E0203F">
    <w:pPr>
      <w:pStyle w:val="Header"/>
      <w:jc w:val="right"/>
      <w:rPr>
        <w:rFonts w:ascii="Garamond" w:hAnsi="Garamond"/>
        <w:szCs w:val="20"/>
      </w:rPr>
    </w:pPr>
    <w:r w:rsidRPr="004B3FAC">
      <w:rPr>
        <w:rFonts w:ascii="Garamond" w:hAnsi="Garamond"/>
        <w:noProof/>
        <w:szCs w:val="20"/>
      </w:rPr>
      <mc:AlternateContent>
        <mc:Choice Requires="wps">
          <w:drawing>
            <wp:anchor distT="0" distB="0" distL="114300" distR="114300" simplePos="0" relativeHeight="251677696" behindDoc="0" locked="0" layoutInCell="1" allowOverlap="1" wp14:anchorId="47C65623" wp14:editId="1EE347B8">
              <wp:simplePos x="0" y="0"/>
              <wp:positionH relativeFrom="column">
                <wp:posOffset>-209550</wp:posOffset>
              </wp:positionH>
              <wp:positionV relativeFrom="paragraph">
                <wp:posOffset>-171450</wp:posOffset>
              </wp:positionV>
              <wp:extent cx="2695575" cy="542925"/>
              <wp:effectExtent l="0" t="0" r="0" b="0"/>
              <wp:wrapNone/>
              <wp:docPr id="564609437" name="Text Box 5646094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F746E1" w14:textId="77777777" w:rsidR="00E0203F" w:rsidRDefault="00E0203F" w:rsidP="00E0203F">
                          <w:r>
                            <w:rPr>
                              <w:noProof/>
                            </w:rPr>
                            <w:drawing>
                              <wp:inline distT="0" distB="0" distL="0" distR="0" wp14:anchorId="3D66DADD" wp14:editId="2DE721CF">
                                <wp:extent cx="1828800" cy="333590"/>
                                <wp:effectExtent l="0" t="0" r="0" b="9525"/>
                                <wp:docPr id="1744299272" name="Picture 17442992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C65623" id="_x0000_t202" coordsize="21600,21600" o:spt="202" path="m,l,21600r21600,l21600,xe">
              <v:stroke joinstyle="miter"/>
              <v:path gradientshapeok="t" o:connecttype="rect"/>
            </v:shapetype>
            <v:shape id="Text Box 564609437" o:spid="_x0000_s1028" type="#_x0000_t202" style="position:absolute;left:0;text-align:left;margin-left:-16.5pt;margin-top:-13.5pt;width:212.25pt;height:42.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" filled="f" stroked="f" strokeweight=".5pt">
              <v:textbox>
                <w:txbxContent>
                  <w:p w14:paraId="24F746E1" w14:textId="77777777" w:rsidR="00E0203F" w:rsidRDefault="00E0203F" w:rsidP="00E0203F">
                    <w:r>
                      <w:rPr>
                        <w:noProof/>
                      </w:rPr>
                      <w:drawing>
                        <wp:inline distT="0" distB="0" distL="0" distR="0" wp14:anchorId="3D66DADD" wp14:editId="2DE721CF">
                          <wp:extent cx="1828800" cy="333590"/>
                          <wp:effectExtent l="0" t="0" r="0" b="9525"/>
                          <wp:docPr id="1744299272" name="Picture 174429927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Pr>
        <w:rFonts w:ascii="Garamond" w:hAnsi="Garamond"/>
        <w:szCs w:val="20"/>
      </w:rPr>
      <w:t>Classifying Arguments Activity</w:t>
    </w:r>
  </w:p>
  <w:p w14:paraId="56F79EF6" w14:textId="77777777" w:rsidR="006A1D3E" w:rsidRDefault="006A1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373"/>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748"/>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410D1"/>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D1DA0"/>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B6C3A"/>
    <w:multiLevelType w:val="hybridMultilevel"/>
    <w:tmpl w:val="DF96101E"/>
    <w:lvl w:ilvl="0" w:tplc="2F46E23E">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D8472B"/>
    <w:multiLevelType w:val="hybridMultilevel"/>
    <w:tmpl w:val="1AA0EDA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43272"/>
    <w:multiLevelType w:val="hybridMultilevel"/>
    <w:tmpl w:val="FBF6D760"/>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670460"/>
    <w:multiLevelType w:val="hybridMultilevel"/>
    <w:tmpl w:val="50D2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40D0D"/>
    <w:multiLevelType w:val="hybridMultilevel"/>
    <w:tmpl w:val="D8249A7E"/>
    <w:lvl w:ilvl="0" w:tplc="564883B8">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712C9C"/>
    <w:multiLevelType w:val="hybridMultilevel"/>
    <w:tmpl w:val="2A6CC1FA"/>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916BF"/>
    <w:multiLevelType w:val="hybridMultilevel"/>
    <w:tmpl w:val="8E2CC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F3F40"/>
    <w:multiLevelType w:val="hybridMultilevel"/>
    <w:tmpl w:val="278EEA86"/>
    <w:lvl w:ilvl="0" w:tplc="E544F2E8">
      <w:numFmt w:val="bullet"/>
      <w:lvlText w:val="-"/>
      <w:lvlJc w:val="left"/>
      <w:pPr>
        <w:ind w:left="1440" w:hanging="360"/>
      </w:pPr>
      <w:rPr>
        <w:rFonts w:ascii="Garamond" w:eastAsiaTheme="minorHAnsi" w:hAnsi="Garamond"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FF3686"/>
    <w:multiLevelType w:val="hybridMultilevel"/>
    <w:tmpl w:val="A8DA5BBA"/>
    <w:lvl w:ilvl="0" w:tplc="9D88F57E">
      <w:start w:val="1"/>
      <w:numFmt w:val="bullet"/>
      <w:pStyle w:val="Glossarybulletssl"/>
      <w:lvlText w:val=""/>
      <w:lvlJc w:val="left"/>
      <w:pPr>
        <w:ind w:left="720" w:hanging="360"/>
      </w:pPr>
      <w:rPr>
        <w:rFonts w:ascii="Symbol" w:hAnsi="Symbol" w:hint="default"/>
      </w:rPr>
    </w:lvl>
    <w:lvl w:ilvl="1" w:tplc="AA70F75A">
      <w:start w:val="1"/>
      <w:numFmt w:val="bullet"/>
      <w:lvlText w:val="o"/>
      <w:lvlJc w:val="left"/>
      <w:pPr>
        <w:ind w:left="1440" w:hanging="360"/>
      </w:pPr>
      <w:rPr>
        <w:rFonts w:ascii="Courier New" w:hAnsi="Courier New" w:cs="Courier New" w:hint="default"/>
      </w:rPr>
    </w:lvl>
    <w:lvl w:ilvl="2" w:tplc="BBB6B89A">
      <w:start w:val="1"/>
      <w:numFmt w:val="bullet"/>
      <w:lvlText w:val=""/>
      <w:lvlJc w:val="left"/>
      <w:pPr>
        <w:ind w:left="2160" w:hanging="360"/>
      </w:pPr>
      <w:rPr>
        <w:rFonts w:ascii="Wingdings" w:hAnsi="Wingdings" w:hint="default"/>
      </w:rPr>
    </w:lvl>
    <w:lvl w:ilvl="3" w:tplc="A058C286">
      <w:start w:val="1"/>
      <w:numFmt w:val="bullet"/>
      <w:lvlText w:val=""/>
      <w:lvlJc w:val="left"/>
      <w:pPr>
        <w:ind w:left="2880" w:hanging="360"/>
      </w:pPr>
      <w:rPr>
        <w:rFonts w:ascii="Symbol" w:hAnsi="Symbol" w:hint="default"/>
      </w:rPr>
    </w:lvl>
    <w:lvl w:ilvl="4" w:tplc="3310799E">
      <w:start w:val="1"/>
      <w:numFmt w:val="bullet"/>
      <w:lvlText w:val="o"/>
      <w:lvlJc w:val="left"/>
      <w:pPr>
        <w:ind w:left="3600" w:hanging="360"/>
      </w:pPr>
      <w:rPr>
        <w:rFonts w:ascii="Courier New" w:hAnsi="Courier New" w:cs="Courier New" w:hint="default"/>
      </w:rPr>
    </w:lvl>
    <w:lvl w:ilvl="5" w:tplc="1C9601D0">
      <w:start w:val="1"/>
      <w:numFmt w:val="bullet"/>
      <w:lvlText w:val=""/>
      <w:lvlJc w:val="left"/>
      <w:pPr>
        <w:ind w:left="4320" w:hanging="360"/>
      </w:pPr>
      <w:rPr>
        <w:rFonts w:ascii="Wingdings" w:hAnsi="Wingdings" w:hint="default"/>
      </w:rPr>
    </w:lvl>
    <w:lvl w:ilvl="6" w:tplc="FFF8899A">
      <w:start w:val="1"/>
      <w:numFmt w:val="bullet"/>
      <w:lvlText w:val=""/>
      <w:lvlJc w:val="left"/>
      <w:pPr>
        <w:ind w:left="5040" w:hanging="360"/>
      </w:pPr>
      <w:rPr>
        <w:rFonts w:ascii="Symbol" w:hAnsi="Symbol" w:hint="default"/>
      </w:rPr>
    </w:lvl>
    <w:lvl w:ilvl="7" w:tplc="51BE7326">
      <w:start w:val="1"/>
      <w:numFmt w:val="bullet"/>
      <w:lvlText w:val="o"/>
      <w:lvlJc w:val="left"/>
      <w:pPr>
        <w:ind w:left="5760" w:hanging="360"/>
      </w:pPr>
      <w:rPr>
        <w:rFonts w:ascii="Courier New" w:hAnsi="Courier New" w:cs="Courier New" w:hint="default"/>
      </w:rPr>
    </w:lvl>
    <w:lvl w:ilvl="8" w:tplc="02002A28">
      <w:start w:val="1"/>
      <w:numFmt w:val="bullet"/>
      <w:lvlText w:val=""/>
      <w:lvlJc w:val="left"/>
      <w:pPr>
        <w:ind w:left="6480" w:hanging="360"/>
      </w:pPr>
      <w:rPr>
        <w:rFonts w:ascii="Wingdings" w:hAnsi="Wingdings" w:hint="default"/>
      </w:rPr>
    </w:lvl>
  </w:abstractNum>
  <w:abstractNum w:abstractNumId="18" w15:restartNumberingAfterBreak="0">
    <w:nsid w:val="604A45AE"/>
    <w:multiLevelType w:val="hybridMultilevel"/>
    <w:tmpl w:val="C8645C2A"/>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7FF3"/>
    <w:multiLevelType w:val="hybridMultilevel"/>
    <w:tmpl w:val="B75CB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F4A51"/>
    <w:multiLevelType w:val="hybridMultilevel"/>
    <w:tmpl w:val="61A450A2"/>
    <w:lvl w:ilvl="0" w:tplc="E544F2E8">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234EE5"/>
    <w:multiLevelType w:val="hybridMultilevel"/>
    <w:tmpl w:val="EBE66DC0"/>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67C89"/>
    <w:multiLevelType w:val="hybridMultilevel"/>
    <w:tmpl w:val="C8B211C6"/>
    <w:lvl w:ilvl="0" w:tplc="24C887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6207247">
    <w:abstractNumId w:val="12"/>
  </w:num>
  <w:num w:numId="2" w16cid:durableId="1013580039">
    <w:abstractNumId w:val="5"/>
  </w:num>
  <w:num w:numId="3" w16cid:durableId="1689715398">
    <w:abstractNumId w:val="4"/>
  </w:num>
  <w:num w:numId="4" w16cid:durableId="1348672585">
    <w:abstractNumId w:val="6"/>
  </w:num>
  <w:num w:numId="5" w16cid:durableId="1981300180">
    <w:abstractNumId w:val="13"/>
  </w:num>
  <w:num w:numId="6" w16cid:durableId="931427597">
    <w:abstractNumId w:val="11"/>
  </w:num>
  <w:num w:numId="7" w16cid:durableId="1805587151">
    <w:abstractNumId w:val="13"/>
    <w:lvlOverride w:ilvl="0">
      <w:startOverride w:val="1"/>
    </w:lvlOverride>
  </w:num>
  <w:num w:numId="8" w16cid:durableId="1806509590">
    <w:abstractNumId w:val="13"/>
    <w:lvlOverride w:ilvl="0">
      <w:startOverride w:val="1"/>
    </w:lvlOverride>
  </w:num>
  <w:num w:numId="9" w16cid:durableId="1974750557">
    <w:abstractNumId w:val="13"/>
    <w:lvlOverride w:ilvl="0">
      <w:startOverride w:val="1"/>
    </w:lvlOverride>
  </w:num>
  <w:num w:numId="10" w16cid:durableId="1720933870">
    <w:abstractNumId w:val="13"/>
    <w:lvlOverride w:ilvl="0">
      <w:startOverride w:val="1"/>
    </w:lvlOverride>
  </w:num>
  <w:num w:numId="11" w16cid:durableId="1662076496">
    <w:abstractNumId w:val="23"/>
  </w:num>
  <w:num w:numId="12" w16cid:durableId="415520673">
    <w:abstractNumId w:val="22"/>
  </w:num>
  <w:num w:numId="13" w16cid:durableId="182595133">
    <w:abstractNumId w:val="21"/>
  </w:num>
  <w:num w:numId="14" w16cid:durableId="1827433359">
    <w:abstractNumId w:val="14"/>
  </w:num>
  <w:num w:numId="15" w16cid:durableId="489443803">
    <w:abstractNumId w:val="12"/>
  </w:num>
  <w:num w:numId="16" w16cid:durableId="369377556">
    <w:abstractNumId w:val="18"/>
  </w:num>
  <w:num w:numId="17" w16cid:durableId="2032756162">
    <w:abstractNumId w:val="9"/>
  </w:num>
  <w:num w:numId="18" w16cid:durableId="107554885">
    <w:abstractNumId w:val="8"/>
  </w:num>
  <w:num w:numId="19" w16cid:durableId="1718627275">
    <w:abstractNumId w:val="19"/>
  </w:num>
  <w:num w:numId="20" w16cid:durableId="455372832">
    <w:abstractNumId w:val="17"/>
  </w:num>
  <w:num w:numId="21" w16cid:durableId="1042829105">
    <w:abstractNumId w:val="20"/>
  </w:num>
  <w:num w:numId="22" w16cid:durableId="1086075456">
    <w:abstractNumId w:val="7"/>
  </w:num>
  <w:num w:numId="23" w16cid:durableId="158622645">
    <w:abstractNumId w:val="16"/>
  </w:num>
  <w:num w:numId="24" w16cid:durableId="1219130562">
    <w:abstractNumId w:val="10"/>
  </w:num>
  <w:num w:numId="25" w16cid:durableId="2078699588">
    <w:abstractNumId w:val="3"/>
  </w:num>
  <w:num w:numId="26" w16cid:durableId="614755357">
    <w:abstractNumId w:val="2"/>
  </w:num>
  <w:num w:numId="27" w16cid:durableId="915942309">
    <w:abstractNumId w:val="15"/>
  </w:num>
  <w:num w:numId="28" w16cid:durableId="1808736630">
    <w:abstractNumId w:val="0"/>
  </w:num>
  <w:num w:numId="29" w16cid:durableId="58885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106EE"/>
    <w:rsid w:val="00015EEF"/>
    <w:rsid w:val="00034431"/>
    <w:rsid w:val="00062A03"/>
    <w:rsid w:val="0006303E"/>
    <w:rsid w:val="00091280"/>
    <w:rsid w:val="0009236C"/>
    <w:rsid w:val="00094B95"/>
    <w:rsid w:val="000A4327"/>
    <w:rsid w:val="000B30F7"/>
    <w:rsid w:val="000C247B"/>
    <w:rsid w:val="000C4316"/>
    <w:rsid w:val="000C67CC"/>
    <w:rsid w:val="000D26A0"/>
    <w:rsid w:val="000D3738"/>
    <w:rsid w:val="000E239D"/>
    <w:rsid w:val="000F3B4F"/>
    <w:rsid w:val="0011749E"/>
    <w:rsid w:val="001208DF"/>
    <w:rsid w:val="00124F72"/>
    <w:rsid w:val="00136C23"/>
    <w:rsid w:val="00137BCD"/>
    <w:rsid w:val="00146C6F"/>
    <w:rsid w:val="00147554"/>
    <w:rsid w:val="001576CA"/>
    <w:rsid w:val="001611E6"/>
    <w:rsid w:val="00161C2E"/>
    <w:rsid w:val="00170B98"/>
    <w:rsid w:val="0018083D"/>
    <w:rsid w:val="00180C79"/>
    <w:rsid w:val="00194179"/>
    <w:rsid w:val="00195163"/>
    <w:rsid w:val="001C5040"/>
    <w:rsid w:val="001C5593"/>
    <w:rsid w:val="00203DBF"/>
    <w:rsid w:val="00212EC3"/>
    <w:rsid w:val="0022417C"/>
    <w:rsid w:val="002436DF"/>
    <w:rsid w:val="002460F6"/>
    <w:rsid w:val="00256801"/>
    <w:rsid w:val="002635A3"/>
    <w:rsid w:val="002748F4"/>
    <w:rsid w:val="002804A9"/>
    <w:rsid w:val="00280872"/>
    <w:rsid w:val="00290061"/>
    <w:rsid w:val="00296332"/>
    <w:rsid w:val="002A5180"/>
    <w:rsid w:val="002B4D38"/>
    <w:rsid w:val="002B6E4E"/>
    <w:rsid w:val="002C23A9"/>
    <w:rsid w:val="002C5CF0"/>
    <w:rsid w:val="002C68A3"/>
    <w:rsid w:val="002E6D99"/>
    <w:rsid w:val="002E7BA4"/>
    <w:rsid w:val="00301C73"/>
    <w:rsid w:val="0030278A"/>
    <w:rsid w:val="00304C79"/>
    <w:rsid w:val="00310DE7"/>
    <w:rsid w:val="00310F79"/>
    <w:rsid w:val="00312D9C"/>
    <w:rsid w:val="0031396A"/>
    <w:rsid w:val="00317735"/>
    <w:rsid w:val="00365067"/>
    <w:rsid w:val="00366781"/>
    <w:rsid w:val="00375090"/>
    <w:rsid w:val="00381317"/>
    <w:rsid w:val="00393226"/>
    <w:rsid w:val="00396AEB"/>
    <w:rsid w:val="003A658A"/>
    <w:rsid w:val="003C2BF8"/>
    <w:rsid w:val="003E377F"/>
    <w:rsid w:val="003E4E99"/>
    <w:rsid w:val="00401701"/>
    <w:rsid w:val="00401E16"/>
    <w:rsid w:val="00402ECA"/>
    <w:rsid w:val="00416619"/>
    <w:rsid w:val="00416BCC"/>
    <w:rsid w:val="00424B4F"/>
    <w:rsid w:val="00427705"/>
    <w:rsid w:val="0043277B"/>
    <w:rsid w:val="004475C6"/>
    <w:rsid w:val="00447C14"/>
    <w:rsid w:val="00452627"/>
    <w:rsid w:val="004579A5"/>
    <w:rsid w:val="00465BF3"/>
    <w:rsid w:val="00465CBE"/>
    <w:rsid w:val="004B560A"/>
    <w:rsid w:val="004F1F84"/>
    <w:rsid w:val="004F5F9B"/>
    <w:rsid w:val="004F669E"/>
    <w:rsid w:val="00500DA9"/>
    <w:rsid w:val="00522077"/>
    <w:rsid w:val="005311FB"/>
    <w:rsid w:val="00540C5F"/>
    <w:rsid w:val="0055347F"/>
    <w:rsid w:val="00567C62"/>
    <w:rsid w:val="0057053E"/>
    <w:rsid w:val="00572398"/>
    <w:rsid w:val="005750DB"/>
    <w:rsid w:val="005A0330"/>
    <w:rsid w:val="005A1EE3"/>
    <w:rsid w:val="005A3EFA"/>
    <w:rsid w:val="005C4EE4"/>
    <w:rsid w:val="005D0354"/>
    <w:rsid w:val="005D2BD5"/>
    <w:rsid w:val="005D78F1"/>
    <w:rsid w:val="005E01F8"/>
    <w:rsid w:val="005F6A7F"/>
    <w:rsid w:val="00603076"/>
    <w:rsid w:val="00610DFA"/>
    <w:rsid w:val="00614620"/>
    <w:rsid w:val="00620307"/>
    <w:rsid w:val="0062092B"/>
    <w:rsid w:val="00622D4E"/>
    <w:rsid w:val="00626F75"/>
    <w:rsid w:val="00633DCA"/>
    <w:rsid w:val="00635369"/>
    <w:rsid w:val="00640620"/>
    <w:rsid w:val="00640835"/>
    <w:rsid w:val="0065081C"/>
    <w:rsid w:val="0067567C"/>
    <w:rsid w:val="0068244B"/>
    <w:rsid w:val="00694AE4"/>
    <w:rsid w:val="006A1D3E"/>
    <w:rsid w:val="006A4D51"/>
    <w:rsid w:val="006B4547"/>
    <w:rsid w:val="006C001D"/>
    <w:rsid w:val="006D0764"/>
    <w:rsid w:val="006D581C"/>
    <w:rsid w:val="006E6C97"/>
    <w:rsid w:val="00730FA8"/>
    <w:rsid w:val="007343B4"/>
    <w:rsid w:val="00744C98"/>
    <w:rsid w:val="00776C00"/>
    <w:rsid w:val="00777899"/>
    <w:rsid w:val="00781FFE"/>
    <w:rsid w:val="0078549D"/>
    <w:rsid w:val="00790979"/>
    <w:rsid w:val="007972E5"/>
    <w:rsid w:val="007B3049"/>
    <w:rsid w:val="007B4E71"/>
    <w:rsid w:val="007D118D"/>
    <w:rsid w:val="007E00E0"/>
    <w:rsid w:val="007E11CF"/>
    <w:rsid w:val="007E788E"/>
    <w:rsid w:val="007F157B"/>
    <w:rsid w:val="007F2D24"/>
    <w:rsid w:val="007F700D"/>
    <w:rsid w:val="008073AD"/>
    <w:rsid w:val="00811DE5"/>
    <w:rsid w:val="00815CB0"/>
    <w:rsid w:val="0081706F"/>
    <w:rsid w:val="00831995"/>
    <w:rsid w:val="0083380C"/>
    <w:rsid w:val="008344B3"/>
    <w:rsid w:val="00837007"/>
    <w:rsid w:val="00862EAE"/>
    <w:rsid w:val="00880B93"/>
    <w:rsid w:val="008A0D8A"/>
    <w:rsid w:val="008E49EE"/>
    <w:rsid w:val="0090140E"/>
    <w:rsid w:val="00907BA7"/>
    <w:rsid w:val="009233F0"/>
    <w:rsid w:val="0092610E"/>
    <w:rsid w:val="00944999"/>
    <w:rsid w:val="00950E78"/>
    <w:rsid w:val="009650EE"/>
    <w:rsid w:val="00984167"/>
    <w:rsid w:val="00987D35"/>
    <w:rsid w:val="00990B1A"/>
    <w:rsid w:val="00990F8E"/>
    <w:rsid w:val="009B5AB6"/>
    <w:rsid w:val="009C62D9"/>
    <w:rsid w:val="009D6B03"/>
    <w:rsid w:val="00A05A49"/>
    <w:rsid w:val="00A1442C"/>
    <w:rsid w:val="00A16CCD"/>
    <w:rsid w:val="00A50120"/>
    <w:rsid w:val="00A5045F"/>
    <w:rsid w:val="00A75F59"/>
    <w:rsid w:val="00A833A8"/>
    <w:rsid w:val="00A91246"/>
    <w:rsid w:val="00AB4305"/>
    <w:rsid w:val="00AB7647"/>
    <w:rsid w:val="00AC54D0"/>
    <w:rsid w:val="00AE0C77"/>
    <w:rsid w:val="00AE78C9"/>
    <w:rsid w:val="00AF24AB"/>
    <w:rsid w:val="00AF3F60"/>
    <w:rsid w:val="00B028D1"/>
    <w:rsid w:val="00B101D7"/>
    <w:rsid w:val="00B112E2"/>
    <w:rsid w:val="00B25139"/>
    <w:rsid w:val="00B31C5F"/>
    <w:rsid w:val="00B3313F"/>
    <w:rsid w:val="00B46992"/>
    <w:rsid w:val="00B472C7"/>
    <w:rsid w:val="00B55E58"/>
    <w:rsid w:val="00B62487"/>
    <w:rsid w:val="00B746EB"/>
    <w:rsid w:val="00B83D99"/>
    <w:rsid w:val="00B87D0E"/>
    <w:rsid w:val="00B91534"/>
    <w:rsid w:val="00BA3E05"/>
    <w:rsid w:val="00BA3E4D"/>
    <w:rsid w:val="00BA49EA"/>
    <w:rsid w:val="00BA604D"/>
    <w:rsid w:val="00BD6FBD"/>
    <w:rsid w:val="00BE4A01"/>
    <w:rsid w:val="00BF5CCB"/>
    <w:rsid w:val="00C006FA"/>
    <w:rsid w:val="00C10459"/>
    <w:rsid w:val="00C123A1"/>
    <w:rsid w:val="00C30920"/>
    <w:rsid w:val="00C33BCF"/>
    <w:rsid w:val="00C56BC6"/>
    <w:rsid w:val="00C75A05"/>
    <w:rsid w:val="00C85D67"/>
    <w:rsid w:val="00C931AA"/>
    <w:rsid w:val="00C95489"/>
    <w:rsid w:val="00CA6943"/>
    <w:rsid w:val="00CE3CC0"/>
    <w:rsid w:val="00CF1A81"/>
    <w:rsid w:val="00D044FD"/>
    <w:rsid w:val="00D309A0"/>
    <w:rsid w:val="00D4211A"/>
    <w:rsid w:val="00D60485"/>
    <w:rsid w:val="00D60DCA"/>
    <w:rsid w:val="00D62019"/>
    <w:rsid w:val="00D72696"/>
    <w:rsid w:val="00D77ED4"/>
    <w:rsid w:val="00D83DB1"/>
    <w:rsid w:val="00D8795C"/>
    <w:rsid w:val="00D87E35"/>
    <w:rsid w:val="00D917C8"/>
    <w:rsid w:val="00D929B2"/>
    <w:rsid w:val="00DB373A"/>
    <w:rsid w:val="00DD3FA5"/>
    <w:rsid w:val="00DE3CCA"/>
    <w:rsid w:val="00DE3D18"/>
    <w:rsid w:val="00DE452D"/>
    <w:rsid w:val="00E0203F"/>
    <w:rsid w:val="00E12B5C"/>
    <w:rsid w:val="00E1475E"/>
    <w:rsid w:val="00E33357"/>
    <w:rsid w:val="00E344DC"/>
    <w:rsid w:val="00E4402E"/>
    <w:rsid w:val="00E512A9"/>
    <w:rsid w:val="00E5149B"/>
    <w:rsid w:val="00E9032A"/>
    <w:rsid w:val="00E95BD9"/>
    <w:rsid w:val="00EA4364"/>
    <w:rsid w:val="00EA5344"/>
    <w:rsid w:val="00EC5E11"/>
    <w:rsid w:val="00F019F8"/>
    <w:rsid w:val="00F208EF"/>
    <w:rsid w:val="00F32F43"/>
    <w:rsid w:val="00F42CDF"/>
    <w:rsid w:val="00F51619"/>
    <w:rsid w:val="00F54D0C"/>
    <w:rsid w:val="00F808A7"/>
    <w:rsid w:val="00F80CD2"/>
    <w:rsid w:val="00FB282B"/>
    <w:rsid w:val="00FB2E13"/>
    <w:rsid w:val="00FC39AF"/>
    <w:rsid w:val="00FC4D5C"/>
    <w:rsid w:val="00FC5BD8"/>
    <w:rsid w:val="00FE6A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DB9C4"/>
  <w15:docId w15:val="{34451B7E-8CBB-4A8F-9E32-FE5A32D7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5D78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unhideWhenUsed/>
    <w:qFormat/>
    <w:rsid w:val="004475C6"/>
    <w:pPr>
      <w:spacing w:before="360" w:after="120" w:line="240" w:lineRule="auto"/>
      <w:outlineLvl w:val="6"/>
    </w:pPr>
    <w:rPr>
      <w:rFonts w:ascii="Gill Sans MT" w:eastAsia="Garamond" w:hAnsi="Gill Sans MT" w:cs="Garamond"/>
      <w:b/>
      <w:i/>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5D78F1"/>
    <w:pPr>
      <w:spacing w:before="360" w:after="240" w:line="240" w:lineRule="auto"/>
      <w:jc w:val="center"/>
    </w:pPr>
    <w:rPr>
      <w:rFonts w:ascii="Gill Sans MT" w:hAnsi="Gill Sans MT"/>
      <w:b/>
      <w:i/>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5D78F1"/>
    <w:rPr>
      <w:rFonts w:ascii="Gill Sans MT" w:hAnsi="Gill Sans MT"/>
      <w:b/>
      <w:i/>
      <w:sz w:val="36"/>
      <w:szCs w:val="36"/>
    </w:rPr>
  </w:style>
  <w:style w:type="paragraph" w:customStyle="1" w:styleId="Subhead2sl">
    <w:name w:val="Subhead 2_sl"/>
    <w:basedOn w:val="Normal"/>
    <w:link w:val="Subhead2slChar"/>
    <w:qFormat/>
    <w:rsid w:val="00F42CDF"/>
    <w:pPr>
      <w:spacing w:before="36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F42CDF"/>
    <w:pPr>
      <w:spacing w:after="120"/>
    </w:pPr>
    <w:rPr>
      <w:rFonts w:ascii="Garamond" w:hAnsi="Garamond"/>
      <w:sz w:val="24"/>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4475C6"/>
    <w:pPr>
      <w:numPr>
        <w:numId w:val="1"/>
      </w:numPr>
      <w:spacing w:after="120"/>
    </w:pPr>
    <w:rPr>
      <w:rFonts w:ascii="Garamond" w:hAnsi="Garamond"/>
      <w:sz w:val="24"/>
      <w:szCs w:val="24"/>
    </w:rPr>
  </w:style>
  <w:style w:type="character" w:customStyle="1" w:styleId="BasiccopyslChar">
    <w:name w:val="Basic copy_sl Char"/>
    <w:basedOn w:val="DefaultParagraphFont"/>
    <w:link w:val="Basiccopysl"/>
    <w:rsid w:val="00F42CDF"/>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4475C6"/>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semiHidden/>
    <w:unhideWhenUsed/>
    <w:rsid w:val="00F42CDF"/>
    <w:pPr>
      <w:spacing w:before="100" w:beforeAutospacing="1" w:after="100" w:afterAutospacing="1" w:line="240" w:lineRule="auto"/>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pPr>
      <w:spacing w:line="240" w:lineRule="auto"/>
    </w:pPr>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semiHidden/>
    <w:rsid w:val="005D78F1"/>
    <w:rPr>
      <w:rFonts w:asciiTheme="majorHAnsi" w:eastAsiaTheme="majorEastAsia" w:hAnsiTheme="majorHAnsi" w:cstheme="majorBidi"/>
      <w:color w:val="365F91" w:themeColor="accent1" w:themeShade="BF"/>
      <w:sz w:val="26"/>
      <w:szCs w:val="26"/>
    </w:rPr>
  </w:style>
  <w:style w:type="paragraph" w:customStyle="1" w:styleId="Amendmentprecedentbulletsl">
    <w:name w:val="Amendment/precedent bullet_sl"/>
    <w:basedOn w:val="Bulletsl"/>
    <w:qFormat/>
    <w:rsid w:val="005D78F1"/>
    <w:pPr>
      <w:spacing w:before="240"/>
    </w:pPr>
    <w:rPr>
      <w:b/>
    </w:rPr>
  </w:style>
  <w:style w:type="paragraph" w:customStyle="1" w:styleId="Indentedbasiccopysl">
    <w:name w:val="Indented basic copy_sl"/>
    <w:basedOn w:val="Basiccopysl"/>
    <w:qFormat/>
    <w:rsid w:val="005D78F1"/>
    <w:pPr>
      <w:ind w:left="720"/>
    </w:pPr>
  </w:style>
  <w:style w:type="paragraph" w:customStyle="1" w:styleId="Argueddecideddatessl">
    <w:name w:val="Argued/decided dates_sl"/>
    <w:basedOn w:val="Basiccopysl"/>
    <w:qFormat/>
    <w:rsid w:val="005D78F1"/>
    <w:pPr>
      <w:spacing w:after="0"/>
      <w:jc w:val="center"/>
    </w:pPr>
    <w:rPr>
      <w:b/>
    </w:rPr>
  </w:style>
  <w:style w:type="character" w:customStyle="1" w:styleId="Heading7Char">
    <w:name w:val="Heading 7 Char"/>
    <w:basedOn w:val="DefaultParagraphFont"/>
    <w:link w:val="Heading7"/>
    <w:uiPriority w:val="9"/>
    <w:rsid w:val="004475C6"/>
    <w:rPr>
      <w:rFonts w:ascii="Gill Sans MT" w:eastAsia="Garamond" w:hAnsi="Gill Sans MT" w:cs="Garamond"/>
      <w:b/>
      <w:i/>
      <w:sz w:val="24"/>
      <w:szCs w:val="24"/>
      <w:lang w:val="en"/>
    </w:rPr>
  </w:style>
  <w:style w:type="paragraph" w:styleId="NoSpacing">
    <w:name w:val="No Spacing"/>
    <w:basedOn w:val="Normal"/>
    <w:uiPriority w:val="1"/>
    <w:qFormat/>
    <w:rsid w:val="004475C6"/>
    <w:pPr>
      <w:tabs>
        <w:tab w:val="left" w:pos="1080"/>
      </w:tabs>
      <w:spacing w:line="240" w:lineRule="auto"/>
    </w:pPr>
    <w:rPr>
      <w:rFonts w:ascii="Garamond" w:eastAsia="Garamond" w:hAnsi="Garamond" w:cs="Garamond"/>
      <w:color w:val="222222"/>
      <w:sz w:val="24"/>
      <w:szCs w:val="24"/>
      <w:lang w:val="en"/>
    </w:rPr>
  </w:style>
  <w:style w:type="paragraph" w:customStyle="1" w:styleId="Glossarybulletssl">
    <w:name w:val="Glossary bullets_sl"/>
    <w:qFormat/>
    <w:rsid w:val="007F2D24"/>
    <w:pPr>
      <w:numPr>
        <w:numId w:val="20"/>
      </w:numPr>
      <w:spacing w:after="120" w:line="360" w:lineRule="auto"/>
    </w:pPr>
    <w:rPr>
      <w:rFonts w:ascii="Garamond" w:hAnsi="Garamond"/>
      <w:sz w:val="24"/>
      <w:szCs w:val="24"/>
    </w:rPr>
  </w:style>
  <w:style w:type="character" w:customStyle="1" w:styleId="Glossarytermsl">
    <w:name w:val="Glossary term_sl"/>
    <w:uiPriority w:val="1"/>
    <w:qFormat/>
    <w:rsid w:val="007F2D24"/>
    <w:rPr>
      <w:rFonts w:ascii="Garamond" w:hAnsi="Garamond" w:hint="default"/>
      <w:b/>
      <w:bCs w:val="0"/>
      <w:sz w:val="24"/>
      <w:u w:val="single"/>
    </w:rPr>
  </w:style>
  <w:style w:type="paragraph" w:customStyle="1" w:styleId="BasicParagraph">
    <w:name w:val="[Basic Paragraph]"/>
    <w:basedOn w:val="Normal"/>
    <w:uiPriority w:val="99"/>
    <w:rsid w:val="00310DE7"/>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D72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_indented_sl"/>
    <w:basedOn w:val="Basiccopysl"/>
    <w:qFormat/>
    <w:rsid w:val="008073AD"/>
    <w:pPr>
      <w:ind w:left="720"/>
    </w:pPr>
    <w:rPr>
      <w:rFonts w:eastAsia="Times New Roman" w:cs="Times New Roman"/>
    </w:rPr>
  </w:style>
  <w:style w:type="paragraph" w:styleId="ListParagraph">
    <w:name w:val="List Paragraph"/>
    <w:basedOn w:val="Normal"/>
    <w:uiPriority w:val="1"/>
    <w:qFormat/>
    <w:rsid w:val="006A1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81938">
      <w:bodyDiv w:val="1"/>
      <w:marLeft w:val="0"/>
      <w:marRight w:val="0"/>
      <w:marTop w:val="0"/>
      <w:marBottom w:val="0"/>
      <w:divBdr>
        <w:top w:val="none" w:sz="0" w:space="0" w:color="auto"/>
        <w:left w:val="none" w:sz="0" w:space="0" w:color="auto"/>
        <w:bottom w:val="none" w:sz="0" w:space="0" w:color="auto"/>
        <w:right w:val="none" w:sz="0" w:space="0" w:color="auto"/>
      </w:divBdr>
    </w:div>
    <w:div w:id="16829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heeler\Download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5586A-230E-4612-BC10-773575A616FE}">
  <ds:schemaRefs>
    <ds:schemaRef ds:uri="http://schemas.openxmlformats.org/officeDocument/2006/bibliography"/>
  </ds:schemaRefs>
</ds:datastoreItem>
</file>

<file path=customXml/itemProps2.xml><?xml version="1.0" encoding="utf-8"?>
<ds:datastoreItem xmlns:ds="http://schemas.openxmlformats.org/officeDocument/2006/customXml" ds:itemID="{5E2D2572-5846-4BE0-BBD1-99DEDCF02369}">
  <ds:schemaRefs>
    <ds:schemaRef ds:uri="http://schemas.microsoft.com/sharepoint/v3/contenttype/forms"/>
  </ds:schemaRefs>
</ds:datastoreItem>
</file>

<file path=customXml/itemProps3.xml><?xml version="1.0" encoding="utf-8"?>
<ds:datastoreItem xmlns:ds="http://schemas.openxmlformats.org/officeDocument/2006/customXml" ds:itemID="{A41E959D-24F2-465E-B978-77D612EB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2</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Hawkins</dc:creator>
  <cp:lastModifiedBy>Allison Hawkins</cp:lastModifiedBy>
  <cp:revision>4</cp:revision>
  <dcterms:created xsi:type="dcterms:W3CDTF">2021-09-28T13:26:00Z</dcterms:created>
  <dcterms:modified xsi:type="dcterms:W3CDTF">2024-01-23T18:34:00Z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