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C3B1" w14:textId="285F00DE" w:rsidR="002F3EF7" w:rsidRDefault="00AF4CD3" w:rsidP="002F3EF7">
      <w:pPr>
        <w:pStyle w:val="Title2sl"/>
        <w:spacing w:before="240"/>
        <w:jc w:val="center"/>
        <w:rPr>
          <w:i/>
        </w:rPr>
      </w:pPr>
      <w:r>
        <w:rPr>
          <w:i/>
        </w:rPr>
        <w:t>Regents of the University of California</w:t>
      </w:r>
      <w:r w:rsidR="002F3EF7">
        <w:rPr>
          <w:i/>
        </w:rPr>
        <w:t xml:space="preserve"> v. </w:t>
      </w:r>
      <w:r>
        <w:rPr>
          <w:i/>
        </w:rPr>
        <w:t>Bakke</w:t>
      </w:r>
      <w:r w:rsidR="002F3EF7">
        <w:rPr>
          <w:i/>
        </w:rPr>
        <w:t xml:space="preserve"> </w:t>
      </w:r>
      <w:r w:rsidR="002F3EF7" w:rsidRPr="006E5D98">
        <w:t>(</w:t>
      </w:r>
      <w:r w:rsidR="002F3EF7">
        <w:t>19</w:t>
      </w:r>
      <w:r>
        <w:t>78</w:t>
      </w:r>
      <w:r w:rsidR="002F3EF7" w:rsidRPr="006E5D98">
        <w:t>)</w:t>
      </w:r>
    </w:p>
    <w:p w14:paraId="29ED5723" w14:textId="7465B929" w:rsidR="002F3EF7" w:rsidRDefault="002F3EF7" w:rsidP="00BE7530">
      <w:pPr>
        <w:pStyle w:val="Basiccopysl"/>
        <w:jc w:val="center"/>
        <w:rPr>
          <w:color w:val="333333"/>
          <w:shd w:val="clear" w:color="auto" w:fill="FFFFFF"/>
        </w:rPr>
      </w:pPr>
      <w:r w:rsidRPr="003B7776">
        <w:rPr>
          <w:b/>
          <w:bCs/>
        </w:rPr>
        <w:t>Argued:</w:t>
      </w:r>
      <w:r>
        <w:t xml:space="preserve"> </w:t>
      </w:r>
      <w:r w:rsidR="00AF4CD3">
        <w:t>October 12, 1977</w:t>
      </w:r>
    </w:p>
    <w:p w14:paraId="11349A88" w14:textId="58E45F7C" w:rsidR="002F3EF7" w:rsidRDefault="002F3EF7" w:rsidP="00BE7530">
      <w:pPr>
        <w:pStyle w:val="Basiccopysl"/>
        <w:jc w:val="center"/>
        <w:rPr>
          <w:color w:val="333333"/>
          <w:shd w:val="clear" w:color="auto" w:fill="FFFFFF"/>
        </w:rPr>
      </w:pPr>
      <w:r w:rsidRPr="003B7776">
        <w:rPr>
          <w:b/>
          <w:bCs/>
          <w:color w:val="333333"/>
          <w:shd w:val="clear" w:color="auto" w:fill="FFFFFF"/>
        </w:rPr>
        <w:t>Decided:</w:t>
      </w:r>
      <w:r>
        <w:rPr>
          <w:color w:val="333333"/>
          <w:shd w:val="clear" w:color="auto" w:fill="FFFFFF"/>
        </w:rPr>
        <w:t xml:space="preserve"> June </w:t>
      </w:r>
      <w:r w:rsidR="00AF4CD3">
        <w:rPr>
          <w:color w:val="333333"/>
          <w:shd w:val="clear" w:color="auto" w:fill="FFFFFF"/>
        </w:rPr>
        <w:t>26, 1978</w:t>
      </w:r>
    </w:p>
    <w:p w14:paraId="2A190B74" w14:textId="330BF043" w:rsidR="002F3EF7" w:rsidRDefault="002F3EF7" w:rsidP="002F3EF7">
      <w:pPr>
        <w:pStyle w:val="Subhead2sl"/>
      </w:pPr>
      <w:r>
        <w:t>Background</w:t>
      </w:r>
      <w:r w:rsidR="00BE7530">
        <w:t xml:space="preserve"> and Facts</w:t>
      </w:r>
    </w:p>
    <w:p w14:paraId="343C2141" w14:textId="13AF848C" w:rsidR="00C510FE" w:rsidRPr="002D299C" w:rsidRDefault="00C510FE" w:rsidP="00BE7530">
      <w:pPr>
        <w:pStyle w:val="Bulletsl"/>
        <w:numPr>
          <w:ilvl w:val="0"/>
          <w:numId w:val="0"/>
        </w:numPr>
        <w:spacing w:line="276" w:lineRule="auto"/>
      </w:pPr>
      <w:r w:rsidRPr="00C510FE">
        <w:rPr>
          <w:bCs/>
        </w:rPr>
        <w:t xml:space="preserve">The </w:t>
      </w:r>
      <w:r w:rsidRPr="00FB4EF3">
        <w:rPr>
          <w:b/>
          <w:bCs/>
          <w:u w:val="single"/>
        </w:rPr>
        <w:t>Equal Protection Clause</w:t>
      </w:r>
      <w:r w:rsidRPr="00BE7530">
        <w:rPr>
          <w:bCs/>
        </w:rPr>
        <w:t xml:space="preserve"> </w:t>
      </w:r>
      <w:r w:rsidRPr="00C510FE">
        <w:rPr>
          <w:bCs/>
        </w:rPr>
        <w:t>of</w:t>
      </w:r>
      <w:r>
        <w:rPr>
          <w:b/>
        </w:rPr>
        <w:t xml:space="preserve"> </w:t>
      </w:r>
      <w:r w:rsidRPr="00C510FE">
        <w:rPr>
          <w:bCs/>
        </w:rPr>
        <w:t>14</w:t>
      </w:r>
      <w:r w:rsidRPr="00BE7530">
        <w:rPr>
          <w:bCs/>
          <w:vertAlign w:val="superscript"/>
        </w:rPr>
        <w:t>t</w:t>
      </w:r>
      <w:r w:rsidR="00490EAC" w:rsidRPr="00BE7530">
        <w:rPr>
          <w:bCs/>
          <w:vertAlign w:val="superscript"/>
        </w:rPr>
        <w:t>h</w:t>
      </w:r>
      <w:r w:rsidRPr="00C510FE">
        <w:rPr>
          <w:bCs/>
        </w:rPr>
        <w:t xml:space="preserve"> Amendment to the U.S. Constitution</w:t>
      </w:r>
      <w:r>
        <w:rPr>
          <w:bCs/>
        </w:rPr>
        <w:t xml:space="preserve"> states that, </w:t>
      </w:r>
      <w:r>
        <w:t xml:space="preserve">“No State shall…deny to any person within its </w:t>
      </w:r>
      <w:r w:rsidRPr="00BE7530">
        <w:rPr>
          <w:b/>
          <w:bCs/>
          <w:u w:val="single"/>
        </w:rPr>
        <w:t>jurisdiction</w:t>
      </w:r>
      <w:r>
        <w:t xml:space="preserve"> the equal protection of the laws.” It is used to ensure that individuals are treated equally by states, regardless of their race, gender, or nationality. </w:t>
      </w:r>
    </w:p>
    <w:p w14:paraId="30F509A7" w14:textId="168AEEB3" w:rsidR="002F3EF7" w:rsidRPr="00C31D04" w:rsidRDefault="00022006" w:rsidP="002F3EF7">
      <w:pPr>
        <w:pStyle w:val="Bulletsl"/>
        <w:numPr>
          <w:ilvl w:val="0"/>
          <w:numId w:val="0"/>
        </w:numPr>
        <w:spacing w:line="276" w:lineRule="auto"/>
      </w:pPr>
      <w:r>
        <w:t>The Supreme</w:t>
      </w:r>
      <w:r w:rsidR="00C85B6F" w:rsidRPr="00C31D04">
        <w:t xml:space="preserve"> Court’s decision in </w:t>
      </w:r>
      <w:r w:rsidR="00C85B6F" w:rsidRPr="00C31D04">
        <w:rPr>
          <w:i/>
          <w:iCs/>
        </w:rPr>
        <w:t>Brown v. Board of Educati</w:t>
      </w:r>
      <w:r w:rsidR="00093BCC">
        <w:rPr>
          <w:i/>
          <w:iCs/>
        </w:rPr>
        <w:t>on</w:t>
      </w:r>
      <w:r w:rsidR="00C510FE">
        <w:rPr>
          <w:i/>
          <w:iCs/>
        </w:rPr>
        <w:t xml:space="preserve"> </w:t>
      </w:r>
      <w:r w:rsidR="00C510FE" w:rsidRPr="00BE7530">
        <w:t>(1954)</w:t>
      </w:r>
      <w:r w:rsidR="00C510FE">
        <w:rPr>
          <w:i/>
          <w:iCs/>
        </w:rPr>
        <w:t xml:space="preserve"> </w:t>
      </w:r>
      <w:r>
        <w:t>made it so that</w:t>
      </w:r>
      <w:r w:rsidR="00093BCC">
        <w:rPr>
          <w:i/>
          <w:iCs/>
        </w:rPr>
        <w:t xml:space="preserve"> </w:t>
      </w:r>
      <w:r w:rsidR="00C85B6F" w:rsidRPr="00C31D04">
        <w:t xml:space="preserve">public schools </w:t>
      </w:r>
      <w:r w:rsidR="00E81444">
        <w:t>had</w:t>
      </w:r>
      <w:r w:rsidR="00C85B6F" w:rsidRPr="00C31D04">
        <w:t xml:space="preserve"> to stop </w:t>
      </w:r>
      <w:r w:rsidR="00093BCC" w:rsidRPr="00FB4EF3">
        <w:rPr>
          <w:b/>
          <w:bCs/>
          <w:u w:val="single"/>
        </w:rPr>
        <w:t>discriminat</w:t>
      </w:r>
      <w:r w:rsidR="00895DD5" w:rsidRPr="00FB4EF3">
        <w:rPr>
          <w:b/>
          <w:bCs/>
          <w:u w:val="single"/>
        </w:rPr>
        <w:t>ing</w:t>
      </w:r>
      <w:r w:rsidR="00093BCC">
        <w:t xml:space="preserve"> </w:t>
      </w:r>
      <w:r w:rsidR="007202F3">
        <w:t>based on</w:t>
      </w:r>
      <w:r w:rsidR="00093BCC">
        <w:t xml:space="preserve"> race</w:t>
      </w:r>
      <w:r w:rsidR="00941EA4">
        <w:t>.</w:t>
      </w:r>
      <w:r w:rsidR="00C85B6F" w:rsidRPr="00C31D04">
        <w:t xml:space="preserve"> </w:t>
      </w:r>
      <w:r w:rsidR="0067576D">
        <w:t>This</w:t>
      </w:r>
      <w:r w:rsidR="007202F3">
        <w:t xml:space="preserve"> helped</w:t>
      </w:r>
      <w:r w:rsidR="0067576D">
        <w:t xml:space="preserve"> </w:t>
      </w:r>
      <w:r w:rsidR="007202F3">
        <w:t xml:space="preserve">give </w:t>
      </w:r>
      <w:r w:rsidR="00796D1F">
        <w:t>all students</w:t>
      </w:r>
      <w:r w:rsidR="0067576D">
        <w:t xml:space="preserve"> access to </w:t>
      </w:r>
      <w:r w:rsidR="00796D1F">
        <w:t>the same</w:t>
      </w:r>
      <w:r w:rsidR="00DE38A4">
        <w:t xml:space="preserve"> </w:t>
      </w:r>
      <w:r w:rsidR="0067576D">
        <w:t>education</w:t>
      </w:r>
      <w:r w:rsidR="00796D1F">
        <w:t>al opportunities</w:t>
      </w:r>
      <w:r w:rsidR="0067576D">
        <w:t xml:space="preserve">. </w:t>
      </w:r>
      <w:r w:rsidR="007237FB">
        <w:t>T</w:t>
      </w:r>
      <w:r w:rsidR="00C85B6F" w:rsidRPr="00C31D04">
        <w:t>he decision</w:t>
      </w:r>
      <w:r w:rsidR="00093BCC">
        <w:t xml:space="preserve"> in </w:t>
      </w:r>
      <w:r w:rsidR="00093BCC" w:rsidRPr="00093BCC">
        <w:rPr>
          <w:i/>
          <w:iCs/>
        </w:rPr>
        <w:t>Brown</w:t>
      </w:r>
      <w:r w:rsidR="00C85B6F" w:rsidRPr="00C31D04">
        <w:t xml:space="preserve"> did not </w:t>
      </w:r>
      <w:r w:rsidR="00941EA4">
        <w:t>specifically</w:t>
      </w:r>
      <w:r w:rsidR="00C85B6F" w:rsidRPr="00C31D04">
        <w:t xml:space="preserve"> </w:t>
      </w:r>
      <w:r w:rsidR="00796D1F">
        <w:t xml:space="preserve">state that it </w:t>
      </w:r>
      <w:r w:rsidR="00C85B6F" w:rsidRPr="00C31D04">
        <w:t>appl</w:t>
      </w:r>
      <w:r w:rsidR="00796D1F">
        <w:t>ied</w:t>
      </w:r>
      <w:r w:rsidR="00C85B6F" w:rsidRPr="00C31D04">
        <w:t xml:space="preserve"> to </w:t>
      </w:r>
      <w:r w:rsidR="0063562A">
        <w:t>universities</w:t>
      </w:r>
      <w:r w:rsidR="007237FB">
        <w:t xml:space="preserve">. </w:t>
      </w:r>
      <w:r w:rsidR="00991578">
        <w:t>Even so</w:t>
      </w:r>
      <w:r w:rsidR="007237FB">
        <w:t xml:space="preserve">, </w:t>
      </w:r>
      <w:r w:rsidR="00C85B6F" w:rsidRPr="00C31D04">
        <w:t>the r</w:t>
      </w:r>
      <w:r w:rsidR="009A633A">
        <w:t>easonin</w:t>
      </w:r>
      <w:r w:rsidR="0067576D">
        <w:t xml:space="preserve">g </w:t>
      </w:r>
      <w:r w:rsidR="00C85B6F" w:rsidRPr="00C31D04">
        <w:t>behind</w:t>
      </w:r>
      <w:r w:rsidR="00093BCC">
        <w:t xml:space="preserve"> it</w:t>
      </w:r>
      <w:r w:rsidR="0067576D">
        <w:t xml:space="preserve"> </w:t>
      </w:r>
      <w:r w:rsidR="007237FB">
        <w:t>applied to public universities</w:t>
      </w:r>
      <w:r w:rsidR="0063562A">
        <w:t xml:space="preserve"> as wel</w:t>
      </w:r>
      <w:r w:rsidR="00796D1F">
        <w:t>l because they also receive funding from the government</w:t>
      </w:r>
      <w:r w:rsidR="0063562A">
        <w:t xml:space="preserve">. </w:t>
      </w:r>
    </w:p>
    <w:p w14:paraId="7462E1F2" w14:textId="1D57E62B" w:rsidR="0049773E" w:rsidRDefault="003269B2" w:rsidP="0049773E">
      <w:pPr>
        <w:pStyle w:val="Bulletsl"/>
        <w:numPr>
          <w:ilvl w:val="0"/>
          <w:numId w:val="0"/>
        </w:numPr>
        <w:spacing w:line="276" w:lineRule="auto"/>
      </w:pPr>
      <w:r>
        <w:t>To</w:t>
      </w:r>
      <w:r w:rsidR="00C85B6F" w:rsidRPr="00C31D04">
        <w:t xml:space="preserve"> increase diversity, many </w:t>
      </w:r>
      <w:r w:rsidR="009A633A">
        <w:t>universities</w:t>
      </w:r>
      <w:r w:rsidR="00C85B6F" w:rsidRPr="00C31D04">
        <w:t xml:space="preserve"> </w:t>
      </w:r>
      <w:r w:rsidR="0063562A">
        <w:t xml:space="preserve">used </w:t>
      </w:r>
      <w:r w:rsidR="00C85B6F" w:rsidRPr="00796D1F">
        <w:rPr>
          <w:b/>
          <w:bCs/>
          <w:u w:val="single"/>
        </w:rPr>
        <w:t>affirmative action</w:t>
      </w:r>
      <w:r w:rsidR="00C85B6F" w:rsidRPr="00C31D04">
        <w:t xml:space="preserve"> programs. These </w:t>
      </w:r>
      <w:r w:rsidR="003B7776">
        <w:t>programs</w:t>
      </w:r>
      <w:r w:rsidR="00C85B6F" w:rsidRPr="00C31D04">
        <w:t xml:space="preserve"> were </w:t>
      </w:r>
      <w:r w:rsidR="00796D1F">
        <w:t>an attempt t</w:t>
      </w:r>
      <w:r w:rsidR="00C85B6F" w:rsidRPr="00C31D04">
        <w:t xml:space="preserve">o </w:t>
      </w:r>
      <w:r w:rsidR="00BE7530">
        <w:t xml:space="preserve">undo </w:t>
      </w:r>
      <w:r w:rsidR="002B5D14">
        <w:t>the</w:t>
      </w:r>
      <w:r w:rsidR="00C85B6F" w:rsidRPr="00C31D04">
        <w:t xml:space="preserve"> effects </w:t>
      </w:r>
      <w:r w:rsidR="00277626">
        <w:t xml:space="preserve">of </w:t>
      </w:r>
      <w:r w:rsidR="00C85B6F" w:rsidRPr="00C31D04">
        <w:t xml:space="preserve">discrimination throughout history. </w:t>
      </w:r>
      <w:r w:rsidR="00796D1F">
        <w:t>Universities also believed having a diverse student body would benefit all students. Affirmative action programs were sometimes</w:t>
      </w:r>
      <w:r w:rsidR="0067576D">
        <w:t xml:space="preserve"> done</w:t>
      </w:r>
      <w:r w:rsidR="00707565">
        <w:t xml:space="preserve"> </w:t>
      </w:r>
      <w:r w:rsidR="008667DB" w:rsidRPr="00C31D04">
        <w:t xml:space="preserve">through </w:t>
      </w:r>
      <w:r w:rsidR="0088105B">
        <w:t xml:space="preserve">the use of </w:t>
      </w:r>
      <w:r w:rsidR="008667DB" w:rsidRPr="00FB4EF3">
        <w:rPr>
          <w:b/>
          <w:bCs/>
          <w:u w:val="single"/>
        </w:rPr>
        <w:t>quotas</w:t>
      </w:r>
      <w:r w:rsidR="008667DB" w:rsidRPr="00C31D04">
        <w:t xml:space="preserve">, recruitment programs, and </w:t>
      </w:r>
      <w:r w:rsidR="0049773E">
        <w:t xml:space="preserve">other </w:t>
      </w:r>
      <w:r w:rsidR="008667DB" w:rsidRPr="00C31D04">
        <w:t xml:space="preserve">race-based </w:t>
      </w:r>
      <w:r w:rsidR="004A3FB8">
        <w:t>factors.</w:t>
      </w:r>
    </w:p>
    <w:p w14:paraId="71EECDCF" w14:textId="5025D3D7" w:rsidR="00756617" w:rsidRPr="0049773E" w:rsidRDefault="008A1BBF" w:rsidP="0049773E">
      <w:pPr>
        <w:pStyle w:val="Bulletsl"/>
        <w:numPr>
          <w:ilvl w:val="0"/>
          <w:numId w:val="0"/>
        </w:numPr>
        <w:spacing w:line="276" w:lineRule="auto"/>
      </w:pPr>
      <w:r w:rsidRPr="00756617">
        <w:rPr>
          <w:bCs/>
          <w:iCs/>
        </w:rPr>
        <w:t xml:space="preserve">Affirmative action </w:t>
      </w:r>
      <w:r w:rsidRPr="00C53D8A">
        <w:rPr>
          <w:bCs/>
          <w:iCs/>
        </w:rPr>
        <w:t>programs</w:t>
      </w:r>
      <w:r w:rsidR="0067576D" w:rsidRPr="00C53D8A">
        <w:rPr>
          <w:bCs/>
          <w:iCs/>
        </w:rPr>
        <w:t xml:space="preserve"> became controversial</w:t>
      </w:r>
      <w:r w:rsidR="00621B9F">
        <w:rPr>
          <w:bCs/>
          <w:iCs/>
        </w:rPr>
        <w:t xml:space="preserve"> </w:t>
      </w:r>
      <w:r w:rsidR="009E3CD5">
        <w:rPr>
          <w:bCs/>
          <w:iCs/>
        </w:rPr>
        <w:t>quickly</w:t>
      </w:r>
      <w:r w:rsidR="0067576D" w:rsidRPr="00C53D8A">
        <w:rPr>
          <w:bCs/>
          <w:iCs/>
        </w:rPr>
        <w:t xml:space="preserve">. </w:t>
      </w:r>
      <w:r w:rsidR="002B5D14">
        <w:rPr>
          <w:bCs/>
          <w:iCs/>
        </w:rPr>
        <w:t xml:space="preserve">Critics </w:t>
      </w:r>
      <w:r w:rsidR="00E81444">
        <w:rPr>
          <w:bCs/>
          <w:iCs/>
        </w:rPr>
        <w:t xml:space="preserve">called them </w:t>
      </w:r>
      <w:r w:rsidR="005C1758" w:rsidRPr="00756617">
        <w:rPr>
          <w:bCs/>
          <w:iCs/>
        </w:rPr>
        <w:t>“reverse discrimination</w:t>
      </w:r>
      <w:r w:rsidR="00BE7530">
        <w:rPr>
          <w:bCs/>
          <w:iCs/>
        </w:rPr>
        <w:t>.</w:t>
      </w:r>
      <w:r w:rsidR="00C53D8A">
        <w:rPr>
          <w:bCs/>
          <w:iCs/>
        </w:rPr>
        <w:t>”</w:t>
      </w:r>
      <w:r w:rsidR="00B53B4A">
        <w:rPr>
          <w:b/>
          <w:bCs/>
          <w:i/>
          <w:iCs/>
        </w:rPr>
        <w:t xml:space="preserve"> </w:t>
      </w:r>
      <w:r w:rsidR="00B53B4A" w:rsidRPr="00C53D8A">
        <w:t xml:space="preserve">They </w:t>
      </w:r>
      <w:r w:rsidR="00757626">
        <w:t>did</w:t>
      </w:r>
      <w:r w:rsidR="009E3CD5">
        <w:t xml:space="preserve"> not</w:t>
      </w:r>
      <w:r w:rsidR="00757626">
        <w:t xml:space="preserve"> </w:t>
      </w:r>
      <w:r w:rsidR="0063562A">
        <w:t xml:space="preserve">think </w:t>
      </w:r>
      <w:r w:rsidR="00B53B4A" w:rsidRPr="00C53D8A">
        <w:t>th</w:t>
      </w:r>
      <w:r w:rsidR="00757626">
        <w:t>at a person’s race</w:t>
      </w:r>
      <w:r w:rsidR="00527DC6" w:rsidRPr="00756617">
        <w:rPr>
          <w:bCs/>
          <w:iCs/>
        </w:rPr>
        <w:t xml:space="preserve"> should be considered</w:t>
      </w:r>
      <w:r w:rsidR="005C1758" w:rsidRPr="00756617">
        <w:rPr>
          <w:bCs/>
          <w:iCs/>
        </w:rPr>
        <w:t xml:space="preserve">. </w:t>
      </w:r>
      <w:r w:rsidR="00A545BC">
        <w:rPr>
          <w:bCs/>
          <w:iCs/>
        </w:rPr>
        <w:t xml:space="preserve">This is a case about </w:t>
      </w:r>
      <w:r w:rsidR="00BC31BD">
        <w:rPr>
          <w:bCs/>
          <w:iCs/>
        </w:rPr>
        <w:t xml:space="preserve">if </w:t>
      </w:r>
      <w:r w:rsidR="00A545BC">
        <w:rPr>
          <w:bCs/>
          <w:iCs/>
        </w:rPr>
        <w:t xml:space="preserve">universities should </w:t>
      </w:r>
      <w:r w:rsidR="00143CBE">
        <w:rPr>
          <w:bCs/>
          <w:iCs/>
        </w:rPr>
        <w:t>use of</w:t>
      </w:r>
      <w:r w:rsidR="00A545BC">
        <w:rPr>
          <w:bCs/>
          <w:iCs/>
        </w:rPr>
        <w:t xml:space="preserve"> race as a factor in admissions. </w:t>
      </w:r>
    </w:p>
    <w:p w14:paraId="39B52A6D" w14:textId="5EBD2FC3" w:rsidR="008A1BBF" w:rsidRPr="004A70A0" w:rsidRDefault="008A1BBF" w:rsidP="00E966F8">
      <w:pPr>
        <w:pStyle w:val="Bulletsl"/>
        <w:numPr>
          <w:ilvl w:val="0"/>
          <w:numId w:val="0"/>
        </w:numPr>
        <w:spacing w:line="276" w:lineRule="auto"/>
        <w:rPr>
          <w:rFonts w:cstheme="majorBidi"/>
          <w:color w:val="000000"/>
        </w:rPr>
      </w:pPr>
      <w:r w:rsidRPr="004A70A0">
        <w:rPr>
          <w:rFonts w:cstheme="majorBidi"/>
        </w:rPr>
        <w:t>In the early 1970s, the University of California Davis School of Medicine (UC Davis)</w:t>
      </w:r>
      <w:r w:rsidR="00BE7530">
        <w:rPr>
          <w:rStyle w:val="FootnoteReference"/>
          <w:rFonts w:cstheme="majorBidi"/>
        </w:rPr>
        <w:footnoteReference w:id="1"/>
      </w:r>
      <w:r w:rsidRPr="004A70A0">
        <w:rPr>
          <w:rFonts w:cstheme="majorBidi"/>
        </w:rPr>
        <w:t xml:space="preserve"> </w:t>
      </w:r>
      <w:r w:rsidR="00621B9F">
        <w:rPr>
          <w:rFonts w:cstheme="majorBidi"/>
        </w:rPr>
        <w:t>started an</w:t>
      </w:r>
      <w:r w:rsidRPr="004A70A0">
        <w:rPr>
          <w:rFonts w:cstheme="majorBidi"/>
        </w:rPr>
        <w:t xml:space="preserve"> affirmative action program</w:t>
      </w:r>
      <w:r>
        <w:rPr>
          <w:rFonts w:cstheme="majorBidi"/>
        </w:rPr>
        <w:t>.</w:t>
      </w:r>
      <w:r w:rsidRPr="004A70A0">
        <w:rPr>
          <w:rFonts w:cstheme="majorBidi"/>
        </w:rPr>
        <w:t xml:space="preserve"> The</w:t>
      </w:r>
      <w:r w:rsidR="00DE38A4">
        <w:rPr>
          <w:rFonts w:cstheme="majorBidi"/>
        </w:rPr>
        <w:t xml:space="preserve"> </w:t>
      </w:r>
      <w:r>
        <w:rPr>
          <w:rFonts w:cstheme="majorBidi"/>
        </w:rPr>
        <w:t>program</w:t>
      </w:r>
      <w:r w:rsidRPr="004A70A0">
        <w:rPr>
          <w:rFonts w:cstheme="majorBidi"/>
        </w:rPr>
        <w:t xml:space="preserve"> </w:t>
      </w:r>
      <w:r w:rsidR="00A545BC">
        <w:rPr>
          <w:rFonts w:cstheme="majorBidi"/>
        </w:rPr>
        <w:t xml:space="preserve">was </w:t>
      </w:r>
      <w:r w:rsidR="003B54A9">
        <w:rPr>
          <w:rFonts w:cstheme="majorBidi"/>
        </w:rPr>
        <w:t>supposed</w:t>
      </w:r>
      <w:r w:rsidRPr="004A70A0">
        <w:rPr>
          <w:rFonts w:cstheme="majorBidi"/>
        </w:rPr>
        <w:t xml:space="preserve"> to </w:t>
      </w:r>
      <w:r w:rsidR="00143CBE">
        <w:rPr>
          <w:rFonts w:cstheme="majorBidi"/>
        </w:rPr>
        <w:t>increas</w:t>
      </w:r>
      <w:r w:rsidRPr="004A70A0">
        <w:rPr>
          <w:rFonts w:cstheme="majorBidi"/>
        </w:rPr>
        <w:t xml:space="preserve">e the number of </w:t>
      </w:r>
      <w:r w:rsidR="009E3CD5">
        <w:rPr>
          <w:rFonts w:cstheme="majorBidi"/>
        </w:rPr>
        <w:t>“</w:t>
      </w:r>
      <w:r w:rsidRPr="004A70A0">
        <w:rPr>
          <w:rFonts w:cstheme="majorBidi"/>
        </w:rPr>
        <w:t>minority</w:t>
      </w:r>
      <w:r w:rsidR="009E3CD5">
        <w:rPr>
          <w:rFonts w:cstheme="majorBidi"/>
        </w:rPr>
        <w:t>”</w:t>
      </w:r>
      <w:r w:rsidRPr="004A70A0">
        <w:rPr>
          <w:rFonts w:cstheme="majorBidi"/>
        </w:rPr>
        <w:t xml:space="preserve"> or </w:t>
      </w:r>
      <w:r w:rsidR="009E3CD5">
        <w:rPr>
          <w:rFonts w:cstheme="majorBidi"/>
        </w:rPr>
        <w:t>“</w:t>
      </w:r>
      <w:r w:rsidRPr="009E3CD5">
        <w:rPr>
          <w:rFonts w:cstheme="majorBidi"/>
          <w:b/>
          <w:bCs/>
          <w:u w:val="single"/>
        </w:rPr>
        <w:t>disadvantaged</w:t>
      </w:r>
      <w:r w:rsidR="009E3CD5" w:rsidRPr="00196E3B">
        <w:rPr>
          <w:rFonts w:cstheme="majorBidi"/>
        </w:rPr>
        <w:t>”</w:t>
      </w:r>
      <w:r w:rsidRPr="004A70A0">
        <w:rPr>
          <w:rFonts w:cstheme="majorBidi"/>
        </w:rPr>
        <w:t xml:space="preserve"> students </w:t>
      </w:r>
      <w:r w:rsidR="00621B9F">
        <w:rPr>
          <w:rFonts w:cstheme="majorBidi"/>
        </w:rPr>
        <w:t>in the school</w:t>
      </w:r>
      <w:r w:rsidRPr="004A70A0">
        <w:rPr>
          <w:rFonts w:cstheme="majorBidi"/>
          <w:color w:val="000000"/>
        </w:rPr>
        <w:t xml:space="preserve">. On the UC Davis application, candidates could </w:t>
      </w:r>
      <w:r w:rsidR="00E966F8">
        <w:rPr>
          <w:rFonts w:cstheme="majorBidi"/>
          <w:color w:val="000000"/>
        </w:rPr>
        <w:t xml:space="preserve">mark </w:t>
      </w:r>
      <w:r w:rsidRPr="004A70A0">
        <w:rPr>
          <w:rFonts w:cstheme="majorBidi"/>
          <w:color w:val="000000"/>
        </w:rPr>
        <w:t xml:space="preserve">that they </w:t>
      </w:r>
      <w:r w:rsidR="002B5D14">
        <w:rPr>
          <w:rFonts w:cstheme="majorBidi"/>
          <w:color w:val="000000"/>
        </w:rPr>
        <w:t>were part of</w:t>
      </w:r>
      <w:r w:rsidRPr="004A70A0">
        <w:rPr>
          <w:rFonts w:cstheme="majorBidi"/>
          <w:color w:val="000000"/>
        </w:rPr>
        <w:t xml:space="preserve"> a </w:t>
      </w:r>
      <w:r>
        <w:rPr>
          <w:rFonts w:cstheme="majorBidi"/>
          <w:color w:val="000000"/>
        </w:rPr>
        <w:t>“</w:t>
      </w:r>
      <w:r w:rsidRPr="004A70A0">
        <w:rPr>
          <w:rFonts w:cstheme="majorBidi"/>
          <w:color w:val="000000"/>
        </w:rPr>
        <w:t>minority</w:t>
      </w:r>
      <w:r w:rsidR="00BE7530">
        <w:rPr>
          <w:rFonts w:cstheme="majorBidi"/>
          <w:color w:val="000000"/>
        </w:rPr>
        <w:t>”</w:t>
      </w:r>
      <w:r w:rsidRPr="004A70A0">
        <w:rPr>
          <w:rFonts w:cstheme="majorBidi"/>
          <w:color w:val="000000"/>
        </w:rPr>
        <w:t xml:space="preserve"> group</w:t>
      </w:r>
      <w:r>
        <w:rPr>
          <w:rFonts w:cstheme="majorBidi"/>
          <w:color w:val="000000"/>
        </w:rPr>
        <w:t>.</w:t>
      </w:r>
      <w:r w:rsidRPr="004A70A0">
        <w:rPr>
          <w:rFonts w:cstheme="majorBidi"/>
          <w:color w:val="000000"/>
        </w:rPr>
        <w:t xml:space="preserve"> </w:t>
      </w:r>
      <w:r w:rsidR="00E966F8">
        <w:rPr>
          <w:rFonts w:cstheme="majorBidi"/>
          <w:color w:val="000000"/>
        </w:rPr>
        <w:t>They</w:t>
      </w:r>
      <w:r w:rsidRPr="004A70A0">
        <w:rPr>
          <w:rFonts w:cstheme="majorBidi"/>
          <w:color w:val="000000"/>
        </w:rPr>
        <w:t xml:space="preserve"> could </w:t>
      </w:r>
      <w:r w:rsidR="00FD1A82">
        <w:rPr>
          <w:rFonts w:cstheme="majorBidi"/>
          <w:color w:val="000000"/>
        </w:rPr>
        <w:t>also choose the option</w:t>
      </w:r>
      <w:r w:rsidRPr="004A70A0">
        <w:rPr>
          <w:rFonts w:cstheme="majorBidi"/>
          <w:color w:val="000000"/>
        </w:rPr>
        <w:t xml:space="preserve"> </w:t>
      </w:r>
      <w:r w:rsidR="00BE7530">
        <w:rPr>
          <w:rFonts w:cstheme="majorBidi"/>
          <w:color w:val="000000"/>
        </w:rPr>
        <w:t>“</w:t>
      </w:r>
      <w:r w:rsidRPr="004A70A0">
        <w:rPr>
          <w:rFonts w:cstheme="majorBidi"/>
          <w:color w:val="000000"/>
        </w:rPr>
        <w:t>economically and/or educationally disadvantaged.</w:t>
      </w:r>
      <w:r>
        <w:rPr>
          <w:rFonts w:cstheme="majorBidi"/>
          <w:color w:val="000000"/>
        </w:rPr>
        <w:t>”</w:t>
      </w:r>
      <w:r w:rsidRPr="004A70A0">
        <w:rPr>
          <w:rFonts w:cstheme="majorBidi"/>
          <w:color w:val="000000"/>
        </w:rPr>
        <w:t xml:space="preserve"> </w:t>
      </w:r>
      <w:r w:rsidR="00C02E0C">
        <w:rPr>
          <w:rFonts w:cstheme="majorBidi"/>
          <w:color w:val="000000"/>
        </w:rPr>
        <w:t>Th</w:t>
      </w:r>
      <w:r w:rsidR="00A265EE">
        <w:rPr>
          <w:rFonts w:cstheme="majorBidi"/>
          <w:color w:val="000000"/>
        </w:rPr>
        <w:t xml:space="preserve">e </w:t>
      </w:r>
      <w:r w:rsidR="003755DA">
        <w:rPr>
          <w:rFonts w:cstheme="majorBidi"/>
          <w:color w:val="000000"/>
        </w:rPr>
        <w:t>applicants</w:t>
      </w:r>
      <w:r w:rsidR="003755DA" w:rsidRPr="004A70A0">
        <w:rPr>
          <w:rFonts w:cstheme="majorBidi"/>
          <w:color w:val="000000"/>
        </w:rPr>
        <w:t xml:space="preserve"> </w:t>
      </w:r>
      <w:r w:rsidR="00E966F8">
        <w:rPr>
          <w:rFonts w:cstheme="majorBidi"/>
          <w:color w:val="000000"/>
        </w:rPr>
        <w:t>who</w:t>
      </w:r>
      <w:r w:rsidRPr="004A70A0">
        <w:rPr>
          <w:rFonts w:cstheme="majorBidi"/>
          <w:color w:val="000000"/>
        </w:rPr>
        <w:t xml:space="preserve"> </w:t>
      </w:r>
      <w:r w:rsidR="00F85E3B">
        <w:rPr>
          <w:rFonts w:cstheme="majorBidi"/>
          <w:color w:val="000000"/>
        </w:rPr>
        <w:t>chose</w:t>
      </w:r>
      <w:r w:rsidRPr="004A70A0">
        <w:rPr>
          <w:rFonts w:cstheme="majorBidi"/>
          <w:color w:val="000000"/>
        </w:rPr>
        <w:t xml:space="preserve"> one of these options were sent to the special admissions </w:t>
      </w:r>
      <w:r w:rsidR="00F85E3B">
        <w:rPr>
          <w:rFonts w:cstheme="majorBidi"/>
          <w:color w:val="000000"/>
        </w:rPr>
        <w:t>team</w:t>
      </w:r>
      <w:r w:rsidR="00B53B4A">
        <w:rPr>
          <w:rFonts w:cstheme="majorBidi"/>
          <w:color w:val="000000"/>
        </w:rPr>
        <w:t>. Th</w:t>
      </w:r>
      <w:r w:rsidR="00F85E3B">
        <w:rPr>
          <w:rFonts w:cstheme="majorBidi"/>
          <w:color w:val="000000"/>
        </w:rPr>
        <w:t xml:space="preserve">is team </w:t>
      </w:r>
      <w:r w:rsidRPr="004A70A0">
        <w:rPr>
          <w:rFonts w:cstheme="majorBidi"/>
          <w:color w:val="000000"/>
        </w:rPr>
        <w:t xml:space="preserve">used </w:t>
      </w:r>
      <w:r w:rsidR="002B5D14">
        <w:rPr>
          <w:rFonts w:cstheme="majorBidi"/>
          <w:color w:val="000000"/>
        </w:rPr>
        <w:t xml:space="preserve">a different </w:t>
      </w:r>
      <w:r w:rsidR="00FD1A82">
        <w:rPr>
          <w:rFonts w:cstheme="majorBidi"/>
          <w:color w:val="000000"/>
        </w:rPr>
        <w:t>process</w:t>
      </w:r>
      <w:r w:rsidRPr="004A70A0">
        <w:rPr>
          <w:rFonts w:cstheme="majorBidi"/>
          <w:color w:val="000000"/>
        </w:rPr>
        <w:t xml:space="preserve"> than </w:t>
      </w:r>
      <w:r w:rsidR="00621B9F">
        <w:rPr>
          <w:rFonts w:cstheme="majorBidi"/>
          <w:color w:val="000000"/>
        </w:rPr>
        <w:t>the regular admissions program</w:t>
      </w:r>
      <w:r w:rsidRPr="004A70A0">
        <w:rPr>
          <w:rFonts w:cstheme="majorBidi"/>
          <w:color w:val="000000"/>
        </w:rPr>
        <w:t xml:space="preserve">. These applicants did not have </w:t>
      </w:r>
      <w:r w:rsidR="00E63158">
        <w:rPr>
          <w:rFonts w:cstheme="majorBidi"/>
          <w:color w:val="000000"/>
        </w:rPr>
        <w:t xml:space="preserve">to </w:t>
      </w:r>
      <w:r w:rsidR="00FD1A82">
        <w:rPr>
          <w:rFonts w:cstheme="majorBidi"/>
          <w:color w:val="000000"/>
        </w:rPr>
        <w:t>meet the</w:t>
      </w:r>
      <w:r w:rsidR="009E3CD5">
        <w:rPr>
          <w:rFonts w:cstheme="majorBidi"/>
          <w:color w:val="000000"/>
        </w:rPr>
        <w:t xml:space="preserve"> grade point average (</w:t>
      </w:r>
      <w:r w:rsidR="00FD1A82">
        <w:rPr>
          <w:rFonts w:cstheme="majorBidi"/>
          <w:color w:val="000000"/>
        </w:rPr>
        <w:t>GPA</w:t>
      </w:r>
      <w:r w:rsidR="009E3CD5">
        <w:rPr>
          <w:rFonts w:cstheme="majorBidi"/>
          <w:color w:val="000000"/>
        </w:rPr>
        <w:t>)</w:t>
      </w:r>
      <w:r w:rsidR="00FD1A82">
        <w:rPr>
          <w:rFonts w:cstheme="majorBidi"/>
          <w:color w:val="000000"/>
        </w:rPr>
        <w:t xml:space="preserve"> cut off of the regular program. </w:t>
      </w:r>
      <w:r w:rsidR="00B53B4A">
        <w:rPr>
          <w:rFonts w:cstheme="majorBidi"/>
          <w:color w:val="000000"/>
        </w:rPr>
        <w:t>They also were</w:t>
      </w:r>
      <w:r w:rsidR="00635807">
        <w:rPr>
          <w:rFonts w:cstheme="majorBidi"/>
          <w:color w:val="000000"/>
        </w:rPr>
        <w:t xml:space="preserve"> </w:t>
      </w:r>
      <w:r w:rsidR="00B53B4A">
        <w:rPr>
          <w:rFonts w:cstheme="majorBidi"/>
          <w:color w:val="000000"/>
        </w:rPr>
        <w:t>n</w:t>
      </w:r>
      <w:r w:rsidR="00635807">
        <w:rPr>
          <w:rFonts w:cstheme="majorBidi"/>
          <w:color w:val="000000"/>
        </w:rPr>
        <w:t>o</w:t>
      </w:r>
      <w:r w:rsidR="00B53B4A">
        <w:rPr>
          <w:rFonts w:cstheme="majorBidi"/>
          <w:color w:val="000000"/>
        </w:rPr>
        <w:t>t</w:t>
      </w:r>
      <w:r w:rsidRPr="004A70A0">
        <w:rPr>
          <w:rFonts w:cstheme="majorBidi"/>
          <w:color w:val="000000"/>
        </w:rPr>
        <w:t xml:space="preserve"> compared to the candidates in the regular program. </w:t>
      </w:r>
      <w:r w:rsidR="00E966F8">
        <w:rPr>
          <w:rFonts w:cstheme="majorBidi"/>
          <w:color w:val="000000"/>
        </w:rPr>
        <w:t xml:space="preserve">This program saved </w:t>
      </w:r>
      <w:r w:rsidRPr="004A70A0">
        <w:rPr>
          <w:rFonts w:cstheme="majorBidi"/>
          <w:color w:val="000000"/>
        </w:rPr>
        <w:t xml:space="preserve">16 </w:t>
      </w:r>
      <w:r w:rsidR="00B53B4A">
        <w:rPr>
          <w:rFonts w:cstheme="majorBidi"/>
          <w:color w:val="000000"/>
        </w:rPr>
        <w:t xml:space="preserve">out of 100 spots in the medical school’s class </w:t>
      </w:r>
      <w:r w:rsidR="00E966F8">
        <w:rPr>
          <w:rFonts w:cstheme="majorBidi"/>
          <w:color w:val="000000"/>
        </w:rPr>
        <w:t>for applicants chosen by the special admissions team</w:t>
      </w:r>
      <w:r w:rsidRPr="004A70A0">
        <w:rPr>
          <w:rFonts w:cstheme="majorBidi"/>
          <w:color w:val="000000"/>
        </w:rPr>
        <w:t>.</w:t>
      </w:r>
    </w:p>
    <w:p w14:paraId="5B72EFFF" w14:textId="06BC9BB0" w:rsidR="00E5782B" w:rsidRPr="004A70A0" w:rsidRDefault="00A33B7F" w:rsidP="00E807FC">
      <w:pPr>
        <w:pStyle w:val="NormalWeb"/>
        <w:spacing w:before="0" w:beforeAutospacing="0" w:after="300" w:afterAutospacing="0" w:line="300" w:lineRule="atLeast"/>
        <w:rPr>
          <w:rFonts w:ascii="Garamond" w:hAnsi="Garamond" w:cstheme="majorBidi"/>
          <w:color w:val="000000"/>
        </w:rPr>
      </w:pPr>
      <w:r>
        <w:rPr>
          <w:rFonts w:ascii="Garamond" w:hAnsi="Garamond" w:cstheme="majorBidi"/>
        </w:rPr>
        <w:t>Allan Bakke was a 33-year</w:t>
      </w:r>
      <w:r w:rsidR="00635807">
        <w:rPr>
          <w:rFonts w:ascii="Garamond" w:hAnsi="Garamond" w:cstheme="majorBidi"/>
        </w:rPr>
        <w:t>-</w:t>
      </w:r>
      <w:r>
        <w:rPr>
          <w:rFonts w:ascii="Garamond" w:hAnsi="Garamond" w:cstheme="majorBidi"/>
        </w:rPr>
        <w:t xml:space="preserve">old </w:t>
      </w:r>
      <w:r w:rsidR="001A3CE9">
        <w:rPr>
          <w:rFonts w:ascii="Garamond" w:hAnsi="Garamond" w:cstheme="majorBidi"/>
        </w:rPr>
        <w:t>W</w:t>
      </w:r>
      <w:r>
        <w:rPr>
          <w:rFonts w:ascii="Garamond" w:hAnsi="Garamond" w:cstheme="majorBidi"/>
        </w:rPr>
        <w:t xml:space="preserve">hite </w:t>
      </w:r>
      <w:r w:rsidR="008B253C">
        <w:rPr>
          <w:rFonts w:ascii="Garamond" w:hAnsi="Garamond" w:cstheme="majorBidi"/>
        </w:rPr>
        <w:t>person</w:t>
      </w:r>
      <w:r>
        <w:rPr>
          <w:rFonts w:ascii="Garamond" w:hAnsi="Garamond" w:cstheme="majorBidi"/>
        </w:rPr>
        <w:t xml:space="preserve"> who applied to UC Davis in</w:t>
      </w:r>
      <w:r w:rsidR="002F3EF7" w:rsidRPr="004A70A0">
        <w:rPr>
          <w:rFonts w:ascii="Garamond" w:hAnsi="Garamond" w:cstheme="majorBidi"/>
        </w:rPr>
        <w:t xml:space="preserve"> </w:t>
      </w:r>
      <w:r w:rsidR="00E5782B" w:rsidRPr="004A70A0">
        <w:rPr>
          <w:rFonts w:ascii="Garamond" w:hAnsi="Garamond" w:cstheme="majorBidi"/>
        </w:rPr>
        <w:t>1973</w:t>
      </w:r>
      <w:r>
        <w:rPr>
          <w:rFonts w:ascii="Garamond" w:hAnsi="Garamond" w:cstheme="majorBidi"/>
        </w:rPr>
        <w:t>.</w:t>
      </w:r>
      <w:r w:rsidR="00E5782B" w:rsidRPr="004A70A0">
        <w:rPr>
          <w:rFonts w:ascii="Garamond" w:hAnsi="Garamond" w:cstheme="majorBidi"/>
        </w:rPr>
        <w:t xml:space="preserve"> Bakke had a strong academic </w:t>
      </w:r>
      <w:r w:rsidR="00E01319">
        <w:rPr>
          <w:rFonts w:ascii="Garamond" w:hAnsi="Garamond" w:cstheme="majorBidi"/>
        </w:rPr>
        <w:t>record</w:t>
      </w:r>
      <w:r w:rsidR="00991578">
        <w:rPr>
          <w:rFonts w:ascii="Garamond" w:hAnsi="Garamond" w:cstheme="majorBidi"/>
        </w:rPr>
        <w:t>. He</w:t>
      </w:r>
      <w:r w:rsidR="00E5782B" w:rsidRPr="004A70A0">
        <w:rPr>
          <w:rFonts w:ascii="Garamond" w:hAnsi="Garamond" w:cstheme="majorBidi"/>
        </w:rPr>
        <w:t xml:space="preserve"> earned a high score on the</w:t>
      </w:r>
      <w:r w:rsidR="00635807">
        <w:rPr>
          <w:rFonts w:ascii="Garamond" w:hAnsi="Garamond" w:cstheme="majorBidi"/>
        </w:rPr>
        <w:t xml:space="preserve"> </w:t>
      </w:r>
      <w:r w:rsidR="009E3CD5">
        <w:rPr>
          <w:rFonts w:ascii="Garamond" w:hAnsi="Garamond" w:cstheme="majorBidi"/>
        </w:rPr>
        <w:t>medical school entrance exam (MCAT)</w:t>
      </w:r>
      <w:r w:rsidR="00E5782B" w:rsidRPr="004A70A0">
        <w:rPr>
          <w:rFonts w:ascii="Garamond" w:hAnsi="Garamond" w:cstheme="majorBidi"/>
        </w:rPr>
        <w:t xml:space="preserve">. </w:t>
      </w:r>
      <w:r w:rsidR="00621B9F">
        <w:rPr>
          <w:rFonts w:ascii="Garamond" w:hAnsi="Garamond" w:cstheme="majorBidi"/>
        </w:rPr>
        <w:t>His</w:t>
      </w:r>
      <w:r w:rsidR="00E5782B" w:rsidRPr="004A70A0">
        <w:rPr>
          <w:rFonts w:ascii="Garamond" w:hAnsi="Garamond" w:cstheme="majorBidi"/>
        </w:rPr>
        <w:t xml:space="preserve"> interview</w:t>
      </w:r>
      <w:r w:rsidR="00621B9F">
        <w:rPr>
          <w:rFonts w:ascii="Garamond" w:hAnsi="Garamond" w:cstheme="majorBidi"/>
        </w:rPr>
        <w:t>er</w:t>
      </w:r>
      <w:r w:rsidR="00E5782B" w:rsidRPr="004A70A0">
        <w:rPr>
          <w:rFonts w:ascii="Garamond" w:hAnsi="Garamond" w:cstheme="majorBidi"/>
        </w:rPr>
        <w:t xml:space="preserve"> at UC Davis</w:t>
      </w:r>
      <w:r w:rsidR="00621B9F">
        <w:rPr>
          <w:rFonts w:ascii="Garamond" w:hAnsi="Garamond"/>
        </w:rPr>
        <w:t xml:space="preserve"> </w:t>
      </w:r>
      <w:r w:rsidR="00F1389A">
        <w:rPr>
          <w:rFonts w:ascii="Garamond" w:hAnsi="Garamond"/>
        </w:rPr>
        <w:t>described him</w:t>
      </w:r>
      <w:r w:rsidR="00621B9F">
        <w:rPr>
          <w:rFonts w:ascii="Garamond" w:hAnsi="Garamond"/>
        </w:rPr>
        <w:t xml:space="preserve"> as </w:t>
      </w:r>
      <w:r w:rsidR="008330BB">
        <w:rPr>
          <w:rFonts w:ascii="Garamond" w:hAnsi="Garamond"/>
        </w:rPr>
        <w:t>well-</w:t>
      </w:r>
      <w:r w:rsidR="00621B9F">
        <w:rPr>
          <w:rFonts w:ascii="Garamond" w:hAnsi="Garamond"/>
        </w:rPr>
        <w:t>qualified</w:t>
      </w:r>
      <w:r w:rsidR="004A28FD">
        <w:rPr>
          <w:rFonts w:ascii="Garamond" w:hAnsi="Garamond"/>
        </w:rPr>
        <w:t xml:space="preserve">. He </w:t>
      </w:r>
      <w:r w:rsidR="00E5782B" w:rsidRPr="004A70A0">
        <w:rPr>
          <w:rFonts w:ascii="Garamond" w:hAnsi="Garamond"/>
        </w:rPr>
        <w:t xml:space="preserve">was recommended for admission. </w:t>
      </w:r>
      <w:r w:rsidR="00991578">
        <w:rPr>
          <w:rFonts w:ascii="Garamond" w:hAnsi="Garamond"/>
        </w:rPr>
        <w:t>But</w:t>
      </w:r>
      <w:r w:rsidR="004A28FD">
        <w:rPr>
          <w:rFonts w:ascii="Garamond" w:hAnsi="Garamond"/>
        </w:rPr>
        <w:t xml:space="preserve">, he </w:t>
      </w:r>
      <w:r w:rsidR="00E5782B" w:rsidRPr="004A70A0">
        <w:rPr>
          <w:rFonts w:ascii="Garamond" w:hAnsi="Garamond"/>
        </w:rPr>
        <w:t xml:space="preserve">soon learned that </w:t>
      </w:r>
      <w:r w:rsidR="003D4D95">
        <w:rPr>
          <w:rFonts w:ascii="Garamond" w:hAnsi="Garamond"/>
        </w:rPr>
        <w:t xml:space="preserve">UC Davis had rejected him. </w:t>
      </w:r>
    </w:p>
    <w:p w14:paraId="4A35EFD8" w14:textId="5428D235" w:rsidR="00E5782B" w:rsidRPr="00BB12F0" w:rsidRDefault="00E5782B" w:rsidP="00E5782B">
      <w:pPr>
        <w:pStyle w:val="Bulletsl"/>
        <w:numPr>
          <w:ilvl w:val="0"/>
          <w:numId w:val="0"/>
        </w:numPr>
        <w:spacing w:line="276" w:lineRule="auto"/>
      </w:pPr>
      <w:r w:rsidRPr="00BB12F0">
        <w:lastRenderedPageBreak/>
        <w:t xml:space="preserve">Bakke complained to </w:t>
      </w:r>
      <w:r w:rsidR="00681E03">
        <w:t>a UC Davis</w:t>
      </w:r>
      <w:r w:rsidR="00681E03" w:rsidRPr="00BB12F0">
        <w:t xml:space="preserve"> </w:t>
      </w:r>
      <w:r w:rsidRPr="00BB12F0">
        <w:t xml:space="preserve">admissions </w:t>
      </w:r>
      <w:r w:rsidR="00A33B7F">
        <w:t>counselor. He was</w:t>
      </w:r>
      <w:r w:rsidR="00681E03" w:rsidRPr="00BB12F0">
        <w:t xml:space="preserve"> </w:t>
      </w:r>
      <w:r w:rsidRPr="00BB12F0">
        <w:t xml:space="preserve">encouraged to reapply. </w:t>
      </w:r>
      <w:r w:rsidR="00AE761D" w:rsidRPr="00BB12F0">
        <w:t xml:space="preserve">In 1974, Bakke </w:t>
      </w:r>
      <w:r w:rsidR="00681E03">
        <w:t>did so but</w:t>
      </w:r>
      <w:r w:rsidR="00AE761D" w:rsidRPr="00BB12F0">
        <w:t xml:space="preserve"> was rejected again. </w:t>
      </w:r>
      <w:r w:rsidR="00402BCF" w:rsidRPr="00BB12F0">
        <w:t xml:space="preserve">He then </w:t>
      </w:r>
      <w:r w:rsidR="00FC6132">
        <w:t>sued</w:t>
      </w:r>
      <w:r w:rsidR="00402BCF" w:rsidRPr="00BB12F0">
        <w:t xml:space="preserve"> UC Davis in California state court</w:t>
      </w:r>
      <w:r w:rsidR="002C7AB3">
        <w:t xml:space="preserve">. He </w:t>
      </w:r>
      <w:r w:rsidR="00757DDF">
        <w:t xml:space="preserve">said </w:t>
      </w:r>
      <w:r w:rsidR="00402BCF" w:rsidRPr="00BB12F0">
        <w:t xml:space="preserve">that </w:t>
      </w:r>
      <w:r w:rsidR="00161159">
        <w:t>the</w:t>
      </w:r>
      <w:r w:rsidR="00F1389A">
        <w:t xml:space="preserve"> special</w:t>
      </w:r>
      <w:r w:rsidR="00402BCF" w:rsidRPr="00BB12F0">
        <w:t xml:space="preserve"> admissions program was </w:t>
      </w:r>
      <w:r w:rsidR="00402BCF" w:rsidRPr="00CF406B">
        <w:rPr>
          <w:b/>
          <w:bCs/>
          <w:u w:val="single"/>
        </w:rPr>
        <w:t>unconstitutional</w:t>
      </w:r>
      <w:r w:rsidR="00A0664B" w:rsidRPr="00757DDF">
        <w:rPr>
          <w:b/>
          <w:bCs/>
        </w:rPr>
        <w:t>.</w:t>
      </w:r>
      <w:r w:rsidR="00A0664B">
        <w:t xml:space="preserve"> </w:t>
      </w:r>
      <w:r w:rsidR="00A33B7F">
        <w:t xml:space="preserve">The </w:t>
      </w:r>
      <w:r w:rsidR="00402BCF" w:rsidRPr="00BB12F0">
        <w:t xml:space="preserve">judge agreed </w:t>
      </w:r>
      <w:r w:rsidR="00F1389A">
        <w:t>with Bakke.</w:t>
      </w:r>
      <w:r w:rsidR="002C7AB3">
        <w:t xml:space="preserve"> The court</w:t>
      </w:r>
      <w:r w:rsidR="00402BCF" w:rsidRPr="00BB12F0">
        <w:t xml:space="preserve"> ordered UC Davis to ignore race </w:t>
      </w:r>
      <w:r w:rsidR="00FC6132">
        <w:t>during the admissions process</w:t>
      </w:r>
      <w:r w:rsidR="00402BCF" w:rsidRPr="00BB12F0">
        <w:t xml:space="preserve">. </w:t>
      </w:r>
    </w:p>
    <w:p w14:paraId="43412D6E" w14:textId="00D50ECC" w:rsidR="00402BCF" w:rsidRPr="00BB12F0" w:rsidRDefault="00402BCF" w:rsidP="00E5782B">
      <w:pPr>
        <w:pStyle w:val="Bulletsl"/>
        <w:numPr>
          <w:ilvl w:val="0"/>
          <w:numId w:val="0"/>
        </w:numPr>
        <w:spacing w:line="276" w:lineRule="auto"/>
      </w:pPr>
      <w:r w:rsidRPr="00BB12F0">
        <w:t>Both Bakke and UC Davis appealed this decision</w:t>
      </w:r>
      <w:r w:rsidR="002C7AB3">
        <w:t>. The</w:t>
      </w:r>
      <w:r w:rsidRPr="00BB12F0">
        <w:t xml:space="preserve"> school </w:t>
      </w:r>
      <w:r w:rsidR="002C7AB3">
        <w:t xml:space="preserve">appealed </w:t>
      </w:r>
      <w:r w:rsidRPr="00BB12F0">
        <w:t>because it believed the special admissions program was constitutional</w:t>
      </w:r>
      <w:r w:rsidR="002C7AB3">
        <w:t xml:space="preserve">. </w:t>
      </w:r>
      <w:r w:rsidRPr="00BB12F0">
        <w:t>Bakke</w:t>
      </w:r>
      <w:r w:rsidR="002C7AB3">
        <w:t xml:space="preserve"> appealed</w:t>
      </w:r>
      <w:r w:rsidRPr="00BB12F0">
        <w:t xml:space="preserve"> because he believed that the judge should have </w:t>
      </w:r>
      <w:r w:rsidR="00143CBE">
        <w:t>ordered the school to admit him</w:t>
      </w:r>
      <w:r w:rsidRPr="00BB12F0">
        <w:t>.</w:t>
      </w:r>
      <w:r w:rsidR="009D50B5" w:rsidRPr="00BB12F0">
        <w:t xml:space="preserve"> The case went to the California Supreme Court</w:t>
      </w:r>
      <w:r w:rsidR="004F2731">
        <w:t>.</w:t>
      </w:r>
      <w:r w:rsidR="009D50B5" w:rsidRPr="004F2731">
        <w:t xml:space="preserve"> </w:t>
      </w:r>
      <w:r w:rsidR="00027E38">
        <w:t>The court asked UC Davis to prove that Ba</w:t>
      </w:r>
      <w:r w:rsidR="00F1389A">
        <w:t>k</w:t>
      </w:r>
      <w:r w:rsidR="00027E38">
        <w:t>ke would have been rejected in a program that did</w:t>
      </w:r>
      <w:r w:rsidR="00635807">
        <w:t xml:space="preserve"> </w:t>
      </w:r>
      <w:r w:rsidR="00027E38">
        <w:t>n</w:t>
      </w:r>
      <w:r w:rsidR="00635807">
        <w:t>o</w:t>
      </w:r>
      <w:r w:rsidR="00027E38">
        <w:t>t consider race. The</w:t>
      </w:r>
      <w:r w:rsidR="00635807">
        <w:t xml:space="preserve"> university </w:t>
      </w:r>
      <w:r w:rsidR="00027E38">
        <w:t>could</w:t>
      </w:r>
      <w:r w:rsidR="00ED0DD3">
        <w:t xml:space="preserve"> not</w:t>
      </w:r>
      <w:r w:rsidR="00027E38">
        <w:t xml:space="preserve"> prove it. </w:t>
      </w:r>
      <w:r w:rsidR="009D50B5" w:rsidRPr="004F2731">
        <w:t>Th</w:t>
      </w:r>
      <w:r w:rsidR="00027E38">
        <w:t>e</w:t>
      </w:r>
      <w:r w:rsidR="009D50B5" w:rsidRPr="004F2731">
        <w:t xml:space="preserve"> court </w:t>
      </w:r>
      <w:r w:rsidR="00027E38">
        <w:t>ordered the school to</w:t>
      </w:r>
      <w:r w:rsidR="009D50B5" w:rsidRPr="00BB12F0">
        <w:t xml:space="preserve"> admit Bakke.</w:t>
      </w:r>
    </w:p>
    <w:p w14:paraId="1D381DBD" w14:textId="2808FE0C" w:rsidR="002F3EF7" w:rsidRDefault="00C341DB" w:rsidP="00093BCC">
      <w:pPr>
        <w:pStyle w:val="Bulletsl"/>
        <w:numPr>
          <w:ilvl w:val="0"/>
          <w:numId w:val="0"/>
        </w:numPr>
        <w:spacing w:line="276" w:lineRule="auto"/>
      </w:pPr>
      <w:r>
        <w:t xml:space="preserve">After </w:t>
      </w:r>
      <w:r w:rsidR="009D50B5" w:rsidRPr="00BB12F0">
        <w:t>this order, UC Davis</w:t>
      </w:r>
      <w:r w:rsidR="002F3EF7" w:rsidRPr="00BB12F0">
        <w:t xml:space="preserve"> asked </w:t>
      </w:r>
      <w:r w:rsidR="009D50B5" w:rsidRPr="00BB12F0">
        <w:t xml:space="preserve">the </w:t>
      </w:r>
      <w:r w:rsidR="006E7081">
        <w:t xml:space="preserve">U.S. </w:t>
      </w:r>
      <w:r w:rsidR="009D50B5" w:rsidRPr="00BB12F0">
        <w:t>Supreme Court</w:t>
      </w:r>
      <w:r w:rsidR="008A48D3">
        <w:t xml:space="preserve"> to review the case</w:t>
      </w:r>
      <w:r w:rsidR="00B02FA0">
        <w:t xml:space="preserve">. They also asked to </w:t>
      </w:r>
      <w:r w:rsidR="009D50B5" w:rsidRPr="00BB12F0">
        <w:t>postpone</w:t>
      </w:r>
      <w:r w:rsidR="00B02FA0">
        <w:t xml:space="preserve"> </w:t>
      </w:r>
      <w:r w:rsidR="009D50B5" w:rsidRPr="00BB12F0">
        <w:t xml:space="preserve">Bakke’s admission while </w:t>
      </w:r>
      <w:r w:rsidR="008A48D3">
        <w:t>it did so</w:t>
      </w:r>
      <w:r w:rsidR="006E7081">
        <w:t>.</w:t>
      </w:r>
      <w:r w:rsidR="009D50B5" w:rsidRPr="00BB12F0">
        <w:t xml:space="preserve"> The Court agreed</w:t>
      </w:r>
      <w:r w:rsidR="008A48D3">
        <w:t>.</w:t>
      </w:r>
    </w:p>
    <w:p w14:paraId="0CD9B042" w14:textId="77777777" w:rsidR="002F3EF7" w:rsidRPr="003B7776" w:rsidRDefault="002F3EF7" w:rsidP="003B7776">
      <w:pPr>
        <w:pStyle w:val="Subhead2sl"/>
      </w:pPr>
      <w:r w:rsidRPr="003B7776">
        <w:t>Issue</w:t>
      </w:r>
    </w:p>
    <w:p w14:paraId="269B83BC" w14:textId="08A56268" w:rsidR="00597780" w:rsidRPr="00C510FE" w:rsidRDefault="002F3EF7" w:rsidP="00C510FE">
      <w:pPr>
        <w:pStyle w:val="Subhead2sl"/>
        <w:spacing w:before="0" w:after="0"/>
        <w:rPr>
          <w:rFonts w:ascii="Garamond" w:hAnsi="Garamond"/>
          <w:b w:val="0"/>
          <w:i w:val="0"/>
          <w:color w:val="333333"/>
          <w:shd w:val="clear" w:color="auto" w:fill="FFFFFF"/>
        </w:rPr>
      </w:pPr>
      <w:r>
        <w:rPr>
          <w:rFonts w:ascii="Garamond" w:hAnsi="Garamond"/>
          <w:b w:val="0"/>
          <w:i w:val="0"/>
          <w:color w:val="333333"/>
          <w:shd w:val="clear" w:color="auto" w:fill="FFFFFF"/>
        </w:rPr>
        <w:t xml:space="preserve">Does </w:t>
      </w:r>
      <w:r w:rsidR="0041732E">
        <w:rPr>
          <w:rFonts w:ascii="Garamond" w:hAnsi="Garamond"/>
          <w:b w:val="0"/>
          <w:i w:val="0"/>
          <w:color w:val="333333"/>
          <w:shd w:val="clear" w:color="auto" w:fill="FFFFFF"/>
        </w:rPr>
        <w:t xml:space="preserve">UC Davis’ </w:t>
      </w:r>
      <w:r w:rsidR="00F1389A">
        <w:rPr>
          <w:rFonts w:ascii="Garamond" w:hAnsi="Garamond"/>
          <w:b w:val="0"/>
          <w:i w:val="0"/>
          <w:color w:val="333333"/>
          <w:shd w:val="clear" w:color="auto" w:fill="FFFFFF"/>
        </w:rPr>
        <w:t>special admissions</w:t>
      </w:r>
      <w:r w:rsidR="0041732E">
        <w:rPr>
          <w:rFonts w:ascii="Garamond" w:hAnsi="Garamond"/>
          <w:b w:val="0"/>
          <w:i w:val="0"/>
          <w:color w:val="333333"/>
          <w:shd w:val="clear" w:color="auto" w:fill="FFFFFF"/>
        </w:rPr>
        <w:t xml:space="preserve"> </w:t>
      </w:r>
      <w:r w:rsidR="005645FF">
        <w:rPr>
          <w:rFonts w:ascii="Garamond" w:hAnsi="Garamond"/>
          <w:b w:val="0"/>
          <w:i w:val="0"/>
          <w:color w:val="333333"/>
          <w:shd w:val="clear" w:color="auto" w:fill="FFFFFF"/>
        </w:rPr>
        <w:t xml:space="preserve">program </w:t>
      </w:r>
      <w:r w:rsidR="0041732E">
        <w:rPr>
          <w:rFonts w:ascii="Garamond" w:hAnsi="Garamond"/>
          <w:b w:val="0"/>
          <w:i w:val="0"/>
          <w:color w:val="333333"/>
          <w:shd w:val="clear" w:color="auto" w:fill="FFFFFF"/>
        </w:rPr>
        <w:t xml:space="preserve">violate the </w:t>
      </w:r>
      <w:r w:rsidR="00C97E5E">
        <w:rPr>
          <w:rFonts w:ascii="Garamond" w:hAnsi="Garamond"/>
          <w:b w:val="0"/>
          <w:i w:val="0"/>
          <w:color w:val="333333"/>
          <w:shd w:val="clear" w:color="auto" w:fill="FFFFFF"/>
        </w:rPr>
        <w:t>14</w:t>
      </w:r>
      <w:r w:rsidR="00C97E5E" w:rsidRPr="00BE7530">
        <w:rPr>
          <w:rFonts w:ascii="Garamond" w:hAnsi="Garamond"/>
          <w:b w:val="0"/>
          <w:i w:val="0"/>
          <w:color w:val="333333"/>
          <w:shd w:val="clear" w:color="auto" w:fill="FFFFFF"/>
          <w:vertAlign w:val="superscript"/>
        </w:rPr>
        <w:t>th</w:t>
      </w:r>
      <w:r w:rsidR="00C97E5E">
        <w:rPr>
          <w:rFonts w:ascii="Garamond" w:hAnsi="Garamond"/>
          <w:b w:val="0"/>
          <w:i w:val="0"/>
          <w:color w:val="333333"/>
          <w:shd w:val="clear" w:color="auto" w:fill="FFFFFF"/>
        </w:rPr>
        <w:t xml:space="preserve"> </w:t>
      </w:r>
      <w:r w:rsidR="0041732E">
        <w:rPr>
          <w:rFonts w:ascii="Garamond" w:hAnsi="Garamond"/>
          <w:b w:val="0"/>
          <w:i w:val="0"/>
          <w:color w:val="333333"/>
          <w:shd w:val="clear" w:color="auto" w:fill="FFFFFF"/>
        </w:rPr>
        <w:t xml:space="preserve">Amendment’s Equal Protection Clause and Title </w:t>
      </w:r>
      <w:r w:rsidR="007E3810">
        <w:rPr>
          <w:rFonts w:ascii="Garamond" w:hAnsi="Garamond"/>
          <w:b w:val="0"/>
          <w:i w:val="0"/>
          <w:color w:val="333333"/>
          <w:shd w:val="clear" w:color="auto" w:fill="FFFFFF"/>
        </w:rPr>
        <w:t>VI</w:t>
      </w:r>
      <w:r w:rsidR="0041732E">
        <w:rPr>
          <w:rFonts w:ascii="Garamond" w:hAnsi="Garamond"/>
          <w:b w:val="0"/>
          <w:i w:val="0"/>
          <w:color w:val="333333"/>
          <w:shd w:val="clear" w:color="auto" w:fill="FFFFFF"/>
        </w:rPr>
        <w:t xml:space="preserve"> of the Civil Rights Act of 1964?</w:t>
      </w:r>
    </w:p>
    <w:p w14:paraId="6C831906" w14:textId="4F8F1E8C" w:rsidR="002F3EF7" w:rsidRDefault="002F3EF7" w:rsidP="002F3EF7">
      <w:pPr>
        <w:pStyle w:val="Subhead2sl"/>
      </w:pPr>
      <w:r>
        <w:t xml:space="preserve">Arguments for </w:t>
      </w:r>
      <w:r w:rsidR="003A7C85">
        <w:t>Regents of the University of California</w:t>
      </w:r>
      <w:r>
        <w:t xml:space="preserve"> (petitioner)</w:t>
      </w:r>
    </w:p>
    <w:p w14:paraId="65E80006" w14:textId="301A4C3C" w:rsidR="00F27F65" w:rsidRDefault="003B607F" w:rsidP="00F50128">
      <w:pPr>
        <w:pStyle w:val="Bulletsl"/>
        <w:spacing w:line="276" w:lineRule="auto"/>
        <w:rPr>
          <w:lang w:eastAsia="zh-CN"/>
        </w:rPr>
      </w:pPr>
      <w:r>
        <w:t xml:space="preserve">The </w:t>
      </w:r>
      <w:r w:rsidR="00C97E5E">
        <w:t>14</w:t>
      </w:r>
      <w:r w:rsidRPr="00BE7530">
        <w:rPr>
          <w:vertAlign w:val="superscript"/>
        </w:rPr>
        <w:t>th</w:t>
      </w:r>
      <w:r>
        <w:t xml:space="preserve"> Amendment states that people should be treated </w:t>
      </w:r>
      <w:r w:rsidRPr="003B607F">
        <w:rPr>
          <w:i/>
          <w:iCs/>
        </w:rPr>
        <w:t>equally</w:t>
      </w:r>
      <w:r>
        <w:t xml:space="preserve">, not the </w:t>
      </w:r>
      <w:r>
        <w:rPr>
          <w:i/>
          <w:iCs/>
        </w:rPr>
        <w:t>same</w:t>
      </w:r>
      <w:r>
        <w:t xml:space="preserve">. </w:t>
      </w:r>
      <w:r w:rsidR="00B669BC">
        <w:t xml:space="preserve">To treat people equally, we must give </w:t>
      </w:r>
      <w:r w:rsidR="00635807">
        <w:t xml:space="preserve">less </w:t>
      </w:r>
      <w:r w:rsidR="00635807" w:rsidRPr="00ED0DD3">
        <w:rPr>
          <w:b/>
          <w:bCs/>
          <w:u w:val="single"/>
        </w:rPr>
        <w:t>privileged</w:t>
      </w:r>
      <w:r w:rsidR="00635807">
        <w:t xml:space="preserve"> </w:t>
      </w:r>
      <w:r w:rsidR="00B669BC">
        <w:t xml:space="preserve">people what they need </w:t>
      </w:r>
      <w:r w:rsidR="00635807">
        <w:t xml:space="preserve">in order to </w:t>
      </w:r>
      <w:r w:rsidR="00B669BC">
        <w:t xml:space="preserve">have an equal starting place as those who are </w:t>
      </w:r>
      <w:r w:rsidR="00635807">
        <w:t>more privileged</w:t>
      </w:r>
      <w:r w:rsidR="00B669BC">
        <w:t xml:space="preserve">. </w:t>
      </w:r>
    </w:p>
    <w:p w14:paraId="01351C15" w14:textId="43324B74" w:rsidR="003B607F" w:rsidRDefault="00843764" w:rsidP="00F50128">
      <w:pPr>
        <w:pStyle w:val="Bulletsl"/>
        <w:spacing w:line="276" w:lineRule="auto"/>
        <w:rPr>
          <w:lang w:eastAsia="zh-CN"/>
        </w:rPr>
      </w:pPr>
      <w:r>
        <w:t>T</w:t>
      </w:r>
      <w:r w:rsidR="00F27F65">
        <w:t>here</w:t>
      </w:r>
      <w:r>
        <w:t xml:space="preserve"> is </w:t>
      </w:r>
      <w:r w:rsidR="000E3D53">
        <w:t xml:space="preserve">a </w:t>
      </w:r>
      <w:r>
        <w:t xml:space="preserve">history of </w:t>
      </w:r>
      <w:r w:rsidRPr="00F16EF0">
        <w:rPr>
          <w:b/>
          <w:bCs/>
          <w:u w:val="single"/>
        </w:rPr>
        <w:t>systemic racism</w:t>
      </w:r>
      <w:r>
        <w:t xml:space="preserve"> in the United States</w:t>
      </w:r>
      <w:r w:rsidR="00FE1A42">
        <w:t>. This</w:t>
      </w:r>
      <w:r>
        <w:t xml:space="preserve"> has</w:t>
      </w:r>
      <w:r w:rsidR="000E3D53">
        <w:t xml:space="preserve"> </w:t>
      </w:r>
      <w:r>
        <w:t xml:space="preserve">given </w:t>
      </w:r>
      <w:r w:rsidR="001A3CE9">
        <w:t>W</w:t>
      </w:r>
      <w:r>
        <w:t xml:space="preserve">hite people </w:t>
      </w:r>
      <w:r w:rsidR="005937A8">
        <w:t xml:space="preserve">more </w:t>
      </w:r>
      <w:r>
        <w:t xml:space="preserve">access to </w:t>
      </w:r>
      <w:r w:rsidR="006E7081">
        <w:t>higher</w:t>
      </w:r>
      <w:r>
        <w:t xml:space="preserve"> education than </w:t>
      </w:r>
      <w:r w:rsidR="007C73BB">
        <w:t xml:space="preserve">racial </w:t>
      </w:r>
      <w:r>
        <w:t>minorities.</w:t>
      </w:r>
      <w:r w:rsidR="003B7776">
        <w:t xml:space="preserve"> </w:t>
      </w:r>
      <w:r w:rsidR="006E7081">
        <w:t>P</w:t>
      </w:r>
      <w:r w:rsidR="005131B0">
        <w:t>rogram</w:t>
      </w:r>
      <w:r w:rsidR="00F27F65">
        <w:t xml:space="preserve">s </w:t>
      </w:r>
      <w:r w:rsidR="006E7081">
        <w:t>should</w:t>
      </w:r>
      <w:r w:rsidR="00F27F65">
        <w:t xml:space="preserve"> encourage and help </w:t>
      </w:r>
      <w:r w:rsidR="00635807">
        <w:t>people of color</w:t>
      </w:r>
      <w:r w:rsidR="00F27F65">
        <w:t xml:space="preserve"> join</w:t>
      </w:r>
      <w:r w:rsidR="003269B2">
        <w:t xml:space="preserve"> specialized</w:t>
      </w:r>
      <w:r w:rsidR="00F27F65">
        <w:t xml:space="preserve"> </w:t>
      </w:r>
      <w:r w:rsidR="00CE5B1E">
        <w:t>fields</w:t>
      </w:r>
      <w:r w:rsidR="00F27F65">
        <w:t xml:space="preserve"> like medicine.</w:t>
      </w:r>
    </w:p>
    <w:p w14:paraId="65AE39CE" w14:textId="3715E42C" w:rsidR="003B607F" w:rsidRDefault="003B607F" w:rsidP="00F50128">
      <w:pPr>
        <w:pStyle w:val="Bulletsl"/>
        <w:spacing w:line="276" w:lineRule="auto"/>
        <w:rPr>
          <w:lang w:eastAsia="zh-CN"/>
        </w:rPr>
      </w:pPr>
      <w:r>
        <w:t xml:space="preserve">The special admissions program at UC Davis did not </w:t>
      </w:r>
      <w:r w:rsidR="00D8115D">
        <w:t>only</w:t>
      </w:r>
      <w:r w:rsidR="00B669BC">
        <w:t xml:space="preserve"> review</w:t>
      </w:r>
      <w:r w:rsidR="00843764">
        <w:t xml:space="preserve"> applications by</w:t>
      </w:r>
      <w:r>
        <w:t xml:space="preserve"> </w:t>
      </w:r>
      <w:r w:rsidR="009E3CD5">
        <w:t>“</w:t>
      </w:r>
      <w:r w:rsidR="00D8115D">
        <w:t>minority</w:t>
      </w:r>
      <w:r w:rsidR="009E3CD5">
        <w:t>”</w:t>
      </w:r>
      <w:r w:rsidR="00D8115D">
        <w:t xml:space="preserve"> applicants.</w:t>
      </w:r>
      <w:r w:rsidR="00FE1A42">
        <w:t xml:space="preserve"> It </w:t>
      </w:r>
      <w:r>
        <w:t xml:space="preserve">also </w:t>
      </w:r>
      <w:r w:rsidR="00B669BC">
        <w:t>reviewed</w:t>
      </w:r>
      <w:r>
        <w:t xml:space="preserve"> </w:t>
      </w:r>
      <w:r w:rsidR="009E3CD5">
        <w:t>W</w:t>
      </w:r>
      <w:r>
        <w:t xml:space="preserve">hite </w:t>
      </w:r>
      <w:r w:rsidR="00707565">
        <w:t>applicants</w:t>
      </w:r>
      <w:r>
        <w:t xml:space="preserve"> who </w:t>
      </w:r>
      <w:r w:rsidR="0079533B">
        <w:t xml:space="preserve">were </w:t>
      </w:r>
      <w:r w:rsidR="00635807">
        <w:t>“</w:t>
      </w:r>
      <w:r w:rsidR="0079533B">
        <w:t>disadvantaged</w:t>
      </w:r>
      <w:r w:rsidR="00635807">
        <w:t>”</w:t>
      </w:r>
      <w:r w:rsidR="0079533B">
        <w:t xml:space="preserve"> in some way</w:t>
      </w:r>
      <w:r>
        <w:t xml:space="preserve">. </w:t>
      </w:r>
      <w:r w:rsidR="00681351">
        <w:t>White</w:t>
      </w:r>
      <w:r>
        <w:t xml:space="preserve"> </w:t>
      </w:r>
      <w:r w:rsidR="00707565">
        <w:t>applicants</w:t>
      </w:r>
      <w:r>
        <w:t xml:space="preserve"> </w:t>
      </w:r>
      <w:r w:rsidR="0079533B">
        <w:t>were also considered through</w:t>
      </w:r>
      <w:r w:rsidR="001904DC">
        <w:t xml:space="preserve"> the </w:t>
      </w:r>
      <w:r>
        <w:t>special admissions program</w:t>
      </w:r>
      <w:r w:rsidR="00681351">
        <w:t xml:space="preserve">. </w:t>
      </w:r>
      <w:r w:rsidR="001904DC">
        <w:t>This means</w:t>
      </w:r>
      <w:r w:rsidR="00681351">
        <w:t xml:space="preserve"> </w:t>
      </w:r>
      <w:r>
        <w:t>it did not violate the Equal Protection Clause.</w:t>
      </w:r>
    </w:p>
    <w:p w14:paraId="27FD530A" w14:textId="6AF3FDD9" w:rsidR="002F3EF7" w:rsidRDefault="00357D2A" w:rsidP="00C94C02">
      <w:pPr>
        <w:pStyle w:val="Bulletsl"/>
        <w:spacing w:line="276" w:lineRule="auto"/>
      </w:pPr>
      <w:r>
        <w:t>Bakke would not have been admitted to UC Davis even if there was no affirmative action program</w:t>
      </w:r>
      <w:r w:rsidR="009E3CD5">
        <w:t xml:space="preserve"> </w:t>
      </w:r>
      <w:r>
        <w:t>because of other factors</w:t>
      </w:r>
      <w:r w:rsidR="009E3CD5">
        <w:t>.</w:t>
      </w:r>
      <w:r>
        <w:t xml:space="preserve"> </w:t>
      </w:r>
    </w:p>
    <w:p w14:paraId="3C677143" w14:textId="16A583E2" w:rsidR="002F3EF7" w:rsidRDefault="002F3EF7" w:rsidP="002F3EF7">
      <w:pPr>
        <w:pStyle w:val="Subhead2sl"/>
      </w:pPr>
      <w:r>
        <w:t xml:space="preserve">Arguments for </w:t>
      </w:r>
      <w:r w:rsidR="003A7C85">
        <w:t>Bakke</w:t>
      </w:r>
      <w:r>
        <w:t xml:space="preserve"> (respondent)</w:t>
      </w:r>
    </w:p>
    <w:p w14:paraId="6CEADE1E" w14:textId="4DB77B9B" w:rsidR="004F2731" w:rsidRDefault="003B607F" w:rsidP="00F50128">
      <w:pPr>
        <w:pStyle w:val="Bulletsl"/>
        <w:spacing w:line="276" w:lineRule="auto"/>
        <w:rPr>
          <w:lang w:eastAsia="zh-CN"/>
        </w:rPr>
      </w:pPr>
      <w:r>
        <w:t xml:space="preserve">The </w:t>
      </w:r>
      <w:r w:rsidR="007C73BB">
        <w:t>14</w:t>
      </w:r>
      <w:r w:rsidR="001B1239" w:rsidRPr="00BE7530">
        <w:rPr>
          <w:vertAlign w:val="superscript"/>
        </w:rPr>
        <w:t>th</w:t>
      </w:r>
      <w:r>
        <w:t xml:space="preserve"> Amendment does not allow a state to</w:t>
      </w:r>
      <w:r w:rsidR="00FE1A42">
        <w:t xml:space="preserve"> </w:t>
      </w:r>
      <w:r w:rsidR="00357D2A">
        <w:t xml:space="preserve">treat people differently </w:t>
      </w:r>
      <w:r>
        <w:t xml:space="preserve">based </w:t>
      </w:r>
      <w:r w:rsidR="00FE1A42">
        <w:t>on</w:t>
      </w:r>
      <w:r>
        <w:t xml:space="preserve"> race. </w:t>
      </w:r>
      <w:r w:rsidR="006F53AB">
        <w:t xml:space="preserve">Even if </w:t>
      </w:r>
      <w:r w:rsidR="009E3CD5">
        <w:t>this type of unequal treatment</w:t>
      </w:r>
      <w:r w:rsidR="006F53AB">
        <w:t xml:space="preserve"> is less harmful than other types of discrimination, it </w:t>
      </w:r>
      <w:r w:rsidR="00357D2A">
        <w:t xml:space="preserve">should still not be allowed. </w:t>
      </w:r>
    </w:p>
    <w:p w14:paraId="2E181503" w14:textId="45407AB7" w:rsidR="004F2731" w:rsidRDefault="004F2731" w:rsidP="00F50128">
      <w:pPr>
        <w:pStyle w:val="Bulletsl"/>
        <w:spacing w:line="276" w:lineRule="auto"/>
        <w:rPr>
          <w:lang w:eastAsia="zh-CN"/>
        </w:rPr>
      </w:pPr>
      <w:r>
        <w:t xml:space="preserve">The </w:t>
      </w:r>
      <w:r w:rsidR="007C73BB">
        <w:t>14</w:t>
      </w:r>
      <w:r w:rsidRPr="00BE7530">
        <w:rPr>
          <w:vertAlign w:val="superscript"/>
        </w:rPr>
        <w:t>th</w:t>
      </w:r>
      <w:r>
        <w:t xml:space="preserve"> Amendment states that people should be treated </w:t>
      </w:r>
      <w:r w:rsidRPr="003B607F">
        <w:rPr>
          <w:i/>
          <w:iCs/>
        </w:rPr>
        <w:t>equally</w:t>
      </w:r>
      <w:r>
        <w:t xml:space="preserve">. </w:t>
      </w:r>
      <w:r w:rsidR="006F53AB">
        <w:t>Using</w:t>
      </w:r>
      <w:r>
        <w:t xml:space="preserve"> quota</w:t>
      </w:r>
      <w:r w:rsidR="008C6028">
        <w:t>s</w:t>
      </w:r>
      <w:r>
        <w:t xml:space="preserve"> is </w:t>
      </w:r>
      <w:r w:rsidR="00466F65">
        <w:t xml:space="preserve">not treating people equally </w:t>
      </w:r>
      <w:r>
        <w:t>based on race</w:t>
      </w:r>
      <w:r w:rsidR="00FE1A42">
        <w:t>. W</w:t>
      </w:r>
      <w:r w:rsidR="008C6028">
        <w:t xml:space="preserve">hite </w:t>
      </w:r>
      <w:r w:rsidR="007C73BB">
        <w:t>applicants</w:t>
      </w:r>
      <w:r w:rsidR="008C6028">
        <w:t xml:space="preserve"> were treated “less well” than </w:t>
      </w:r>
      <w:r w:rsidR="00EA03F9">
        <w:t>“</w:t>
      </w:r>
      <w:r w:rsidR="008C6028">
        <w:t>minority</w:t>
      </w:r>
      <w:r w:rsidR="00EA03F9">
        <w:t>”</w:t>
      </w:r>
      <w:r w:rsidR="008C6028">
        <w:t xml:space="preserve"> </w:t>
      </w:r>
      <w:r w:rsidR="007C73BB">
        <w:t>applicants</w:t>
      </w:r>
      <w:r w:rsidR="006F1CE4">
        <w:t xml:space="preserve"> because they needed higher GPAs and test scores to be admitted.</w:t>
      </w:r>
    </w:p>
    <w:p w14:paraId="046C9C48" w14:textId="7C0C7FA7" w:rsidR="003B607F" w:rsidRDefault="00357D2A" w:rsidP="00F50128">
      <w:pPr>
        <w:pStyle w:val="Bulletsl"/>
        <w:spacing w:line="276" w:lineRule="auto"/>
        <w:rPr>
          <w:lang w:eastAsia="zh-CN"/>
        </w:rPr>
      </w:pPr>
      <w:r>
        <w:lastRenderedPageBreak/>
        <w:t xml:space="preserve">There were </w:t>
      </w:r>
      <w:r w:rsidR="006F1CE4">
        <w:t>W</w:t>
      </w:r>
      <w:r>
        <w:t>hite applicants who chose t</w:t>
      </w:r>
      <w:r w:rsidR="0079533B">
        <w:t xml:space="preserve">o be considered as </w:t>
      </w:r>
      <w:r>
        <w:t xml:space="preserve">“disadvantaged” on their applications. </w:t>
      </w:r>
      <w:r w:rsidR="00991578">
        <w:t>But</w:t>
      </w:r>
      <w:r>
        <w:t xml:space="preserve"> none were admitted through the special admissions program</w:t>
      </w:r>
      <w:r w:rsidR="006F1CE4">
        <w:t xml:space="preserve"> which might be a violation of the Equal Protection Clause</w:t>
      </w:r>
      <w:r w:rsidR="00FB4EF3">
        <w:t>.</w:t>
      </w:r>
    </w:p>
    <w:p w14:paraId="3F9F287F" w14:textId="7B857EDF" w:rsidR="00F27F65" w:rsidRDefault="006F67F3" w:rsidP="00F50128">
      <w:pPr>
        <w:pStyle w:val="Bulletsl"/>
        <w:spacing w:line="276" w:lineRule="auto"/>
        <w:rPr>
          <w:lang w:eastAsia="zh-CN"/>
        </w:rPr>
      </w:pPr>
      <w:r>
        <w:t xml:space="preserve">The special admissions program at UC Davis admitted some candidates who had lower GPAs than those who were rejected by the regular program. </w:t>
      </w:r>
      <w:r w:rsidR="00F27F65">
        <w:rPr>
          <w:lang w:eastAsia="zh-CN"/>
        </w:rPr>
        <w:t xml:space="preserve">Bakke had a higher GPA than some </w:t>
      </w:r>
      <w:r w:rsidR="001904DC">
        <w:rPr>
          <w:lang w:eastAsia="zh-CN"/>
        </w:rPr>
        <w:t xml:space="preserve">candidates </w:t>
      </w:r>
      <w:r w:rsidR="00F27F65">
        <w:rPr>
          <w:lang w:eastAsia="zh-CN"/>
        </w:rPr>
        <w:t>admitted</w:t>
      </w:r>
      <w:r w:rsidR="001904DC">
        <w:rPr>
          <w:lang w:eastAsia="zh-CN"/>
        </w:rPr>
        <w:t xml:space="preserve"> through</w:t>
      </w:r>
      <w:r w:rsidR="00F27F65">
        <w:rPr>
          <w:lang w:eastAsia="zh-CN"/>
        </w:rPr>
        <w:t xml:space="preserve"> the special program</w:t>
      </w:r>
      <w:r w:rsidR="00F37075">
        <w:rPr>
          <w:lang w:eastAsia="zh-CN"/>
        </w:rPr>
        <w:t xml:space="preserve">. </w:t>
      </w:r>
      <w:r w:rsidR="001904DC">
        <w:rPr>
          <w:lang w:eastAsia="zh-CN"/>
        </w:rPr>
        <w:t>This means</w:t>
      </w:r>
      <w:r w:rsidR="00F37075">
        <w:rPr>
          <w:lang w:eastAsia="zh-CN"/>
        </w:rPr>
        <w:t xml:space="preserve"> </w:t>
      </w:r>
      <w:r w:rsidR="00F27F65">
        <w:rPr>
          <w:lang w:eastAsia="zh-CN"/>
        </w:rPr>
        <w:t xml:space="preserve">he was more qualified to </w:t>
      </w:r>
      <w:r w:rsidR="003D4D95">
        <w:rPr>
          <w:lang w:eastAsia="zh-CN"/>
        </w:rPr>
        <w:t>attend</w:t>
      </w:r>
      <w:r w:rsidR="00F27F65">
        <w:rPr>
          <w:lang w:eastAsia="zh-CN"/>
        </w:rPr>
        <w:t xml:space="preserve"> UC Davis than they were.</w:t>
      </w:r>
    </w:p>
    <w:p w14:paraId="779A18A6" w14:textId="77777777" w:rsidR="002F3EF7" w:rsidRPr="00ED7038" w:rsidRDefault="002F3EF7" w:rsidP="00F50128">
      <w:pPr>
        <w:pStyle w:val="Subhead2sl"/>
        <w:keepNext/>
        <w:spacing w:before="480"/>
      </w:pPr>
      <w:r w:rsidRPr="00ED7038">
        <w:t>Decision</w:t>
      </w:r>
    </w:p>
    <w:p w14:paraId="6DB092E3" w14:textId="3369D766" w:rsidR="002F3EF7" w:rsidRPr="00ED7038" w:rsidRDefault="002F3EF7" w:rsidP="002F3EF7">
      <w:pPr>
        <w:pStyle w:val="Basiccopysl"/>
      </w:pPr>
      <w:r>
        <w:t>In a 5</w:t>
      </w:r>
      <w:r w:rsidR="002B7B11">
        <w:t>-</w:t>
      </w:r>
      <w:r>
        <w:t xml:space="preserve">4 decision, the Supreme Court </w:t>
      </w:r>
      <w:r w:rsidR="00756D90">
        <w:t xml:space="preserve">struck down </w:t>
      </w:r>
      <w:r w:rsidR="00F27F65">
        <w:t>UC Davis’ special admissions program</w:t>
      </w:r>
      <w:r w:rsidR="00756D90">
        <w:t xml:space="preserve">. The Court ordered </w:t>
      </w:r>
      <w:r w:rsidR="00F27F65">
        <w:t xml:space="preserve">the school to admit Bakke. </w:t>
      </w:r>
      <w:r w:rsidR="002B05D1">
        <w:t xml:space="preserve">Six </w:t>
      </w:r>
      <w:r w:rsidR="00AB647D">
        <w:t>j</w:t>
      </w:r>
      <w:r w:rsidR="002B05D1">
        <w:t>ustice</w:t>
      </w:r>
      <w:r w:rsidR="00FE1A42">
        <w:t>s</w:t>
      </w:r>
      <w:r w:rsidR="002B05D1">
        <w:t xml:space="preserve"> wrote opinions</w:t>
      </w:r>
      <w:r w:rsidR="006F1CE4">
        <w:t xml:space="preserve"> because they had different reasons for their decisions</w:t>
      </w:r>
      <w:r w:rsidR="00756D90">
        <w:t xml:space="preserve">. </w:t>
      </w:r>
    </w:p>
    <w:p w14:paraId="5A713F38" w14:textId="5443C4C9" w:rsidR="002F3EF7" w:rsidRDefault="006F10CA" w:rsidP="002F3EF7">
      <w:pPr>
        <w:pStyle w:val="Basiccopysl"/>
      </w:pPr>
      <w:r>
        <w:t>Justice Powell</w:t>
      </w:r>
      <w:r w:rsidR="00FE57CE">
        <w:t xml:space="preserve"> found that UC Davis’ special admissions program did discriminate against Bakke </w:t>
      </w:r>
      <w:r w:rsidR="008330BB">
        <w:t>based on</w:t>
      </w:r>
      <w:r w:rsidR="00FE57CE">
        <w:t xml:space="preserve"> his race. The</w:t>
      </w:r>
      <w:r w:rsidR="000E731B">
        <w:t xml:space="preserve"> school</w:t>
      </w:r>
      <w:r w:rsidR="00602B7D">
        <w:t xml:space="preserve"> saved</w:t>
      </w:r>
      <w:r w:rsidR="00FE57CE">
        <w:t xml:space="preserve"> 16 out </w:t>
      </w:r>
      <w:r w:rsidR="00DD70F2">
        <w:t>of</w:t>
      </w:r>
      <w:r w:rsidR="00FE57CE">
        <w:t xml:space="preserve"> 100 s</w:t>
      </w:r>
      <w:r w:rsidR="00602B7D">
        <w:t xml:space="preserve">pots </w:t>
      </w:r>
      <w:r w:rsidR="00FE57CE">
        <w:t xml:space="preserve">in the class for </w:t>
      </w:r>
      <w:r w:rsidR="00EA03F9">
        <w:t>non-White students</w:t>
      </w:r>
      <w:r w:rsidR="00FE57CE">
        <w:t xml:space="preserve">. </w:t>
      </w:r>
      <w:r w:rsidR="001904DC">
        <w:t>That means</w:t>
      </w:r>
      <w:r w:rsidR="00FE57CE">
        <w:t xml:space="preserve"> </w:t>
      </w:r>
      <w:r w:rsidR="001A3CE9">
        <w:t>W</w:t>
      </w:r>
      <w:r w:rsidR="00FE57CE">
        <w:t xml:space="preserve">hite applicants were able to </w:t>
      </w:r>
      <w:r w:rsidR="00870182">
        <w:t>compete for</w:t>
      </w:r>
      <w:r w:rsidR="00FE57CE">
        <w:t xml:space="preserve"> only 84 of the s</w:t>
      </w:r>
      <w:r w:rsidR="00602B7D">
        <w:t>pot</w:t>
      </w:r>
      <w:r w:rsidR="00FE57CE">
        <w:t>s</w:t>
      </w:r>
      <w:r w:rsidR="000E731B">
        <w:t xml:space="preserve">. </w:t>
      </w:r>
      <w:r w:rsidR="00EA03F9">
        <w:t>“</w:t>
      </w:r>
      <w:r w:rsidR="000E731B">
        <w:t>M</w:t>
      </w:r>
      <w:r w:rsidR="00FE57CE">
        <w:t>inority</w:t>
      </w:r>
      <w:r w:rsidR="00EA03F9">
        <w:t>”</w:t>
      </w:r>
      <w:r w:rsidR="00FE57CE">
        <w:t xml:space="preserve"> </w:t>
      </w:r>
      <w:r w:rsidR="00F17007">
        <w:t>applicants</w:t>
      </w:r>
      <w:r w:rsidR="00FE57CE">
        <w:t xml:space="preserve"> </w:t>
      </w:r>
      <w:r w:rsidR="00870182">
        <w:t>could</w:t>
      </w:r>
      <w:r w:rsidR="00264D47">
        <w:t xml:space="preserve"> </w:t>
      </w:r>
      <w:r w:rsidR="00FE57CE">
        <w:t>compet</w:t>
      </w:r>
      <w:r w:rsidR="00870182">
        <w:t>e</w:t>
      </w:r>
      <w:r w:rsidR="00FE57CE">
        <w:t xml:space="preserve"> for all 100 s</w:t>
      </w:r>
      <w:r w:rsidR="00602B7D">
        <w:t>pots.</w:t>
      </w:r>
      <w:r w:rsidR="00FE57CE">
        <w:t xml:space="preserve"> </w:t>
      </w:r>
      <w:r w:rsidR="00602B7D">
        <w:t>The</w:t>
      </w:r>
      <w:r w:rsidR="00FE57CE">
        <w:t xml:space="preserve"> policy treated </w:t>
      </w:r>
      <w:r w:rsidR="001A3CE9">
        <w:t>W</w:t>
      </w:r>
      <w:r w:rsidR="00FE57CE">
        <w:t>hite applicants different</w:t>
      </w:r>
      <w:r w:rsidR="008C6028">
        <w:t>ly</w:t>
      </w:r>
      <w:r w:rsidR="00FE57CE">
        <w:t xml:space="preserve"> from </w:t>
      </w:r>
      <w:r w:rsidR="00DD70F2">
        <w:t>applicant</w:t>
      </w:r>
      <w:r w:rsidR="00FE57CE">
        <w:t>s of other races</w:t>
      </w:r>
      <w:r w:rsidR="00602B7D">
        <w:t xml:space="preserve">. </w:t>
      </w:r>
      <w:r w:rsidR="001904DC">
        <w:t>That means</w:t>
      </w:r>
      <w:r w:rsidR="00602B7D">
        <w:t xml:space="preserve"> the</w:t>
      </w:r>
      <w:r w:rsidR="00C85B6F">
        <w:t xml:space="preserve"> quota system</w:t>
      </w:r>
      <w:r w:rsidR="00FE57CE">
        <w:t xml:space="preserve"> violated the </w:t>
      </w:r>
      <w:r w:rsidR="007C73BB">
        <w:t>14</w:t>
      </w:r>
      <w:r w:rsidR="00FE57CE" w:rsidRPr="00BE7530">
        <w:rPr>
          <w:vertAlign w:val="superscript"/>
        </w:rPr>
        <w:t>th</w:t>
      </w:r>
      <w:r w:rsidR="00FE57CE">
        <w:t xml:space="preserve"> Amendment’s Equal Protection Clause.</w:t>
      </w:r>
    </w:p>
    <w:p w14:paraId="11842EBB" w14:textId="2ED2A308" w:rsidR="00B30739" w:rsidRDefault="00B30739" w:rsidP="00B30739">
      <w:pPr>
        <w:pStyle w:val="Basiccopysl"/>
      </w:pPr>
      <w:r>
        <w:t xml:space="preserve">Justice Powell </w:t>
      </w:r>
      <w:r w:rsidR="00602B7D">
        <w:t xml:space="preserve">also </w:t>
      </w:r>
      <w:r>
        <w:t xml:space="preserve">found that the </w:t>
      </w:r>
      <w:r w:rsidR="00AB5DF4">
        <w:t xml:space="preserve">school’s </w:t>
      </w:r>
      <w:r w:rsidR="00F30A80">
        <w:t xml:space="preserve">goal </w:t>
      </w:r>
      <w:r>
        <w:t xml:space="preserve">of increased diversity was </w:t>
      </w:r>
      <w:r w:rsidR="00027418">
        <w:t>valid</w:t>
      </w:r>
      <w:r w:rsidR="00A676B8">
        <w:t xml:space="preserve"> so t</w:t>
      </w:r>
      <w:r>
        <w:t>he s</w:t>
      </w:r>
      <w:r w:rsidR="00143CBE">
        <w:t xml:space="preserve">chool </w:t>
      </w:r>
      <w:r w:rsidR="00DD70F2">
        <w:t xml:space="preserve">could </w:t>
      </w:r>
      <w:r w:rsidR="00D50E25">
        <w:t>use</w:t>
      </w:r>
      <w:r>
        <w:t xml:space="preserve"> race as one of </w:t>
      </w:r>
      <w:r w:rsidR="00027418">
        <w:t>many</w:t>
      </w:r>
      <w:r>
        <w:t xml:space="preserve"> factors when deciding whether to admit applicants</w:t>
      </w:r>
      <w:r w:rsidR="00F30A80">
        <w:t xml:space="preserve">. </w:t>
      </w:r>
      <w:r w:rsidR="00E63158">
        <w:t>But</w:t>
      </w:r>
      <w:r>
        <w:t xml:space="preserve"> it could not be the only factor </w:t>
      </w:r>
      <w:r w:rsidR="00D50E25">
        <w:t>used</w:t>
      </w:r>
      <w:r w:rsidR="00D041E6">
        <w:t>.</w:t>
      </w:r>
      <w:r>
        <w:t xml:space="preserve"> </w:t>
      </w:r>
      <w:r w:rsidR="00143CBE">
        <w:t>The school should consider other factors</w:t>
      </w:r>
      <w:r w:rsidR="002B4E00">
        <w:t xml:space="preserve"> </w:t>
      </w:r>
      <w:r w:rsidR="00DD70F2">
        <w:t>as well.</w:t>
      </w:r>
      <w:r>
        <w:t xml:space="preserve"> </w:t>
      </w:r>
      <w:r w:rsidR="00F17007">
        <w:t>These include factors</w:t>
      </w:r>
      <w:r w:rsidR="00B25724">
        <w:t xml:space="preserve"> such as </w:t>
      </w:r>
      <w:r w:rsidR="00F17007">
        <w:t xml:space="preserve">religion, </w:t>
      </w:r>
      <w:r w:rsidR="00B25724">
        <w:t>educational background, and financial status.</w:t>
      </w:r>
    </w:p>
    <w:p w14:paraId="3EF9245E" w14:textId="42659615" w:rsidR="00000000" w:rsidRDefault="00863946" w:rsidP="008F1D4A">
      <w:pPr>
        <w:pStyle w:val="Subhead2sl"/>
      </w:pPr>
      <w:r>
        <w:t>Impact of the Case</w:t>
      </w:r>
    </w:p>
    <w:p w14:paraId="016F6F87" w14:textId="785A6E0F" w:rsidR="0014453E" w:rsidRDefault="0014453E" w:rsidP="00E007AF">
      <w:pPr>
        <w:pStyle w:val="Bulletsl"/>
        <w:numPr>
          <w:ilvl w:val="0"/>
          <w:numId w:val="0"/>
        </w:numPr>
        <w:spacing w:line="276" w:lineRule="auto"/>
      </w:pPr>
      <w:r>
        <w:t>I</w:t>
      </w:r>
      <w:r w:rsidR="00CA5D2C">
        <w:t>n 1996, the state of California banned the use of race as a factor in admissions decisions</w:t>
      </w:r>
      <w:r w:rsidR="0076131F">
        <w:t>.</w:t>
      </w:r>
      <w:r w:rsidR="00CA5D2C">
        <w:t xml:space="preserve"> </w:t>
      </w:r>
      <w:r w:rsidR="002B4E00">
        <w:t xml:space="preserve">Other states </w:t>
      </w:r>
      <w:r w:rsidR="00D50E25">
        <w:t>took on</w:t>
      </w:r>
      <w:r w:rsidR="002B4E00">
        <w:t xml:space="preserve"> similar bans. </w:t>
      </w:r>
      <w:r w:rsidR="00264D47">
        <w:t xml:space="preserve">The University of California </w:t>
      </w:r>
      <w:r w:rsidR="00CA5D2C">
        <w:t xml:space="preserve">later </w:t>
      </w:r>
      <w:r w:rsidR="00B25724">
        <w:t>tried other policies</w:t>
      </w:r>
      <w:r w:rsidR="00CA5D2C">
        <w:t xml:space="preserve"> </w:t>
      </w:r>
      <w:r w:rsidR="007C73BB">
        <w:t xml:space="preserve">to </w:t>
      </w:r>
      <w:r w:rsidR="000C0944">
        <w:t>try</w:t>
      </w:r>
      <w:r w:rsidR="007C73BB">
        <w:t xml:space="preserve"> to increase diversity</w:t>
      </w:r>
      <w:r w:rsidR="00F30A80">
        <w:t xml:space="preserve">. </w:t>
      </w:r>
      <w:r w:rsidR="00E63158">
        <w:t xml:space="preserve">One of these policies was automatically accepting the top 4% </w:t>
      </w:r>
      <w:r w:rsidR="00FB4EF3">
        <w:t xml:space="preserve">(based on grade point averages) </w:t>
      </w:r>
      <w:r w:rsidR="00E63158">
        <w:t xml:space="preserve">of California high school students. </w:t>
      </w:r>
    </w:p>
    <w:p w14:paraId="319C4DB1" w14:textId="6A1FC207" w:rsidR="00E81444" w:rsidRDefault="00264D47" w:rsidP="00CA5D2C">
      <w:pPr>
        <w:pStyle w:val="Bulletsl"/>
        <w:numPr>
          <w:ilvl w:val="0"/>
          <w:numId w:val="0"/>
        </w:numPr>
        <w:spacing w:line="276" w:lineRule="auto"/>
      </w:pPr>
      <w:r>
        <w:t xml:space="preserve">The decision in </w:t>
      </w:r>
      <w:r w:rsidR="00941EA4" w:rsidRPr="00264D47">
        <w:rPr>
          <w:i/>
        </w:rPr>
        <w:t>Bakke</w:t>
      </w:r>
      <w:r w:rsidR="00941EA4">
        <w:t xml:space="preserve"> did not end the debate over affirmative action in higher educatio</w:t>
      </w:r>
      <w:r w:rsidR="00757DDF">
        <w:t>n</w:t>
      </w:r>
      <w:r w:rsidR="00941EA4">
        <w:t>.</w:t>
      </w:r>
      <w:r>
        <w:t xml:space="preserve"> </w:t>
      </w:r>
      <w:r w:rsidR="0033281E">
        <w:t xml:space="preserve">In </w:t>
      </w:r>
      <w:r w:rsidR="00CA5D2C">
        <w:rPr>
          <w:i/>
          <w:iCs/>
        </w:rPr>
        <w:t>Grutter v. Bollinger</w:t>
      </w:r>
      <w:r w:rsidR="00CA5D2C">
        <w:t xml:space="preserve"> (2003)</w:t>
      </w:r>
      <w:r w:rsidR="0033281E">
        <w:t xml:space="preserve">, a </w:t>
      </w:r>
      <w:r w:rsidR="001A3CE9">
        <w:t>W</w:t>
      </w:r>
      <w:r w:rsidR="0033281E">
        <w:t>hite student applied to University of Michigan Law School</w:t>
      </w:r>
      <w:r w:rsidR="006F67F3">
        <w:t xml:space="preserve">. She </w:t>
      </w:r>
      <w:r w:rsidR="0033281E">
        <w:t xml:space="preserve">was rejected. The Court’s 5-4 decision echoed </w:t>
      </w:r>
      <w:r w:rsidR="00CA5D2C">
        <w:t>Justice Powell’s opinion</w:t>
      </w:r>
      <w:r w:rsidR="00757DDF">
        <w:t xml:space="preserve">. </w:t>
      </w:r>
      <w:r w:rsidR="006F67F3">
        <w:t xml:space="preserve">The school’s </w:t>
      </w:r>
      <w:r w:rsidR="00CA5D2C">
        <w:t xml:space="preserve">admission policies </w:t>
      </w:r>
      <w:r w:rsidR="0033281E">
        <w:t>use</w:t>
      </w:r>
      <w:r w:rsidR="006F67F3">
        <w:t>d</w:t>
      </w:r>
      <w:r w:rsidR="0033281E">
        <w:t xml:space="preserve"> </w:t>
      </w:r>
      <w:r w:rsidR="00CA5D2C">
        <w:t xml:space="preserve">race </w:t>
      </w:r>
      <w:r w:rsidR="006F67F3">
        <w:t xml:space="preserve">as a factor. However, because there were other factors in consideration, the policies were constitutional. </w:t>
      </w:r>
    </w:p>
    <w:p w14:paraId="256F1936" w14:textId="46E145BC" w:rsidR="00E00A43" w:rsidRDefault="008C60E5" w:rsidP="008C60E5">
      <w:pPr>
        <w:pStyle w:val="Bulletsl"/>
        <w:numPr>
          <w:ilvl w:val="0"/>
          <w:numId w:val="0"/>
        </w:numPr>
        <w:spacing w:line="276" w:lineRule="auto"/>
      </w:pPr>
      <w:r>
        <w:t>The</w:t>
      </w:r>
      <w:r w:rsidR="00F30A80">
        <w:t xml:space="preserve"> </w:t>
      </w:r>
      <w:r w:rsidR="002B4E00">
        <w:t>Court</w:t>
      </w:r>
      <w:r>
        <w:t xml:space="preserve"> </w:t>
      </w:r>
      <w:r w:rsidR="00277626">
        <w:t>is still</w:t>
      </w:r>
      <w:r w:rsidR="002B4E00">
        <w:t xml:space="preserve"> divided</w:t>
      </w:r>
      <w:r w:rsidR="00E81444">
        <w:t xml:space="preserve"> on these issues</w:t>
      </w:r>
      <w:r w:rsidR="00F30A80">
        <w:t xml:space="preserve">. </w:t>
      </w:r>
      <w:r w:rsidR="001154A7">
        <w:t>Cases</w:t>
      </w:r>
      <w:r w:rsidR="005517BB">
        <w:t xml:space="preserve"> against other affirmative action</w:t>
      </w:r>
      <w:r w:rsidR="00E720CC">
        <w:t xml:space="preserve"> programs</w:t>
      </w:r>
      <w:r w:rsidR="005517BB">
        <w:t xml:space="preserve"> </w:t>
      </w:r>
      <w:r w:rsidR="001154A7">
        <w:t>are ongoing</w:t>
      </w:r>
      <w:r w:rsidR="005517BB">
        <w:t xml:space="preserve">. </w:t>
      </w:r>
      <w:r w:rsidR="00E720CC">
        <w:t>In</w:t>
      </w:r>
      <w:r w:rsidR="005517BB">
        <w:t xml:space="preserve"> 2019</w:t>
      </w:r>
      <w:r w:rsidR="00F30A80">
        <w:t>,</w:t>
      </w:r>
      <w:r w:rsidR="005517BB">
        <w:t xml:space="preserve"> a lower court</w:t>
      </w:r>
      <w:r w:rsidR="00B25724">
        <w:t xml:space="preserve"> denied</w:t>
      </w:r>
      <w:r w:rsidR="005517BB">
        <w:t xml:space="preserve"> a </w:t>
      </w:r>
      <w:r w:rsidR="001154A7">
        <w:t xml:space="preserve">challenge </w:t>
      </w:r>
      <w:r w:rsidR="005517BB">
        <w:t>by Asian</w:t>
      </w:r>
      <w:r w:rsidR="00AB647D">
        <w:t xml:space="preserve"> </w:t>
      </w:r>
      <w:r w:rsidR="005517BB">
        <w:t>American students to Harvard’s admissions policies</w:t>
      </w:r>
      <w:r w:rsidR="001154A7">
        <w:t xml:space="preserve">. This </w:t>
      </w:r>
      <w:r w:rsidR="005517BB">
        <w:t>case could raise issues before the Supreme Court once again</w:t>
      </w:r>
      <w:r>
        <w:t>.</w:t>
      </w:r>
    </w:p>
    <w:p w14:paraId="78BE1B0C" w14:textId="77777777" w:rsidR="00AB647D" w:rsidRPr="00304792" w:rsidRDefault="00AB647D" w:rsidP="00304792">
      <w:pPr>
        <w:pStyle w:val="Bulletsl"/>
        <w:keepNext/>
        <w:numPr>
          <w:ilvl w:val="0"/>
          <w:numId w:val="0"/>
        </w:numPr>
        <w:spacing w:before="360"/>
        <w:rPr>
          <w:i/>
        </w:rPr>
      </w:pPr>
      <w:r w:rsidRPr="00304792">
        <w:rPr>
          <w:rFonts w:ascii="Gill Sans MT" w:hAnsi="Gill Sans MT"/>
          <w:b/>
          <w:i/>
        </w:rPr>
        <w:lastRenderedPageBreak/>
        <w:t>Glossary</w:t>
      </w:r>
    </w:p>
    <w:p w14:paraId="302089A8" w14:textId="77777777" w:rsidR="00AB647D" w:rsidRPr="00CE17B1" w:rsidRDefault="00AB647D" w:rsidP="00304792">
      <w:pPr>
        <w:pStyle w:val="Bulletsl"/>
        <w:spacing w:line="276" w:lineRule="auto"/>
        <w:rPr>
          <w:b/>
          <w:bCs/>
          <w:u w:val="single"/>
        </w:rPr>
      </w:pPr>
      <w:r w:rsidRPr="0049773E">
        <w:rPr>
          <w:b/>
          <w:bCs/>
          <w:u w:val="single"/>
        </w:rPr>
        <w:t>Affirmative action:</w:t>
      </w:r>
      <w:r>
        <w:t xml:space="preserve"> programs that favor groups who have faced historical discrimination.</w:t>
      </w:r>
    </w:p>
    <w:p w14:paraId="6B4DB3E4" w14:textId="77777777" w:rsidR="00AB647D" w:rsidRPr="00CE17B1" w:rsidRDefault="00AB647D" w:rsidP="00304792">
      <w:pPr>
        <w:pStyle w:val="Bulletsl"/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Disadvantaged:</w:t>
      </w:r>
      <w:r>
        <w:rPr>
          <w:b/>
          <w:bCs/>
        </w:rPr>
        <w:t xml:space="preserve"> </w:t>
      </w:r>
      <w:r>
        <w:t xml:space="preserve">the state of not having the same resources as those who are “advantaged.” </w:t>
      </w:r>
    </w:p>
    <w:p w14:paraId="1EFB2512" w14:textId="3205F282" w:rsidR="00AB647D" w:rsidRPr="00027E38" w:rsidRDefault="00AB647D" w:rsidP="00304792">
      <w:pPr>
        <w:pStyle w:val="Bulletsl"/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Discriminate:</w:t>
      </w:r>
      <w:r>
        <w:t xml:space="preserve"> to treat someone unfairly and differently than others</w:t>
      </w:r>
      <w:r w:rsidR="00007BAC">
        <w:t xml:space="preserve"> just because of certain characteristics, like their race or gender. </w:t>
      </w:r>
      <w:r>
        <w:t xml:space="preserve"> </w:t>
      </w:r>
    </w:p>
    <w:p w14:paraId="23C9E51A" w14:textId="77777777" w:rsidR="00AB647D" w:rsidRPr="001154A7" w:rsidRDefault="00AB647D" w:rsidP="00304792">
      <w:pPr>
        <w:pStyle w:val="Bulletsl"/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>Jurisdiction:</w:t>
      </w:r>
      <w:r>
        <w:t xml:space="preserve"> official power to make legal decisions.  </w:t>
      </w:r>
    </w:p>
    <w:p w14:paraId="2B86EFF7" w14:textId="77777777" w:rsidR="007F4095" w:rsidRPr="007F4095" w:rsidRDefault="00AB647D" w:rsidP="00D95928">
      <w:pPr>
        <w:pStyle w:val="Bulletsl"/>
        <w:spacing w:line="276" w:lineRule="auto"/>
        <w:rPr>
          <w:b/>
          <w:bCs/>
          <w:u w:val="single"/>
        </w:rPr>
      </w:pPr>
      <w:r w:rsidRPr="007F4095">
        <w:rPr>
          <w:b/>
          <w:bCs/>
          <w:u w:val="single"/>
        </w:rPr>
        <w:t>Inferior:</w:t>
      </w:r>
      <w:r w:rsidRPr="007F4095">
        <w:rPr>
          <w:b/>
          <w:bCs/>
        </w:rPr>
        <w:t xml:space="preserve"> </w:t>
      </w:r>
      <w:r w:rsidR="007F4095" w:rsidRPr="007F4095">
        <w:t>quality of being lower status or quality than someone or something else.</w:t>
      </w:r>
    </w:p>
    <w:p w14:paraId="77645E3C" w14:textId="27D18278" w:rsidR="00F54FFB" w:rsidRPr="007F4095" w:rsidRDefault="00F54FFB" w:rsidP="00D95928">
      <w:pPr>
        <w:pStyle w:val="Bulletsl"/>
        <w:spacing w:line="276" w:lineRule="auto"/>
        <w:rPr>
          <w:b/>
          <w:bCs/>
          <w:u w:val="single"/>
        </w:rPr>
      </w:pPr>
      <w:r w:rsidRPr="007F4095">
        <w:rPr>
          <w:b/>
          <w:bCs/>
          <w:u w:val="single"/>
        </w:rPr>
        <w:t>Privilege</w:t>
      </w:r>
      <w:r w:rsidR="00595D65" w:rsidRPr="007F4095">
        <w:rPr>
          <w:b/>
          <w:bCs/>
          <w:u w:val="single"/>
        </w:rPr>
        <w:t>d</w:t>
      </w:r>
      <w:r w:rsidR="0022784D" w:rsidRPr="007F4095">
        <w:rPr>
          <w:b/>
          <w:bCs/>
          <w:u w:val="single"/>
        </w:rPr>
        <w:t>:</w:t>
      </w:r>
      <w:r w:rsidR="0022784D" w:rsidRPr="007F4095">
        <w:rPr>
          <w:b/>
          <w:bCs/>
        </w:rPr>
        <w:t xml:space="preserve"> </w:t>
      </w:r>
      <w:r w:rsidR="00595D65">
        <w:t>having special</w:t>
      </w:r>
      <w:r w:rsidR="00CA5940">
        <w:t xml:space="preserve"> advantages or rights</w:t>
      </w:r>
      <w:r w:rsidR="005274C1">
        <w:t>.</w:t>
      </w:r>
    </w:p>
    <w:p w14:paraId="6EBE1675" w14:textId="4351AE5F" w:rsidR="00AB647D" w:rsidRDefault="00AB647D" w:rsidP="00304792">
      <w:pPr>
        <w:pStyle w:val="Bulletsl"/>
        <w:spacing w:line="276" w:lineRule="auto"/>
      </w:pPr>
      <w:r>
        <w:rPr>
          <w:b/>
          <w:bCs/>
          <w:u w:val="single"/>
        </w:rPr>
        <w:t>Quota:</w:t>
      </w:r>
      <w:r>
        <w:rPr>
          <w:b/>
          <w:bCs/>
        </w:rPr>
        <w:t xml:space="preserve"> </w:t>
      </w:r>
      <w:r>
        <w:t xml:space="preserve">a fixed number. In this case, the quota is the number of students from the special admissions program required to be accepted into the medical school class. </w:t>
      </w:r>
    </w:p>
    <w:p w14:paraId="2F9B5017" w14:textId="34DDFA5B" w:rsidR="00EE3533" w:rsidRDefault="00EE3533" w:rsidP="00304792">
      <w:pPr>
        <w:pStyle w:val="Bulletsl"/>
        <w:spacing w:line="276" w:lineRule="auto"/>
      </w:pPr>
      <w:r>
        <w:rPr>
          <w:b/>
          <w:bCs/>
          <w:u w:val="single"/>
        </w:rPr>
        <w:t>Systemic racism:</w:t>
      </w:r>
      <w:r>
        <w:t xml:space="preserve"> racism that exists in society in the form of wealth, healthcare, housing, access to food, school systems, and other areas of life.</w:t>
      </w:r>
    </w:p>
    <w:p w14:paraId="6290FFE9" w14:textId="42DA4648" w:rsidR="00CF406B" w:rsidRDefault="00EE3533" w:rsidP="00EE3533">
      <w:pPr>
        <w:pStyle w:val="Bulletsl"/>
        <w:spacing w:after="480" w:line="276" w:lineRule="auto"/>
      </w:pPr>
      <w:r>
        <w:rPr>
          <w:b/>
          <w:bCs/>
          <w:u w:val="single"/>
        </w:rPr>
        <w:t>Unconstitutional:</w:t>
      </w:r>
      <w:r>
        <w:t xml:space="preserve"> </w:t>
      </w:r>
      <w:r w:rsidRPr="00CF406B">
        <w:t>not allowed by or contained in the Constitution. If a law is unconstitutional, it will be struck down, meaning it is no longer a law.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B647D" w14:paraId="257A4802" w14:textId="77777777" w:rsidTr="009B48A0">
        <w:tc>
          <w:tcPr>
            <w:tcW w:w="9350" w:type="dxa"/>
            <w:shd w:val="clear" w:color="auto" w:fill="F2F2F2" w:themeFill="background1" w:themeFillShade="F2"/>
          </w:tcPr>
          <w:p w14:paraId="53EC25FD" w14:textId="77777777" w:rsidR="00AB647D" w:rsidRDefault="00AB647D" w:rsidP="009B48A0">
            <w:pPr>
              <w:pStyle w:val="Basiccopysl"/>
              <w:spacing w:before="120"/>
            </w:pPr>
            <w:r w:rsidRPr="00C26BCF">
              <w:t xml:space="preserve">Additional information about </w:t>
            </w:r>
            <w:r w:rsidRPr="002B7B11">
              <w:rPr>
                <w:i/>
                <w:iCs/>
              </w:rPr>
              <w:t>Regents of the University of California v. Bakke</w:t>
            </w:r>
            <w:r w:rsidRPr="00C26BCF">
              <w:rPr>
                <w:i/>
                <w:iCs/>
              </w:rPr>
              <w:t>,</w:t>
            </w:r>
            <w:r w:rsidRPr="00C26BCF">
              <w:t xml:space="preserve"> including background at three reading levels, opinion quotes and summaries, teaching activities, and additional resources, can be found at </w:t>
            </w:r>
            <w:hyperlink r:id="rId11" w:history="1">
              <w:r w:rsidRPr="00C26BCF">
                <w:rPr>
                  <w:rStyle w:val="Hyperlink"/>
                  <w:color w:val="auto"/>
                </w:rPr>
                <w:t>https://www.landmarkcases.org/</w:t>
              </w:r>
            </w:hyperlink>
            <w:r w:rsidRPr="00C26BCF">
              <w:t>.</w:t>
            </w:r>
          </w:p>
        </w:tc>
      </w:tr>
    </w:tbl>
    <w:p w14:paraId="22C0D32B" w14:textId="70BA8779" w:rsidR="00C26E16" w:rsidRPr="00C26E16" w:rsidRDefault="00C26E16" w:rsidP="000C64F6">
      <w:pPr>
        <w:pStyle w:val="Basiccopysl"/>
      </w:pPr>
    </w:p>
    <w:sectPr w:rsidR="00C26E16" w:rsidRPr="00C26E1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A4AA0" w14:textId="77777777" w:rsidR="001867C8" w:rsidRDefault="001867C8">
      <w:r>
        <w:separator/>
      </w:r>
    </w:p>
  </w:endnote>
  <w:endnote w:type="continuationSeparator" w:id="0">
    <w:p w14:paraId="57712FB1" w14:textId="77777777" w:rsidR="001867C8" w:rsidRDefault="0018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3D7811CD" w14:textId="7E18B4DA" w:rsidR="00000000" w:rsidRPr="000C64F6" w:rsidRDefault="00DA57A7">
        <w:pPr>
          <w:pStyle w:val="Footer"/>
          <w:rPr>
            <w:rFonts w:ascii="Garamond" w:hAnsi="Garamond"/>
            <w:sz w:val="22"/>
            <w:szCs w:val="22"/>
          </w:rPr>
        </w:pPr>
        <w:r w:rsidRPr="00304792">
          <w:rPr>
            <w:rFonts w:ascii="Garamond" w:hAnsi="Garamond" w:cstheme="minorHAnsi"/>
            <w:sz w:val="22"/>
            <w:szCs w:val="22"/>
          </w:rPr>
          <w:t>©</w:t>
        </w:r>
        <w:r w:rsidRPr="00304792">
          <w:rPr>
            <w:rFonts w:ascii="Garamond" w:hAnsi="Garamond"/>
            <w:sz w:val="22"/>
            <w:szCs w:val="22"/>
          </w:rPr>
          <w:t xml:space="preserve"> 20</w:t>
        </w:r>
        <w:r w:rsidR="00C14BB4" w:rsidRPr="00304792">
          <w:rPr>
            <w:rFonts w:ascii="Garamond" w:hAnsi="Garamond"/>
            <w:sz w:val="22"/>
            <w:szCs w:val="22"/>
          </w:rPr>
          <w:t>20</w:t>
        </w:r>
        <w:r w:rsidRPr="00304792">
          <w:rPr>
            <w:rFonts w:ascii="Garamond" w:hAnsi="Garamond"/>
            <w:sz w:val="22"/>
            <w:szCs w:val="22"/>
          </w:rPr>
          <w:t xml:space="preserve"> Street Law, Inc.</w:t>
        </w:r>
        <w:r w:rsidRPr="00304792">
          <w:rPr>
            <w:rFonts w:ascii="Garamond" w:hAnsi="Garamond"/>
            <w:sz w:val="22"/>
            <w:szCs w:val="22"/>
          </w:rPr>
          <w:tab/>
        </w:r>
        <w:r w:rsidRPr="00304792">
          <w:rPr>
            <w:rFonts w:ascii="Garamond" w:hAnsi="Garamond"/>
            <w:sz w:val="22"/>
            <w:szCs w:val="22"/>
          </w:rPr>
          <w:tab/>
          <w:t xml:space="preserve"> </w:t>
        </w:r>
        <w:r w:rsidRPr="00304792">
          <w:rPr>
            <w:rFonts w:ascii="Garamond" w:hAnsi="Garamond"/>
            <w:sz w:val="22"/>
            <w:szCs w:val="22"/>
          </w:rPr>
          <w:fldChar w:fldCharType="begin"/>
        </w:r>
        <w:r w:rsidRPr="00304792">
          <w:rPr>
            <w:rFonts w:ascii="Garamond" w:hAnsi="Garamond"/>
            <w:sz w:val="22"/>
            <w:szCs w:val="22"/>
          </w:rPr>
          <w:instrText xml:space="preserve"> PAGE   \* MERGEFORMAT </w:instrText>
        </w:r>
        <w:r w:rsidRPr="00304792">
          <w:rPr>
            <w:rFonts w:ascii="Garamond" w:hAnsi="Garamond"/>
            <w:sz w:val="22"/>
            <w:szCs w:val="22"/>
          </w:rPr>
          <w:fldChar w:fldCharType="separate"/>
        </w:r>
        <w:r w:rsidR="002117B4" w:rsidRPr="00304792">
          <w:rPr>
            <w:rFonts w:ascii="Garamond" w:hAnsi="Garamond"/>
            <w:noProof/>
            <w:sz w:val="22"/>
            <w:szCs w:val="22"/>
          </w:rPr>
          <w:t>5</w:t>
        </w:r>
        <w:r w:rsidRPr="00304792">
          <w:rPr>
            <w:rFonts w:ascii="Garamond" w:hAnsi="Garamond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</w:rPr>
      <w:id w:val="-175165228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C6D091A" w14:textId="3B6801F5" w:rsidR="00000000" w:rsidRPr="000C64F6" w:rsidRDefault="00DA57A7">
        <w:pPr>
          <w:pStyle w:val="Footer"/>
          <w:rPr>
            <w:rFonts w:ascii="Garamond" w:hAnsi="Garamond"/>
            <w:sz w:val="22"/>
            <w:szCs w:val="22"/>
          </w:rPr>
        </w:pPr>
        <w:r w:rsidRPr="00304792">
          <w:rPr>
            <w:rFonts w:ascii="Garamond" w:hAnsi="Garamond" w:cstheme="minorHAnsi"/>
            <w:sz w:val="22"/>
            <w:szCs w:val="22"/>
          </w:rPr>
          <w:t>©</w:t>
        </w:r>
        <w:r w:rsidRPr="00304792">
          <w:rPr>
            <w:rFonts w:ascii="Garamond" w:hAnsi="Garamond"/>
            <w:sz w:val="22"/>
            <w:szCs w:val="22"/>
          </w:rPr>
          <w:t xml:space="preserve"> 2019 Street Law, Inc.</w:t>
        </w:r>
        <w:r w:rsidRPr="00304792">
          <w:rPr>
            <w:rFonts w:ascii="Garamond" w:hAnsi="Garamond"/>
            <w:sz w:val="22"/>
            <w:szCs w:val="22"/>
          </w:rPr>
          <w:tab/>
        </w:r>
        <w:r w:rsidRPr="00304792">
          <w:rPr>
            <w:rFonts w:ascii="Garamond" w:hAnsi="Garamond"/>
            <w:sz w:val="22"/>
            <w:szCs w:val="22"/>
          </w:rPr>
          <w:tab/>
          <w:t xml:space="preserve"> </w:t>
        </w:r>
        <w:r w:rsidR="00635807" w:rsidRPr="00304792">
          <w:rPr>
            <w:rFonts w:ascii="Garamond" w:hAnsi="Garamond"/>
            <w:sz w:val="22"/>
            <w:szCs w:val="22"/>
          </w:rPr>
          <w:t>Last u</w:t>
        </w:r>
        <w:r w:rsidR="00707565" w:rsidRPr="00304792">
          <w:rPr>
            <w:rFonts w:ascii="Garamond" w:hAnsi="Garamond"/>
            <w:sz w:val="22"/>
            <w:szCs w:val="22"/>
          </w:rPr>
          <w:t>pdated: 0</w:t>
        </w:r>
        <w:r w:rsidR="00635807" w:rsidRPr="00304792">
          <w:rPr>
            <w:rFonts w:ascii="Garamond" w:hAnsi="Garamond"/>
            <w:sz w:val="22"/>
            <w:szCs w:val="22"/>
          </w:rPr>
          <w:t>8</w:t>
        </w:r>
        <w:r w:rsidR="00707565" w:rsidRPr="00304792">
          <w:rPr>
            <w:rFonts w:ascii="Garamond" w:hAnsi="Garamond"/>
            <w:sz w:val="22"/>
            <w:szCs w:val="22"/>
          </w:rPr>
          <w:t>/</w:t>
        </w:r>
        <w:r w:rsidR="00635807" w:rsidRPr="00304792">
          <w:rPr>
            <w:rFonts w:ascii="Garamond" w:hAnsi="Garamond"/>
            <w:sz w:val="22"/>
            <w:szCs w:val="22"/>
          </w:rPr>
          <w:t>17</w:t>
        </w:r>
        <w:r w:rsidR="00707565" w:rsidRPr="00304792">
          <w:rPr>
            <w:rFonts w:ascii="Garamond" w:hAnsi="Garamond"/>
            <w:sz w:val="22"/>
            <w:szCs w:val="22"/>
          </w:rPr>
          <w:t>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0C44" w14:textId="77777777" w:rsidR="001867C8" w:rsidRDefault="001867C8">
      <w:r>
        <w:separator/>
      </w:r>
    </w:p>
  </w:footnote>
  <w:footnote w:type="continuationSeparator" w:id="0">
    <w:p w14:paraId="0241E5F2" w14:textId="77777777" w:rsidR="001867C8" w:rsidRDefault="001867C8">
      <w:r>
        <w:continuationSeparator/>
      </w:r>
    </w:p>
  </w:footnote>
  <w:footnote w:id="1">
    <w:p w14:paraId="22635E50" w14:textId="60198FF0" w:rsidR="00BE7530" w:rsidRPr="000C64F6" w:rsidRDefault="00BE7530">
      <w:pPr>
        <w:pStyle w:val="FootnoteText"/>
        <w:rPr>
          <w:rFonts w:ascii="Garamond" w:hAnsi="Garamond"/>
        </w:rPr>
      </w:pPr>
      <w:r w:rsidRPr="00304792">
        <w:rPr>
          <w:rStyle w:val="FootnoteReference"/>
          <w:rFonts w:ascii="Garamond" w:hAnsi="Garamond"/>
        </w:rPr>
        <w:footnoteRef/>
      </w:r>
      <w:r w:rsidRPr="00304792">
        <w:rPr>
          <w:rFonts w:ascii="Garamond" w:hAnsi="Garamond"/>
        </w:rPr>
        <w:t xml:space="preserve"> The terms </w:t>
      </w:r>
      <w:r w:rsidRPr="00BE7530">
        <w:rPr>
          <w:rFonts w:ascii="Garamond" w:hAnsi="Garamond"/>
        </w:rPr>
        <w:t>“minority” and “disadvantaged” were used by the University of California in 1978.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77F4" w14:textId="77777777" w:rsidR="002B7B11" w:rsidRPr="00770920" w:rsidRDefault="002B7B11" w:rsidP="002B7B11">
    <w:pPr>
      <w:jc w:val="right"/>
      <w:rPr>
        <w:rFonts w:ascii="Garamond" w:hAnsi="Garamond"/>
      </w:rPr>
    </w:pPr>
    <w:bookmarkStart w:id="0" w:name="_Hlk156415552"/>
    <w:r w:rsidRPr="00770920">
      <w:rPr>
        <w:rFonts w:ascii="Garamond" w:hAnsi="Garamond" w:cstheme="minorHAnsi"/>
        <w:i/>
        <w:iCs/>
        <w:noProof/>
        <w:sz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1F875B" wp14:editId="5798A558">
              <wp:simplePos x="0" y="0"/>
              <wp:positionH relativeFrom="column">
                <wp:posOffset>-133350</wp:posOffset>
              </wp:positionH>
              <wp:positionV relativeFrom="paragraph">
                <wp:posOffset>-142875</wp:posOffset>
              </wp:positionV>
              <wp:extent cx="2695575" cy="542925"/>
              <wp:effectExtent l="0" t="0" r="0" b="0"/>
              <wp:wrapNone/>
              <wp:docPr id="733923717" name="Text Box 7339237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FBED1" w14:textId="77777777" w:rsidR="002B7B11" w:rsidRDefault="002B7B11" w:rsidP="002B7B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780F60" wp14:editId="45F2993C">
                                <wp:extent cx="1828800" cy="333590"/>
                                <wp:effectExtent l="0" t="0" r="0" b="9525"/>
                                <wp:docPr id="1342326644" name="Picture 1342326644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F875B" id="_x0000_t202" coordsize="21600,21600" o:spt="202" path="m,l,21600r21600,l21600,xe">
              <v:stroke joinstyle="miter"/>
              <v:path gradientshapeok="t" o:connecttype="rect"/>
            </v:shapetype>
            <v:shape id="Text Box 733923717" o:spid="_x0000_s1026" type="#_x0000_t202" style="position:absolute;left:0;text-align:left;margin-left:-10.5pt;margin-top:-11.25pt;width:212.25pt;height:4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" filled="f" stroked="f" strokeweight=".5pt">
              <v:textbox>
                <w:txbxContent>
                  <w:p w14:paraId="1DEFBED1" w14:textId="77777777" w:rsidR="002B7B11" w:rsidRDefault="002B7B11" w:rsidP="002B7B11">
                    <w:r>
                      <w:rPr>
                        <w:noProof/>
                      </w:rPr>
                      <w:drawing>
                        <wp:inline distT="0" distB="0" distL="0" distR="0" wp14:anchorId="11780F60" wp14:editId="45F2993C">
                          <wp:extent cx="1828800" cy="333590"/>
                          <wp:effectExtent l="0" t="0" r="0" b="9525"/>
                          <wp:docPr id="1342326644" name="Picture 1342326644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70920">
      <w:rPr>
        <w:rFonts w:ascii="Garamond" w:hAnsi="Garamond" w:cstheme="minorHAnsi"/>
        <w:i/>
        <w:iCs/>
        <w:sz w:val="22"/>
      </w:rPr>
      <w:t>Regents of the University of California v. Bakke</w:t>
    </w:r>
    <w:r w:rsidRPr="00770920">
      <w:rPr>
        <w:rFonts w:ascii="Garamond" w:hAnsi="Garamond" w:cstheme="minorHAnsi"/>
        <w:sz w:val="22"/>
      </w:rPr>
      <w:t xml:space="preserve"> (2015)</w:t>
    </w:r>
  </w:p>
  <w:bookmarkEnd w:id="0"/>
  <w:p w14:paraId="76122B08" w14:textId="5D338E87" w:rsidR="00000000" w:rsidRPr="002B7B11" w:rsidRDefault="00000000" w:rsidP="002B7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DA61" w14:textId="77777777" w:rsidR="002B7B11" w:rsidRPr="00770920" w:rsidRDefault="002B7B11" w:rsidP="002B7B11">
    <w:pPr>
      <w:jc w:val="right"/>
      <w:rPr>
        <w:rFonts w:ascii="Garamond" w:hAnsi="Garamond"/>
      </w:rPr>
    </w:pPr>
    <w:bookmarkStart w:id="1" w:name="_Hlk156415537"/>
    <w:r w:rsidRPr="00770920">
      <w:rPr>
        <w:rFonts w:ascii="Garamond" w:hAnsi="Garamond" w:cstheme="minorHAnsi"/>
        <w:noProof/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169F7E" wp14:editId="6EF17FF5">
              <wp:simplePos x="0" y="0"/>
              <wp:positionH relativeFrom="column">
                <wp:posOffset>-133350</wp:posOffset>
              </wp:positionH>
              <wp:positionV relativeFrom="paragraph">
                <wp:posOffset>-142875</wp:posOffset>
              </wp:positionV>
              <wp:extent cx="2695575" cy="542925"/>
              <wp:effectExtent l="0" t="0" r="0" b="0"/>
              <wp:wrapNone/>
              <wp:docPr id="1316934830" name="Text Box 13169348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09828C" w14:textId="77777777" w:rsidR="002B7B11" w:rsidRDefault="002B7B11" w:rsidP="002B7B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E203C2" wp14:editId="43B70D95">
                                <wp:extent cx="1828800" cy="333590"/>
                                <wp:effectExtent l="0" t="0" r="0" b="9525"/>
                                <wp:docPr id="365242982" name="Picture 365242982" descr="A picture containing text, clipar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text, clipart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28800" cy="3335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69F7E" id="_x0000_t202" coordsize="21600,21600" o:spt="202" path="m,l,21600r21600,l21600,xe">
              <v:stroke joinstyle="miter"/>
              <v:path gradientshapeok="t" o:connecttype="rect"/>
            </v:shapetype>
            <v:shape id="Text Box 1316934830" o:spid="_x0000_s1027" type="#_x0000_t202" style="position:absolute;left:0;text-align:left;margin-left:-10.5pt;margin-top:-11.25pt;width:212.2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" filled="f" stroked="f" strokeweight=".5pt">
              <v:textbox>
                <w:txbxContent>
                  <w:p w14:paraId="4709828C" w14:textId="77777777" w:rsidR="002B7B11" w:rsidRDefault="002B7B11" w:rsidP="002B7B11">
                    <w:r>
                      <w:rPr>
                        <w:noProof/>
                      </w:rPr>
                      <w:drawing>
                        <wp:inline distT="0" distB="0" distL="0" distR="0" wp14:anchorId="52E203C2" wp14:editId="43B70D95">
                          <wp:extent cx="1828800" cy="333590"/>
                          <wp:effectExtent l="0" t="0" r="0" b="9525"/>
                          <wp:docPr id="365242982" name="Picture 365242982" descr="A picture containing text, clipar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 descr="A picture containing text, clipart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28800" cy="3335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770920">
      <w:rPr>
        <w:rFonts w:ascii="Garamond" w:hAnsi="Garamond" w:cstheme="minorHAnsi"/>
        <w:sz w:val="22"/>
      </w:rPr>
      <w:t>Street Law, Inc. Case Summary</w:t>
    </w:r>
  </w:p>
  <w:bookmarkEnd w:id="1"/>
  <w:p w14:paraId="04ED39F5" w14:textId="744CF2BF" w:rsidR="00000000" w:rsidRPr="002B7B11" w:rsidRDefault="00000000" w:rsidP="002B7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2324"/>
    <w:multiLevelType w:val="multilevel"/>
    <w:tmpl w:val="9132A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213FF"/>
    <w:multiLevelType w:val="multilevel"/>
    <w:tmpl w:val="C774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C0700"/>
    <w:multiLevelType w:val="multilevel"/>
    <w:tmpl w:val="8A7C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9018A"/>
    <w:multiLevelType w:val="multilevel"/>
    <w:tmpl w:val="57B4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B28C6"/>
    <w:multiLevelType w:val="multilevel"/>
    <w:tmpl w:val="F28A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775284">
    <w:abstractNumId w:val="3"/>
  </w:num>
  <w:num w:numId="2" w16cid:durableId="1514102210">
    <w:abstractNumId w:val="0"/>
  </w:num>
  <w:num w:numId="3" w16cid:durableId="58595099">
    <w:abstractNumId w:val="2"/>
  </w:num>
  <w:num w:numId="4" w16cid:durableId="1616982412">
    <w:abstractNumId w:val="4"/>
  </w:num>
  <w:num w:numId="5" w16cid:durableId="1103188823">
    <w:abstractNumId w:val="1"/>
  </w:num>
  <w:num w:numId="6" w16cid:durableId="1315330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EF7"/>
    <w:rsid w:val="00005A3F"/>
    <w:rsid w:val="00007BAC"/>
    <w:rsid w:val="00013D3D"/>
    <w:rsid w:val="00022006"/>
    <w:rsid w:val="00027418"/>
    <w:rsid w:val="00027E38"/>
    <w:rsid w:val="000643A1"/>
    <w:rsid w:val="000843EC"/>
    <w:rsid w:val="00093BCC"/>
    <w:rsid w:val="000C063F"/>
    <w:rsid w:val="000C0944"/>
    <w:rsid w:val="000C64F6"/>
    <w:rsid w:val="000C7BAE"/>
    <w:rsid w:val="000E3D53"/>
    <w:rsid w:val="000E45DA"/>
    <w:rsid w:val="000E731B"/>
    <w:rsid w:val="000E734A"/>
    <w:rsid w:val="000F04D9"/>
    <w:rsid w:val="000F15CD"/>
    <w:rsid w:val="001037D8"/>
    <w:rsid w:val="00111DDB"/>
    <w:rsid w:val="001154A7"/>
    <w:rsid w:val="00121C51"/>
    <w:rsid w:val="00143CBE"/>
    <w:rsid w:val="0014453E"/>
    <w:rsid w:val="00161159"/>
    <w:rsid w:val="001867C8"/>
    <w:rsid w:val="001904DC"/>
    <w:rsid w:val="001931EB"/>
    <w:rsid w:val="00196E3B"/>
    <w:rsid w:val="001A3CE9"/>
    <w:rsid w:val="001B1239"/>
    <w:rsid w:val="001C4A72"/>
    <w:rsid w:val="001E1D84"/>
    <w:rsid w:val="00201153"/>
    <w:rsid w:val="00206E80"/>
    <w:rsid w:val="002117B4"/>
    <w:rsid w:val="0021475A"/>
    <w:rsid w:val="0022784D"/>
    <w:rsid w:val="00245539"/>
    <w:rsid w:val="00246B1E"/>
    <w:rsid w:val="002532FD"/>
    <w:rsid w:val="00260F1A"/>
    <w:rsid w:val="00264D47"/>
    <w:rsid w:val="00277626"/>
    <w:rsid w:val="0028288F"/>
    <w:rsid w:val="002B05D1"/>
    <w:rsid w:val="002B4E00"/>
    <w:rsid w:val="002B5D14"/>
    <w:rsid w:val="002B7614"/>
    <w:rsid w:val="002B79F7"/>
    <w:rsid w:val="002B7B11"/>
    <w:rsid w:val="002C7AB3"/>
    <w:rsid w:val="002F0673"/>
    <w:rsid w:val="002F3EF7"/>
    <w:rsid w:val="00304792"/>
    <w:rsid w:val="0031459F"/>
    <w:rsid w:val="00322AF9"/>
    <w:rsid w:val="00322B1B"/>
    <w:rsid w:val="003269B2"/>
    <w:rsid w:val="0033252B"/>
    <w:rsid w:val="0033281E"/>
    <w:rsid w:val="003338B8"/>
    <w:rsid w:val="003449CA"/>
    <w:rsid w:val="00345F22"/>
    <w:rsid w:val="00346113"/>
    <w:rsid w:val="00357D2A"/>
    <w:rsid w:val="00361E66"/>
    <w:rsid w:val="003755DA"/>
    <w:rsid w:val="003829E0"/>
    <w:rsid w:val="003A7C85"/>
    <w:rsid w:val="003B3F59"/>
    <w:rsid w:val="003B54A9"/>
    <w:rsid w:val="003B607F"/>
    <w:rsid w:val="003B7776"/>
    <w:rsid w:val="003C08FF"/>
    <w:rsid w:val="003D4D95"/>
    <w:rsid w:val="003F332A"/>
    <w:rsid w:val="00402BCF"/>
    <w:rsid w:val="0041732E"/>
    <w:rsid w:val="004303B1"/>
    <w:rsid w:val="00430528"/>
    <w:rsid w:val="00447D14"/>
    <w:rsid w:val="00466F65"/>
    <w:rsid w:val="00474E43"/>
    <w:rsid w:val="00481E4C"/>
    <w:rsid w:val="00490EAC"/>
    <w:rsid w:val="0049773E"/>
    <w:rsid w:val="004A28FD"/>
    <w:rsid w:val="004A3FB8"/>
    <w:rsid w:val="004A70A0"/>
    <w:rsid w:val="004B0E91"/>
    <w:rsid w:val="004B75EA"/>
    <w:rsid w:val="004C0239"/>
    <w:rsid w:val="004C4925"/>
    <w:rsid w:val="004C6271"/>
    <w:rsid w:val="004E1F8D"/>
    <w:rsid w:val="004F2731"/>
    <w:rsid w:val="005131B0"/>
    <w:rsid w:val="00516191"/>
    <w:rsid w:val="005274C1"/>
    <w:rsid w:val="00527DC6"/>
    <w:rsid w:val="005517BB"/>
    <w:rsid w:val="005645FF"/>
    <w:rsid w:val="00574FC3"/>
    <w:rsid w:val="005937A8"/>
    <w:rsid w:val="00595D65"/>
    <w:rsid w:val="00597780"/>
    <w:rsid w:val="005B1668"/>
    <w:rsid w:val="005C1758"/>
    <w:rsid w:val="005C4723"/>
    <w:rsid w:val="005C7741"/>
    <w:rsid w:val="005D1F25"/>
    <w:rsid w:val="005E7C3A"/>
    <w:rsid w:val="005F1B63"/>
    <w:rsid w:val="00601F73"/>
    <w:rsid w:val="00601FD0"/>
    <w:rsid w:val="00602B7D"/>
    <w:rsid w:val="00621B9F"/>
    <w:rsid w:val="00623F12"/>
    <w:rsid w:val="00625C43"/>
    <w:rsid w:val="00634EC7"/>
    <w:rsid w:val="0063562A"/>
    <w:rsid w:val="00635807"/>
    <w:rsid w:val="006446C5"/>
    <w:rsid w:val="006525B8"/>
    <w:rsid w:val="00661E32"/>
    <w:rsid w:val="0067576D"/>
    <w:rsid w:val="0067712F"/>
    <w:rsid w:val="00681351"/>
    <w:rsid w:val="00681E03"/>
    <w:rsid w:val="006832A5"/>
    <w:rsid w:val="0068685E"/>
    <w:rsid w:val="006907B0"/>
    <w:rsid w:val="00694504"/>
    <w:rsid w:val="006A789B"/>
    <w:rsid w:val="006B6D79"/>
    <w:rsid w:val="006C0897"/>
    <w:rsid w:val="006D71F0"/>
    <w:rsid w:val="006E7081"/>
    <w:rsid w:val="006F10CA"/>
    <w:rsid w:val="006F1CE4"/>
    <w:rsid w:val="006F53AB"/>
    <w:rsid w:val="006F67F3"/>
    <w:rsid w:val="00707565"/>
    <w:rsid w:val="00711285"/>
    <w:rsid w:val="007202F3"/>
    <w:rsid w:val="007237FB"/>
    <w:rsid w:val="00726968"/>
    <w:rsid w:val="00735F06"/>
    <w:rsid w:val="00742232"/>
    <w:rsid w:val="00745B83"/>
    <w:rsid w:val="00756617"/>
    <w:rsid w:val="00756D90"/>
    <w:rsid w:val="00757626"/>
    <w:rsid w:val="00757DDF"/>
    <w:rsid w:val="0076131F"/>
    <w:rsid w:val="007640D9"/>
    <w:rsid w:val="007862C6"/>
    <w:rsid w:val="0079533B"/>
    <w:rsid w:val="00796A22"/>
    <w:rsid w:val="00796D1F"/>
    <w:rsid w:val="007A10AA"/>
    <w:rsid w:val="007B6C43"/>
    <w:rsid w:val="007B778E"/>
    <w:rsid w:val="007C73BB"/>
    <w:rsid w:val="007D6D23"/>
    <w:rsid w:val="007E1591"/>
    <w:rsid w:val="007E3810"/>
    <w:rsid w:val="007F4095"/>
    <w:rsid w:val="0080077C"/>
    <w:rsid w:val="008100AB"/>
    <w:rsid w:val="00813E65"/>
    <w:rsid w:val="00815E29"/>
    <w:rsid w:val="00832ECD"/>
    <w:rsid w:val="008330BB"/>
    <w:rsid w:val="008353CC"/>
    <w:rsid w:val="00843764"/>
    <w:rsid w:val="00855022"/>
    <w:rsid w:val="00863946"/>
    <w:rsid w:val="008667DB"/>
    <w:rsid w:val="00870182"/>
    <w:rsid w:val="008746FB"/>
    <w:rsid w:val="0088105B"/>
    <w:rsid w:val="008945B0"/>
    <w:rsid w:val="00895DD5"/>
    <w:rsid w:val="008A1BBF"/>
    <w:rsid w:val="008A48D3"/>
    <w:rsid w:val="008B253C"/>
    <w:rsid w:val="008C6028"/>
    <w:rsid w:val="008C60E5"/>
    <w:rsid w:val="008E77B2"/>
    <w:rsid w:val="008F1D4A"/>
    <w:rsid w:val="008F3E30"/>
    <w:rsid w:val="00905B71"/>
    <w:rsid w:val="00907838"/>
    <w:rsid w:val="00930E1C"/>
    <w:rsid w:val="00941EA4"/>
    <w:rsid w:val="00945364"/>
    <w:rsid w:val="00991578"/>
    <w:rsid w:val="009949DD"/>
    <w:rsid w:val="0099768F"/>
    <w:rsid w:val="009A1A13"/>
    <w:rsid w:val="009A3008"/>
    <w:rsid w:val="009A633A"/>
    <w:rsid w:val="009A7440"/>
    <w:rsid w:val="009C7B28"/>
    <w:rsid w:val="009D50B5"/>
    <w:rsid w:val="009E3CD5"/>
    <w:rsid w:val="009E745D"/>
    <w:rsid w:val="009E7FDB"/>
    <w:rsid w:val="009F4C38"/>
    <w:rsid w:val="009F7A2A"/>
    <w:rsid w:val="009F7D5F"/>
    <w:rsid w:val="00A0664B"/>
    <w:rsid w:val="00A16069"/>
    <w:rsid w:val="00A265EE"/>
    <w:rsid w:val="00A32A9F"/>
    <w:rsid w:val="00A330DD"/>
    <w:rsid w:val="00A33B7F"/>
    <w:rsid w:val="00A34FCB"/>
    <w:rsid w:val="00A36D08"/>
    <w:rsid w:val="00A4291A"/>
    <w:rsid w:val="00A4462C"/>
    <w:rsid w:val="00A50A3D"/>
    <w:rsid w:val="00A52C52"/>
    <w:rsid w:val="00A542A7"/>
    <w:rsid w:val="00A545BC"/>
    <w:rsid w:val="00A676B8"/>
    <w:rsid w:val="00A8185E"/>
    <w:rsid w:val="00A921A7"/>
    <w:rsid w:val="00AB5DF4"/>
    <w:rsid w:val="00AB647D"/>
    <w:rsid w:val="00AD1765"/>
    <w:rsid w:val="00AE0088"/>
    <w:rsid w:val="00AE24D9"/>
    <w:rsid w:val="00AE761D"/>
    <w:rsid w:val="00AF4CD3"/>
    <w:rsid w:val="00AF7476"/>
    <w:rsid w:val="00B02FA0"/>
    <w:rsid w:val="00B05E46"/>
    <w:rsid w:val="00B1544A"/>
    <w:rsid w:val="00B15694"/>
    <w:rsid w:val="00B25724"/>
    <w:rsid w:val="00B30739"/>
    <w:rsid w:val="00B414EB"/>
    <w:rsid w:val="00B50DF2"/>
    <w:rsid w:val="00B53B4A"/>
    <w:rsid w:val="00B6439B"/>
    <w:rsid w:val="00B669BC"/>
    <w:rsid w:val="00B74B5E"/>
    <w:rsid w:val="00B92EDB"/>
    <w:rsid w:val="00BA5CB4"/>
    <w:rsid w:val="00BB12F0"/>
    <w:rsid w:val="00BC31BD"/>
    <w:rsid w:val="00BE61E6"/>
    <w:rsid w:val="00BE7530"/>
    <w:rsid w:val="00BF7AC6"/>
    <w:rsid w:val="00C02E0C"/>
    <w:rsid w:val="00C12F49"/>
    <w:rsid w:val="00C14BB4"/>
    <w:rsid w:val="00C231AB"/>
    <w:rsid w:val="00C252AB"/>
    <w:rsid w:val="00C26E16"/>
    <w:rsid w:val="00C31D04"/>
    <w:rsid w:val="00C341DB"/>
    <w:rsid w:val="00C406E1"/>
    <w:rsid w:val="00C507C1"/>
    <w:rsid w:val="00C510FE"/>
    <w:rsid w:val="00C53D8A"/>
    <w:rsid w:val="00C6093F"/>
    <w:rsid w:val="00C637AA"/>
    <w:rsid w:val="00C6430B"/>
    <w:rsid w:val="00C73F53"/>
    <w:rsid w:val="00C76516"/>
    <w:rsid w:val="00C85B6F"/>
    <w:rsid w:val="00C94C02"/>
    <w:rsid w:val="00C94EEE"/>
    <w:rsid w:val="00C97E5E"/>
    <w:rsid w:val="00CA5940"/>
    <w:rsid w:val="00CA5D2C"/>
    <w:rsid w:val="00CE17B1"/>
    <w:rsid w:val="00CE5B1E"/>
    <w:rsid w:val="00CE662E"/>
    <w:rsid w:val="00CF406B"/>
    <w:rsid w:val="00CF746D"/>
    <w:rsid w:val="00D041E6"/>
    <w:rsid w:val="00D21ADE"/>
    <w:rsid w:val="00D50E25"/>
    <w:rsid w:val="00D56340"/>
    <w:rsid w:val="00D6448A"/>
    <w:rsid w:val="00D75E1D"/>
    <w:rsid w:val="00D777E4"/>
    <w:rsid w:val="00D8115D"/>
    <w:rsid w:val="00DA57A7"/>
    <w:rsid w:val="00DB25E9"/>
    <w:rsid w:val="00DB29DF"/>
    <w:rsid w:val="00DD1BB6"/>
    <w:rsid w:val="00DD70F2"/>
    <w:rsid w:val="00DE38A4"/>
    <w:rsid w:val="00DE66BB"/>
    <w:rsid w:val="00DE6849"/>
    <w:rsid w:val="00E007AF"/>
    <w:rsid w:val="00E00A43"/>
    <w:rsid w:val="00E01319"/>
    <w:rsid w:val="00E10B41"/>
    <w:rsid w:val="00E209B2"/>
    <w:rsid w:val="00E24712"/>
    <w:rsid w:val="00E5182F"/>
    <w:rsid w:val="00E5782B"/>
    <w:rsid w:val="00E62D35"/>
    <w:rsid w:val="00E63158"/>
    <w:rsid w:val="00E66888"/>
    <w:rsid w:val="00E720CC"/>
    <w:rsid w:val="00E807FC"/>
    <w:rsid w:val="00E81444"/>
    <w:rsid w:val="00E966F8"/>
    <w:rsid w:val="00EA03F9"/>
    <w:rsid w:val="00EB15BD"/>
    <w:rsid w:val="00EC467A"/>
    <w:rsid w:val="00EC6F98"/>
    <w:rsid w:val="00ED0DD3"/>
    <w:rsid w:val="00ED4ED7"/>
    <w:rsid w:val="00EE3533"/>
    <w:rsid w:val="00F00C1C"/>
    <w:rsid w:val="00F047A0"/>
    <w:rsid w:val="00F1389A"/>
    <w:rsid w:val="00F16EF0"/>
    <w:rsid w:val="00F17007"/>
    <w:rsid w:val="00F27F65"/>
    <w:rsid w:val="00F30A80"/>
    <w:rsid w:val="00F37075"/>
    <w:rsid w:val="00F456C2"/>
    <w:rsid w:val="00F50128"/>
    <w:rsid w:val="00F50B3F"/>
    <w:rsid w:val="00F512B8"/>
    <w:rsid w:val="00F54FFB"/>
    <w:rsid w:val="00F70777"/>
    <w:rsid w:val="00F71F23"/>
    <w:rsid w:val="00F85E3B"/>
    <w:rsid w:val="00F8777E"/>
    <w:rsid w:val="00FB16D0"/>
    <w:rsid w:val="00FB1F22"/>
    <w:rsid w:val="00FB4EF3"/>
    <w:rsid w:val="00FC6132"/>
    <w:rsid w:val="00FD1A82"/>
    <w:rsid w:val="00FD5852"/>
    <w:rsid w:val="00FE1A42"/>
    <w:rsid w:val="00FE52C8"/>
    <w:rsid w:val="00FE57CE"/>
    <w:rsid w:val="00FF5015"/>
    <w:rsid w:val="00FF7D5C"/>
    <w:rsid w:val="57FBE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DAEB"/>
  <w14:defaultImageDpi w14:val="32767"/>
  <w15:chartTrackingRefBased/>
  <w15:docId w15:val="{13995B89-DE0E-3A4E-9EBE-B62ACBF7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aj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EF7"/>
    <w:rPr>
      <w:rFonts w:eastAsia="Times New Roman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7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sl">
    <w:name w:val="Title 2_sl"/>
    <w:basedOn w:val="Normal"/>
    <w:link w:val="Title2slChar"/>
    <w:qFormat/>
    <w:rsid w:val="002F3EF7"/>
    <w:pPr>
      <w:spacing w:before="360" w:after="240"/>
    </w:pPr>
    <w:rPr>
      <w:rFonts w:ascii="Gill Sans MT" w:hAnsi="Gill Sans MT"/>
      <w:b/>
      <w:sz w:val="36"/>
      <w:szCs w:val="36"/>
    </w:rPr>
  </w:style>
  <w:style w:type="character" w:customStyle="1" w:styleId="Title2slChar">
    <w:name w:val="Title 2_sl Char"/>
    <w:basedOn w:val="DefaultParagraphFont"/>
    <w:link w:val="Title2sl"/>
    <w:rsid w:val="002F3EF7"/>
    <w:rPr>
      <w:rFonts w:ascii="Gill Sans MT" w:eastAsia="Times New Roman" w:hAnsi="Gill Sans MT" w:cs="Times New Roman"/>
      <w:b/>
      <w:sz w:val="36"/>
      <w:szCs w:val="36"/>
      <w:lang w:eastAsia="en-US"/>
    </w:rPr>
  </w:style>
  <w:style w:type="paragraph" w:customStyle="1" w:styleId="Subhead2sl">
    <w:name w:val="Subhead 2_sl"/>
    <w:basedOn w:val="Normal"/>
    <w:link w:val="Subhead2slChar"/>
    <w:qFormat/>
    <w:rsid w:val="002F3EF7"/>
    <w:pPr>
      <w:spacing w:before="360" w:after="120"/>
    </w:pPr>
    <w:rPr>
      <w:rFonts w:ascii="Gill Sans MT" w:hAnsi="Gill Sans MT"/>
      <w:b/>
      <w:i/>
    </w:rPr>
  </w:style>
  <w:style w:type="paragraph" w:customStyle="1" w:styleId="Basiccopysl">
    <w:name w:val="Basic copy_sl"/>
    <w:basedOn w:val="Normal"/>
    <w:link w:val="BasiccopyslChar"/>
    <w:qFormat/>
    <w:rsid w:val="002F3EF7"/>
    <w:pPr>
      <w:spacing w:after="120" w:line="276" w:lineRule="auto"/>
    </w:pPr>
    <w:rPr>
      <w:rFonts w:ascii="Garamond" w:hAnsi="Garamond"/>
    </w:rPr>
  </w:style>
  <w:style w:type="character" w:customStyle="1" w:styleId="Subhead2slChar">
    <w:name w:val="Subhead 2_sl Char"/>
    <w:basedOn w:val="DefaultParagraphFont"/>
    <w:link w:val="Subhead2sl"/>
    <w:rsid w:val="002F3EF7"/>
    <w:rPr>
      <w:rFonts w:ascii="Gill Sans MT" w:eastAsia="Times New Roman" w:hAnsi="Gill Sans MT" w:cs="Times New Roman"/>
      <w:b/>
      <w:i/>
      <w:lang w:eastAsia="en-US"/>
    </w:rPr>
  </w:style>
  <w:style w:type="paragraph" w:customStyle="1" w:styleId="Bulletsl">
    <w:name w:val="Bullet_sl"/>
    <w:basedOn w:val="Normal"/>
    <w:link w:val="BulletslChar"/>
    <w:qFormat/>
    <w:rsid w:val="002F3EF7"/>
    <w:pPr>
      <w:numPr>
        <w:numId w:val="1"/>
      </w:numPr>
      <w:spacing w:after="120"/>
    </w:pPr>
    <w:rPr>
      <w:rFonts w:ascii="Garamond" w:hAnsi="Garamond"/>
    </w:rPr>
  </w:style>
  <w:style w:type="character" w:customStyle="1" w:styleId="BasiccopyslChar">
    <w:name w:val="Basic copy_sl Char"/>
    <w:basedOn w:val="DefaultParagraphFont"/>
    <w:link w:val="Basiccopysl"/>
    <w:rsid w:val="002F3EF7"/>
    <w:rPr>
      <w:rFonts w:ascii="Garamond" w:eastAsia="Times New Roman" w:hAnsi="Garamond" w:cs="Times New Roman"/>
      <w:lang w:eastAsia="en-US"/>
    </w:rPr>
  </w:style>
  <w:style w:type="character" w:customStyle="1" w:styleId="BulletslChar">
    <w:name w:val="Bullet_sl Char"/>
    <w:basedOn w:val="DefaultParagraphFont"/>
    <w:link w:val="Bulletsl"/>
    <w:rsid w:val="002F3EF7"/>
    <w:rPr>
      <w:rFonts w:ascii="Garamond" w:eastAsia="Times New Roman" w:hAnsi="Garamond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3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EF7"/>
    <w:rPr>
      <w:rFonts w:eastAsia="Times New Roman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F3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EF7"/>
    <w:rPr>
      <w:rFonts w:eastAsia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3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EF7"/>
    <w:rPr>
      <w:rFonts w:eastAsia="Times New Roman" w:cs="Times New Roman"/>
      <w:sz w:val="20"/>
      <w:szCs w:val="20"/>
      <w:lang w:eastAsia="en-US"/>
    </w:rPr>
  </w:style>
  <w:style w:type="paragraph" w:customStyle="1" w:styleId="Subhead3sl">
    <w:name w:val="Subhead 3_sl"/>
    <w:basedOn w:val="Basiccopysl"/>
    <w:link w:val="Subhead3slChar"/>
    <w:qFormat/>
    <w:rsid w:val="002F3EF7"/>
    <w:pPr>
      <w:spacing w:before="360"/>
    </w:pPr>
    <w:rPr>
      <w:b/>
    </w:rPr>
  </w:style>
  <w:style w:type="character" w:customStyle="1" w:styleId="Subhead3slChar">
    <w:name w:val="Subhead 3_sl Char"/>
    <w:basedOn w:val="BasiccopyslChar"/>
    <w:link w:val="Subhead3sl"/>
    <w:rsid w:val="002F3EF7"/>
    <w:rPr>
      <w:rFonts w:ascii="Garamond" w:eastAsia="Times New Roman" w:hAnsi="Garamond" w:cs="Times New Roman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E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EF7"/>
    <w:rPr>
      <w:rFonts w:eastAsia="Times New Roman" w:cs="Times New Roman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AE761D"/>
    <w:pPr>
      <w:spacing w:before="100" w:beforeAutospacing="1" w:after="100" w:afterAutospacing="1"/>
    </w:pPr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61D"/>
    <w:rPr>
      <w:rFonts w:eastAsia="Times New Roman" w:cs="Times New Roman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E76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AE761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B7776"/>
    <w:rPr>
      <w:rFonts w:asciiTheme="majorHAnsi" w:eastAsiaTheme="majorEastAsia" w:hAnsiTheme="majorHAnsi"/>
      <w:color w:val="2F5496" w:themeColor="accent1" w:themeShade="BF"/>
      <w:sz w:val="26"/>
      <w:szCs w:val="2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E3CD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5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530"/>
    <w:rPr>
      <w:rFonts w:eastAsia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E7530"/>
    <w:rPr>
      <w:vertAlign w:val="superscript"/>
    </w:rPr>
  </w:style>
  <w:style w:type="table" w:styleId="TableGrid">
    <w:name w:val="Table Grid"/>
    <w:basedOn w:val="TableNormal"/>
    <w:uiPriority w:val="39"/>
    <w:rsid w:val="00AB6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ndmarkcases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14" ma:contentTypeDescription="Create a new document." ma:contentTypeScope="" ma:versionID="94c8cdf28fa9d5fe0045b61abe04d855">
  <xsd:schema xmlns:xsd="http://www.w3.org/2001/XMLSchema" xmlns:xs="http://www.w3.org/2001/XMLSchema" xmlns:p="http://schemas.microsoft.com/office/2006/metadata/properties" xmlns:ns2="9af227aa-5493-4bfe-a302-9771bcf92926" xmlns:ns3="f90ba59e-6231-420d-b202-993c3441322c" targetNamespace="http://schemas.microsoft.com/office/2006/metadata/properties" ma:root="true" ma:fieldsID="3b6cb1fefcbea7b4f6bfccd4ed2a190c" ns2:_="" ns3:_=""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</documentManagement>
</p:properties>
</file>

<file path=customXml/itemProps1.xml><?xml version="1.0" encoding="utf-8"?>
<ds:datastoreItem xmlns:ds="http://schemas.openxmlformats.org/officeDocument/2006/customXml" ds:itemID="{7A251CCD-9BF6-4B93-AE4B-D8403610E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102B2-6B0D-4A58-A808-35D330374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227aa-5493-4bfe-a302-9771bcf92926"/>
    <ds:schemaRef ds:uri="f90ba59e-6231-420d-b202-993c34413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E63F7-0628-4F06-AABA-B8FF1B96D3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D9A26B-1230-4749-8DBE-5F527A07C7CF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Sachs</dc:creator>
  <cp:keywords/>
  <dc:description/>
  <cp:lastModifiedBy>Allison Hawkins</cp:lastModifiedBy>
  <cp:revision>3</cp:revision>
  <dcterms:created xsi:type="dcterms:W3CDTF">2020-10-21T19:33:00Z</dcterms:created>
  <dcterms:modified xsi:type="dcterms:W3CDTF">2024-01-18T18:01:00Z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