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C3B1" w14:textId="48DB3D8F" w:rsidR="002F3EF7" w:rsidRDefault="00AF4CD3" w:rsidP="002F3EF7">
      <w:pPr>
        <w:pStyle w:val="Title2sl"/>
        <w:spacing w:before="240"/>
        <w:jc w:val="center"/>
        <w:rPr>
          <w:i/>
        </w:rPr>
      </w:pPr>
      <w:r>
        <w:rPr>
          <w:i/>
        </w:rPr>
        <w:t>Regents of the University of California</w:t>
      </w:r>
      <w:r w:rsidR="002F3EF7">
        <w:rPr>
          <w:i/>
        </w:rPr>
        <w:t xml:space="preserve"> v. </w:t>
      </w:r>
      <w:r>
        <w:rPr>
          <w:i/>
        </w:rPr>
        <w:t>Bakke</w:t>
      </w:r>
      <w:r w:rsidR="002F3EF7">
        <w:rPr>
          <w:i/>
        </w:rPr>
        <w:t xml:space="preserve"> </w:t>
      </w:r>
      <w:r w:rsidR="002F3EF7" w:rsidRPr="006E5D98">
        <w:t>(</w:t>
      </w:r>
      <w:r w:rsidR="002F3EF7">
        <w:t>19</w:t>
      </w:r>
      <w:r>
        <w:t>78</w:t>
      </w:r>
      <w:r w:rsidR="002F3EF7" w:rsidRPr="006E5D98">
        <w:t>)</w:t>
      </w:r>
    </w:p>
    <w:p w14:paraId="29ED5723" w14:textId="7465B929" w:rsidR="002F3EF7" w:rsidRDefault="002F3EF7" w:rsidP="00A93A29">
      <w:pPr>
        <w:pStyle w:val="Basiccopysl"/>
        <w:jc w:val="center"/>
        <w:rPr>
          <w:color w:val="333333"/>
          <w:shd w:val="clear" w:color="auto" w:fill="FFFFFF"/>
        </w:rPr>
      </w:pPr>
      <w:r w:rsidRPr="003B7776">
        <w:rPr>
          <w:b/>
          <w:bCs/>
        </w:rPr>
        <w:t>Argued:</w:t>
      </w:r>
      <w:r>
        <w:t xml:space="preserve"> </w:t>
      </w:r>
      <w:r w:rsidR="00AF4CD3">
        <w:t>October 12, 1977</w:t>
      </w:r>
    </w:p>
    <w:p w14:paraId="11349A88" w14:textId="58E45F7C" w:rsidR="002F3EF7" w:rsidRDefault="002F3EF7" w:rsidP="003B7776">
      <w:pPr>
        <w:pStyle w:val="Basiccopysl"/>
        <w:jc w:val="center"/>
        <w:rPr>
          <w:color w:val="333333"/>
          <w:shd w:val="clear" w:color="auto" w:fill="FFFFFF"/>
        </w:rPr>
      </w:pPr>
      <w:r w:rsidRPr="003B7776">
        <w:rPr>
          <w:b/>
          <w:bCs/>
          <w:color w:val="333333"/>
          <w:shd w:val="clear" w:color="auto" w:fill="FFFFFF"/>
        </w:rPr>
        <w:t>Decided:</w:t>
      </w:r>
      <w:r>
        <w:rPr>
          <w:color w:val="333333"/>
          <w:shd w:val="clear" w:color="auto" w:fill="FFFFFF"/>
        </w:rPr>
        <w:t xml:space="preserve"> June </w:t>
      </w:r>
      <w:r w:rsidR="00AF4CD3">
        <w:rPr>
          <w:color w:val="333333"/>
          <w:shd w:val="clear" w:color="auto" w:fill="FFFFFF"/>
        </w:rPr>
        <w:t>26, 1978</w:t>
      </w:r>
    </w:p>
    <w:p w14:paraId="2A190B74" w14:textId="77777777" w:rsidR="002F3EF7" w:rsidRDefault="002F3EF7" w:rsidP="002F3EF7">
      <w:pPr>
        <w:pStyle w:val="Subhead2sl"/>
      </w:pPr>
      <w:r>
        <w:t>Background</w:t>
      </w:r>
    </w:p>
    <w:p w14:paraId="30F509A7" w14:textId="733094EF" w:rsidR="002F3EF7" w:rsidRPr="00C31D04" w:rsidRDefault="00C85B6F" w:rsidP="00C26BCF">
      <w:pPr>
        <w:pStyle w:val="Basiccopysl"/>
      </w:pPr>
      <w:r w:rsidRPr="00C31D04">
        <w:t xml:space="preserve">Following the Supreme Court’s decision in </w:t>
      </w:r>
      <w:r w:rsidRPr="00C31D04">
        <w:rPr>
          <w:i/>
          <w:iCs/>
        </w:rPr>
        <w:t>Brown v. Board of Educati</w:t>
      </w:r>
      <w:r w:rsidR="00093BCC">
        <w:rPr>
          <w:i/>
          <w:iCs/>
        </w:rPr>
        <w:t xml:space="preserve">on, </w:t>
      </w:r>
      <w:r w:rsidRPr="00C31D04">
        <w:t xml:space="preserve">public schools were required to stop </w:t>
      </w:r>
      <w:r w:rsidR="00093BCC">
        <w:t>discriminat</w:t>
      </w:r>
      <w:r w:rsidR="00895DD5">
        <w:t>ing</w:t>
      </w:r>
      <w:r w:rsidR="00093BCC">
        <w:t xml:space="preserve"> on the basis of race</w:t>
      </w:r>
      <w:r w:rsidR="00941EA4">
        <w:t>.</w:t>
      </w:r>
      <w:r w:rsidRPr="00C31D04">
        <w:t xml:space="preserve"> </w:t>
      </w:r>
      <w:r w:rsidR="00F047A0">
        <w:t xml:space="preserve">Although </w:t>
      </w:r>
      <w:r w:rsidRPr="00C31D04">
        <w:t>the decision</w:t>
      </w:r>
      <w:r w:rsidR="00093BCC">
        <w:t xml:space="preserve"> in </w:t>
      </w:r>
      <w:r w:rsidR="00093BCC" w:rsidRPr="00093BCC">
        <w:rPr>
          <w:i/>
          <w:iCs/>
        </w:rPr>
        <w:t>Brown</w:t>
      </w:r>
      <w:r w:rsidRPr="00C31D04">
        <w:t xml:space="preserve"> did not </w:t>
      </w:r>
      <w:r w:rsidR="00941EA4">
        <w:t>specifically</w:t>
      </w:r>
      <w:r w:rsidRPr="00C31D04">
        <w:t xml:space="preserve"> apply to universities and colleges, the rationale behind</w:t>
      </w:r>
      <w:r w:rsidR="00093BCC">
        <w:t xml:space="preserve"> it</w:t>
      </w:r>
      <w:r w:rsidRPr="00C31D04">
        <w:t>—ensuring that</w:t>
      </w:r>
      <w:r w:rsidR="00707565">
        <w:t xml:space="preserve"> racial</w:t>
      </w:r>
      <w:r w:rsidRPr="00C31D04">
        <w:t xml:space="preserve"> minorit</w:t>
      </w:r>
      <w:r w:rsidR="00707565">
        <w:t>ies</w:t>
      </w:r>
      <w:r w:rsidRPr="00C31D04">
        <w:t xml:space="preserve"> had access to a quality education—applied</w:t>
      </w:r>
      <w:r w:rsidR="00361E66">
        <w:t xml:space="preserve"> </w:t>
      </w:r>
      <w:r w:rsidRPr="00C31D04">
        <w:t>to</w:t>
      </w:r>
      <w:r w:rsidR="00361E66">
        <w:t xml:space="preserve"> publicly funded</w:t>
      </w:r>
      <w:r w:rsidRPr="00C31D04">
        <w:t xml:space="preserve"> institutions of higher education</w:t>
      </w:r>
      <w:r w:rsidR="00361E66">
        <w:t xml:space="preserve"> as well</w:t>
      </w:r>
      <w:r w:rsidRPr="00C31D04">
        <w:t>.</w:t>
      </w:r>
    </w:p>
    <w:p w14:paraId="6FAADDE5" w14:textId="6239B301" w:rsidR="00361E66" w:rsidRDefault="00C85B6F" w:rsidP="00C26BCF">
      <w:pPr>
        <w:pStyle w:val="Basiccopysl"/>
      </w:pPr>
      <w:r w:rsidRPr="00C31D04">
        <w:t xml:space="preserve">In order to increase diversity, many </w:t>
      </w:r>
      <w:r w:rsidR="00895DD5">
        <w:t xml:space="preserve">public (i.e., state) </w:t>
      </w:r>
      <w:r w:rsidRPr="00C31D04">
        <w:t xml:space="preserve">universities adopted </w:t>
      </w:r>
      <w:r w:rsidRPr="00C31D04">
        <w:rPr>
          <w:b/>
          <w:bCs/>
        </w:rPr>
        <w:t>affirmative action</w:t>
      </w:r>
      <w:r w:rsidRPr="00C31D04">
        <w:t xml:space="preserve"> programs. These </w:t>
      </w:r>
      <w:r w:rsidR="003B7776">
        <w:t>programs</w:t>
      </w:r>
      <w:r w:rsidRPr="00C31D04">
        <w:t xml:space="preserve"> were intended to counteract the negative effects that discrimination has had throughout history. In many cases, </w:t>
      </w:r>
      <w:r w:rsidR="003B7776">
        <w:t>affirmative action programs</w:t>
      </w:r>
      <w:r w:rsidRPr="00C31D04">
        <w:t xml:space="preserve"> provided </w:t>
      </w:r>
      <w:r w:rsidR="003B7776">
        <w:t xml:space="preserve">an </w:t>
      </w:r>
      <w:r w:rsidRPr="00C31D04">
        <w:t xml:space="preserve">advantage to </w:t>
      </w:r>
      <w:r w:rsidR="00707565">
        <w:t xml:space="preserve">racial minorities </w:t>
      </w:r>
      <w:r w:rsidR="008667DB" w:rsidRPr="00C31D04">
        <w:t>through the creation of quotas, targeted recruitment programs, and additional race-based consideration</w:t>
      </w:r>
      <w:r w:rsidR="00A93A29">
        <w:t>s</w:t>
      </w:r>
      <w:r w:rsidR="008667DB" w:rsidRPr="00C31D04">
        <w:t xml:space="preserve">, among other things. </w:t>
      </w:r>
    </w:p>
    <w:p w14:paraId="71EECDCF" w14:textId="77777777" w:rsidR="00756617" w:rsidRPr="00756617" w:rsidRDefault="008A1BBF" w:rsidP="00C26BCF">
      <w:pPr>
        <w:pStyle w:val="Basiccopysl"/>
        <w:rPr>
          <w:b/>
          <w:i/>
        </w:rPr>
      </w:pPr>
      <w:r w:rsidRPr="00756617">
        <w:t xml:space="preserve">Affirmative action programs, particularly those that relied on quotas or specific race-based distinctions, quickly became controversial. </w:t>
      </w:r>
      <w:r w:rsidR="005C1758" w:rsidRPr="00756617">
        <w:t xml:space="preserve">Opponents argued that they </w:t>
      </w:r>
      <w:r w:rsidR="00527DC6" w:rsidRPr="00756617">
        <w:t xml:space="preserve">were unconstitutional because they were </w:t>
      </w:r>
      <w:r w:rsidR="005C1758" w:rsidRPr="00756617">
        <w:t xml:space="preserve">“reverse discrimination” and </w:t>
      </w:r>
      <w:r w:rsidR="00527DC6" w:rsidRPr="00756617">
        <w:t xml:space="preserve">violated the </w:t>
      </w:r>
      <w:r w:rsidR="00D75E1D" w:rsidRPr="00756617">
        <w:t>idea</w:t>
      </w:r>
      <w:r w:rsidR="00527DC6" w:rsidRPr="00756617">
        <w:t xml:space="preserve"> that an individual’s race should not be considered under any circumstances</w:t>
      </w:r>
      <w:r w:rsidR="005C1758" w:rsidRPr="00756617">
        <w:t xml:space="preserve">. </w:t>
      </w:r>
      <w:r w:rsidR="00527DC6" w:rsidRPr="00756617">
        <w:t>The courts began to struggle with these issues</w:t>
      </w:r>
      <w:r w:rsidR="00681E03" w:rsidRPr="00756617">
        <w:t>,</w:t>
      </w:r>
      <w:r w:rsidR="00527DC6" w:rsidRPr="00756617">
        <w:t xml:space="preserve"> and it was inevitable that the Supreme Court would have to confront them.</w:t>
      </w:r>
      <w:r w:rsidR="00D75E1D" w:rsidRPr="00756617">
        <w:t xml:space="preserve"> </w:t>
      </w:r>
    </w:p>
    <w:p w14:paraId="43800A62" w14:textId="4E140ACA" w:rsidR="002F3EF7" w:rsidRDefault="002F3EF7" w:rsidP="002F3EF7">
      <w:pPr>
        <w:pStyle w:val="Subhead2sl"/>
      </w:pPr>
      <w:r>
        <w:t>Facts</w:t>
      </w:r>
    </w:p>
    <w:p w14:paraId="232ABD84" w14:textId="213F309D" w:rsidR="008A1BBF" w:rsidRPr="004A70A0" w:rsidRDefault="008A1BBF" w:rsidP="00C26BCF">
      <w:pPr>
        <w:pStyle w:val="Basiccopysl"/>
        <w:rPr>
          <w:color w:val="000000"/>
        </w:rPr>
      </w:pPr>
      <w:r w:rsidRPr="004A70A0">
        <w:t>In the early 1970s, the University of California Davis School of Medicine (UC Davis)</w:t>
      </w:r>
      <w:r w:rsidR="00F719F0">
        <w:rPr>
          <w:rStyle w:val="FootnoteReference"/>
          <w:color w:val="000000"/>
        </w:rPr>
        <w:footnoteReference w:id="1"/>
      </w:r>
      <w:r w:rsidRPr="004A70A0">
        <w:t xml:space="preserve"> adopted an affirmative action program</w:t>
      </w:r>
      <w:r>
        <w:t>.</w:t>
      </w:r>
      <w:r w:rsidRPr="004A70A0">
        <w:t xml:space="preserve"> The</w:t>
      </w:r>
      <w:r>
        <w:t>ir program</w:t>
      </w:r>
      <w:r w:rsidRPr="004A70A0">
        <w:t xml:space="preserve"> created a dual admissions </w:t>
      </w:r>
      <w:r>
        <w:t>system</w:t>
      </w:r>
      <w:r w:rsidRPr="004A70A0">
        <w:t xml:space="preserve"> to increase the number</w:t>
      </w:r>
      <w:r w:rsidR="00D006C4">
        <w:t xml:space="preserve"> of students admitted who were</w:t>
      </w:r>
      <w:r w:rsidR="007B4B72">
        <w:t xml:space="preserve"> </w:t>
      </w:r>
      <w:r w:rsidR="00D006C4">
        <w:t xml:space="preserve">racial minorities or </w:t>
      </w:r>
      <w:r w:rsidR="00110259">
        <w:t xml:space="preserve">who were </w:t>
      </w:r>
      <w:r w:rsidR="00D006C4">
        <w:t>economically</w:t>
      </w:r>
      <w:r w:rsidR="00110259">
        <w:t xml:space="preserve"> or </w:t>
      </w:r>
      <w:r w:rsidR="00D006C4">
        <w:t xml:space="preserve">educationally </w:t>
      </w:r>
      <w:r w:rsidR="00110259">
        <w:t>“</w:t>
      </w:r>
      <w:r w:rsidRPr="004A70A0">
        <w:t>disadvantaged.</w:t>
      </w:r>
      <w:r w:rsidR="00110259">
        <w:t>”</w:t>
      </w:r>
      <w:r w:rsidRPr="004A70A0">
        <w:t xml:space="preserve"> </w:t>
      </w:r>
      <w:r w:rsidRPr="004A70A0">
        <w:rPr>
          <w:color w:val="000000"/>
        </w:rPr>
        <w:t xml:space="preserve">Under the regular admissions procedure, a screening process was used to evaluate candidates. Candidates whose overall undergraduate grade point averages </w:t>
      </w:r>
      <w:r w:rsidR="007F289A">
        <w:rPr>
          <w:color w:val="000000"/>
        </w:rPr>
        <w:t xml:space="preserve">(GPAs) </w:t>
      </w:r>
      <w:r w:rsidRPr="004A70A0">
        <w:rPr>
          <w:color w:val="000000"/>
        </w:rPr>
        <w:t>fell below 2.5 on a scale of 4.0 were automatically rejected. The admissions committee then selected some of the remaining candidates for interviews. Following an interview, the admissions committee rated candidates who passed the screening process on a scale of 1 to 100. The rating considered the interviewer</w:t>
      </w:r>
      <w:r w:rsidR="00A93A29">
        <w:rPr>
          <w:color w:val="000000"/>
        </w:rPr>
        <w:t>’</w:t>
      </w:r>
      <w:r w:rsidRPr="004A70A0">
        <w:rPr>
          <w:color w:val="000000"/>
        </w:rPr>
        <w:t>s evaluation, the candidate</w:t>
      </w:r>
      <w:r w:rsidR="00A93A29">
        <w:rPr>
          <w:color w:val="000000"/>
        </w:rPr>
        <w:t>’</w:t>
      </w:r>
      <w:r w:rsidRPr="004A70A0">
        <w:rPr>
          <w:color w:val="000000"/>
        </w:rPr>
        <w:t xml:space="preserve">s overall and science grade point averages, scores on the Medical College Admissions Test (MCAT), letters of recommendation, extracurricular activities, and other biographical data. </w:t>
      </w:r>
    </w:p>
    <w:p w14:paraId="39B52A6D" w14:textId="22EB120B" w:rsidR="008A1BBF" w:rsidRPr="004A70A0" w:rsidRDefault="008A1BBF" w:rsidP="00C26BCF">
      <w:pPr>
        <w:pStyle w:val="Basiccopysl"/>
        <w:rPr>
          <w:color w:val="000000"/>
        </w:rPr>
      </w:pPr>
      <w:r w:rsidRPr="004A70A0">
        <w:rPr>
          <w:color w:val="000000"/>
        </w:rPr>
        <w:t xml:space="preserve">On the UC Davis application, candidates could indicate that they were members of a </w:t>
      </w:r>
      <w:r>
        <w:rPr>
          <w:color w:val="000000"/>
        </w:rPr>
        <w:t>“</w:t>
      </w:r>
      <w:r w:rsidRPr="004A70A0">
        <w:rPr>
          <w:color w:val="000000"/>
        </w:rPr>
        <w:t>minority</w:t>
      </w:r>
      <w:r w:rsidR="00110259">
        <w:rPr>
          <w:color w:val="000000"/>
        </w:rPr>
        <w:t>”</w:t>
      </w:r>
      <w:r w:rsidRPr="004A70A0">
        <w:rPr>
          <w:color w:val="000000"/>
        </w:rPr>
        <w:t xml:space="preserve"> group</w:t>
      </w:r>
      <w:r>
        <w:rPr>
          <w:color w:val="000000"/>
        </w:rPr>
        <w:t>.</w:t>
      </w:r>
      <w:r w:rsidRPr="004A70A0">
        <w:rPr>
          <w:color w:val="000000"/>
        </w:rPr>
        <w:t xml:space="preserve"> Candidates could also choose to be considered economically or educationally </w:t>
      </w:r>
      <w:r w:rsidR="00110259">
        <w:rPr>
          <w:color w:val="000000"/>
        </w:rPr>
        <w:t>“</w:t>
      </w:r>
      <w:r w:rsidRPr="004A70A0">
        <w:rPr>
          <w:color w:val="000000"/>
        </w:rPr>
        <w:t>disadvantaged.</w:t>
      </w:r>
      <w:r>
        <w:rPr>
          <w:color w:val="000000"/>
        </w:rPr>
        <w:t>”</w:t>
      </w:r>
      <w:r w:rsidRPr="004A70A0">
        <w:rPr>
          <w:color w:val="000000"/>
        </w:rPr>
        <w:t xml:space="preserve"> The applications of those who selected one of these options were sent to the </w:t>
      </w:r>
      <w:r w:rsidRPr="004A70A0">
        <w:rPr>
          <w:color w:val="000000"/>
        </w:rPr>
        <w:lastRenderedPageBreak/>
        <w:t xml:space="preserve">special admissions committee, which used different criteria than the requirements for </w:t>
      </w:r>
      <w:r w:rsidR="000F7397">
        <w:rPr>
          <w:color w:val="000000"/>
        </w:rPr>
        <w:t xml:space="preserve">candidates who did not identify as </w:t>
      </w:r>
      <w:r w:rsidR="00F719F0">
        <w:rPr>
          <w:color w:val="000000"/>
        </w:rPr>
        <w:t xml:space="preserve">a </w:t>
      </w:r>
      <w:r w:rsidR="000F7397">
        <w:rPr>
          <w:color w:val="000000"/>
        </w:rPr>
        <w:t>“minority” or “</w:t>
      </w:r>
      <w:r w:rsidRPr="004A70A0">
        <w:rPr>
          <w:color w:val="000000"/>
        </w:rPr>
        <w:t>disadvantaged</w:t>
      </w:r>
      <w:r w:rsidR="000F7397">
        <w:rPr>
          <w:color w:val="000000"/>
        </w:rPr>
        <w:t>.”</w:t>
      </w:r>
      <w:r w:rsidRPr="004A70A0">
        <w:rPr>
          <w:color w:val="000000"/>
        </w:rPr>
        <w:t xml:space="preserve"> These applicants did not have to meet the grade point average cut off used in the regular program, nor were </w:t>
      </w:r>
      <w:r>
        <w:rPr>
          <w:color w:val="000000"/>
        </w:rPr>
        <w:t>they</w:t>
      </w:r>
      <w:r w:rsidRPr="004A70A0">
        <w:rPr>
          <w:color w:val="000000"/>
        </w:rPr>
        <w:t xml:space="preserve"> compared to the candidates in the regular admissions program. Of the 100 spots in the medical school’s class, 16 spaces were reserved for this program.</w:t>
      </w:r>
    </w:p>
    <w:p w14:paraId="5B72EFFF" w14:textId="3721B793" w:rsidR="00E5782B" w:rsidRPr="004A70A0" w:rsidRDefault="002F3EF7" w:rsidP="00C26BCF">
      <w:pPr>
        <w:pStyle w:val="Basiccopysl"/>
        <w:rPr>
          <w:color w:val="000000"/>
        </w:rPr>
      </w:pPr>
      <w:r w:rsidRPr="004A70A0">
        <w:t xml:space="preserve">In </w:t>
      </w:r>
      <w:r w:rsidR="00E5782B" w:rsidRPr="004A70A0">
        <w:t>1973, Allan Bakke, a 33</w:t>
      </w:r>
      <w:r w:rsidR="003B7776">
        <w:t>-</w:t>
      </w:r>
      <w:r w:rsidR="00E5782B" w:rsidRPr="004A70A0">
        <w:t>year</w:t>
      </w:r>
      <w:r w:rsidR="003B7776">
        <w:t>-</w:t>
      </w:r>
      <w:r w:rsidR="00E5782B" w:rsidRPr="004A70A0">
        <w:t xml:space="preserve">old </w:t>
      </w:r>
      <w:r w:rsidR="00BA6728">
        <w:t>W</w:t>
      </w:r>
      <w:r w:rsidR="00E5782B" w:rsidRPr="004A70A0">
        <w:t xml:space="preserve">hite </w:t>
      </w:r>
      <w:r w:rsidR="00A5145D">
        <w:t>person</w:t>
      </w:r>
      <w:r w:rsidR="00E5782B" w:rsidRPr="004A70A0">
        <w:t xml:space="preserve">, applied to </w:t>
      </w:r>
      <w:r w:rsidR="003B7776">
        <w:t>12</w:t>
      </w:r>
      <w:r w:rsidR="003B7776" w:rsidRPr="004A70A0">
        <w:t xml:space="preserve"> </w:t>
      </w:r>
      <w:r w:rsidR="00E5782B" w:rsidRPr="004A70A0">
        <w:t xml:space="preserve">medical schools, including UC Davis. Bakke had a strong academic </w:t>
      </w:r>
      <w:r w:rsidR="00E01319">
        <w:t xml:space="preserve">record </w:t>
      </w:r>
      <w:r w:rsidR="00E5782B" w:rsidRPr="004A70A0">
        <w:t>and earned a high score on the MCAT</w:t>
      </w:r>
      <w:r w:rsidR="00F047A0">
        <w:t>.</w:t>
      </w:r>
      <w:r w:rsidR="00E5782B" w:rsidRPr="004A70A0">
        <w:t xml:space="preserve"> After his interview at UC Davis, he was described as a well-qualified and desirable applicant and was recommended for admission. He soon learned that he was rejected from UC Davis.</w:t>
      </w:r>
    </w:p>
    <w:p w14:paraId="4A35EFD8" w14:textId="0FB2F5B1" w:rsidR="00E5782B" w:rsidRPr="00BB12F0" w:rsidRDefault="00E5782B" w:rsidP="00E5782B">
      <w:pPr>
        <w:pStyle w:val="Bulletsl"/>
        <w:numPr>
          <w:ilvl w:val="0"/>
          <w:numId w:val="0"/>
        </w:numPr>
        <w:spacing w:line="276" w:lineRule="auto"/>
      </w:pPr>
      <w:r w:rsidRPr="00BB12F0">
        <w:t xml:space="preserve">Following his rejection, Bakke complained to </w:t>
      </w:r>
      <w:r w:rsidR="00681E03">
        <w:t>a UC Davis</w:t>
      </w:r>
      <w:r w:rsidR="00681E03" w:rsidRPr="00BB12F0">
        <w:t xml:space="preserve"> </w:t>
      </w:r>
      <w:r w:rsidRPr="00BB12F0">
        <w:t>admissions counsel</w:t>
      </w:r>
      <w:r w:rsidR="00F50128">
        <w:t>or</w:t>
      </w:r>
      <w:r w:rsidRPr="00BB12F0">
        <w:t xml:space="preserve">, </w:t>
      </w:r>
      <w:r w:rsidR="00681E03" w:rsidRPr="00BB12F0">
        <w:t>wh</w:t>
      </w:r>
      <w:r w:rsidR="00681E03">
        <w:t>o</w:t>
      </w:r>
      <w:r w:rsidR="00681E03" w:rsidRPr="00BB12F0">
        <w:t xml:space="preserve"> </w:t>
      </w:r>
      <w:r w:rsidRPr="00BB12F0">
        <w:t xml:space="preserve">encouraged him to reapply. </w:t>
      </w:r>
      <w:r w:rsidR="00AE761D" w:rsidRPr="00BB12F0">
        <w:t xml:space="preserve">In 1974, Bakke </w:t>
      </w:r>
      <w:r w:rsidR="00681E03">
        <w:t>did so but</w:t>
      </w:r>
      <w:r w:rsidR="00AE761D" w:rsidRPr="00BB12F0">
        <w:t xml:space="preserve"> was rejected again. </w:t>
      </w:r>
      <w:r w:rsidR="00402BCF" w:rsidRPr="00BB12F0">
        <w:t xml:space="preserve">He then filed suit against UC Davis in California state court, arguing that </w:t>
      </w:r>
      <w:r w:rsidR="00161159">
        <w:t>the</w:t>
      </w:r>
      <w:r w:rsidR="00402BCF" w:rsidRPr="00BB12F0">
        <w:t xml:space="preserve"> admissions program was unconstitutional and violated the Civil Rights Act of 1964. In November 1974, the judge agreed that the program was unconstitutional and ordered UC Davis to ignore race when considering applications. </w:t>
      </w:r>
    </w:p>
    <w:p w14:paraId="43412D6E" w14:textId="2F20009F" w:rsidR="00402BCF" w:rsidRPr="00BB12F0" w:rsidRDefault="00402BCF" w:rsidP="00E5782B">
      <w:pPr>
        <w:pStyle w:val="Bulletsl"/>
        <w:numPr>
          <w:ilvl w:val="0"/>
          <w:numId w:val="0"/>
        </w:numPr>
        <w:spacing w:line="276" w:lineRule="auto"/>
      </w:pPr>
      <w:r w:rsidRPr="00BB12F0">
        <w:t>Both Bakke and UC Davis appealed this decision—the school because it believed the special admissions program was constitutional, and Bakke because he believed that the judge should have ordered him to be admitted immediately.</w:t>
      </w:r>
      <w:r w:rsidR="009D50B5" w:rsidRPr="00BB12F0">
        <w:t xml:space="preserve"> The case went directly to the California Supreme Court</w:t>
      </w:r>
      <w:r w:rsidR="004F2731">
        <w:t>.</w:t>
      </w:r>
      <w:r w:rsidR="009D50B5" w:rsidRPr="004F2731">
        <w:t xml:space="preserve"> Th</w:t>
      </w:r>
      <w:r w:rsidR="00895DD5">
        <w:t>at</w:t>
      </w:r>
      <w:r w:rsidR="009D50B5" w:rsidRPr="004F2731">
        <w:t xml:space="preserve"> court ordered UC Davis to provide evidence showing that Bakke would have be</w:t>
      </w:r>
      <w:r w:rsidR="009D50B5" w:rsidRPr="00BB12F0">
        <w:t>en rejected under a</w:t>
      </w:r>
      <w:r w:rsidR="00161159">
        <w:t xml:space="preserve">n </w:t>
      </w:r>
      <w:r w:rsidR="009D50B5" w:rsidRPr="00BB12F0">
        <w:t>admissions program</w:t>
      </w:r>
      <w:r w:rsidR="00161159">
        <w:t xml:space="preserve"> that </w:t>
      </w:r>
      <w:r w:rsidR="00347067">
        <w:t>did not</w:t>
      </w:r>
      <w:r w:rsidR="00161159">
        <w:t xml:space="preserve"> consider race</w:t>
      </w:r>
      <w:r w:rsidR="00895DD5">
        <w:t>.</w:t>
      </w:r>
      <w:r w:rsidR="00D56340">
        <w:t xml:space="preserve"> </w:t>
      </w:r>
      <w:r w:rsidR="00895DD5">
        <w:t>W</w:t>
      </w:r>
      <w:r w:rsidR="00D56340">
        <w:t>h</w:t>
      </w:r>
      <w:r w:rsidR="009D50B5" w:rsidRPr="00BB12F0">
        <w:t>en it failed to show that, the court ordered the school to admit Bakke.</w:t>
      </w:r>
    </w:p>
    <w:p w14:paraId="1D381DBD" w14:textId="15C35ADB" w:rsidR="002F3EF7" w:rsidRDefault="009D50B5" w:rsidP="00093BCC">
      <w:pPr>
        <w:pStyle w:val="Bulletsl"/>
        <w:numPr>
          <w:ilvl w:val="0"/>
          <w:numId w:val="0"/>
        </w:numPr>
        <w:spacing w:line="276" w:lineRule="auto"/>
      </w:pPr>
      <w:r w:rsidRPr="00BB12F0">
        <w:t>Following this order, UC Davis</w:t>
      </w:r>
      <w:r w:rsidR="002F3EF7" w:rsidRPr="00BB12F0">
        <w:t xml:space="preserve"> asked </w:t>
      </w:r>
      <w:r w:rsidRPr="00BB12F0">
        <w:t xml:space="preserve">the </w:t>
      </w:r>
      <w:r w:rsidR="006E7081">
        <w:t xml:space="preserve">U.S. </w:t>
      </w:r>
      <w:r w:rsidRPr="00BB12F0">
        <w:t>Supreme Court</w:t>
      </w:r>
      <w:r w:rsidR="008A48D3">
        <w:t xml:space="preserve"> to review the case and</w:t>
      </w:r>
      <w:r w:rsidRPr="00BB12F0">
        <w:t xml:space="preserve"> to </w:t>
      </w:r>
      <w:r w:rsidRPr="00BB12F0">
        <w:rPr>
          <w:b/>
          <w:bCs/>
        </w:rPr>
        <w:t>stay</w:t>
      </w:r>
      <w:r w:rsidRPr="00BB12F0">
        <w:t xml:space="preserve">, or postpone, Bakke’s admission while </w:t>
      </w:r>
      <w:r w:rsidR="008A48D3">
        <w:t>it did so</w:t>
      </w:r>
      <w:r w:rsidR="006E7081">
        <w:t>.</w:t>
      </w:r>
      <w:r w:rsidRPr="00BB12F0">
        <w:t xml:space="preserve"> The Court agreed</w:t>
      </w:r>
      <w:r w:rsidR="008A48D3">
        <w:t>.</w:t>
      </w:r>
    </w:p>
    <w:p w14:paraId="0CD9B042" w14:textId="77777777" w:rsidR="002F3EF7" w:rsidRPr="003B7776" w:rsidRDefault="002F3EF7" w:rsidP="003B7776">
      <w:pPr>
        <w:pStyle w:val="Subhead2sl"/>
      </w:pPr>
      <w:r w:rsidRPr="003B7776">
        <w:t>Issue</w:t>
      </w:r>
    </w:p>
    <w:p w14:paraId="6B029A06" w14:textId="64DFFC2A" w:rsidR="002F3EF7" w:rsidRDefault="002F3EF7" w:rsidP="004264AC">
      <w:pPr>
        <w:pStyle w:val="Basiccopysl"/>
        <w:rPr>
          <w:b/>
          <w:i/>
          <w:shd w:val="clear" w:color="auto" w:fill="FFFFFF"/>
        </w:rPr>
      </w:pPr>
      <w:r>
        <w:rPr>
          <w:shd w:val="clear" w:color="auto" w:fill="FFFFFF"/>
        </w:rPr>
        <w:t xml:space="preserve">Does </w:t>
      </w:r>
      <w:r w:rsidR="0041732E">
        <w:rPr>
          <w:shd w:val="clear" w:color="auto" w:fill="FFFFFF"/>
        </w:rPr>
        <w:t xml:space="preserve">UC Davis’ affirmative action policy violate the </w:t>
      </w:r>
      <w:r w:rsidR="00C97E5E">
        <w:rPr>
          <w:shd w:val="clear" w:color="auto" w:fill="FFFFFF"/>
        </w:rPr>
        <w:t>14</w:t>
      </w:r>
      <w:r w:rsidR="00C97E5E" w:rsidRPr="004264AC">
        <w:rPr>
          <w:shd w:val="clear" w:color="auto" w:fill="FFFFFF"/>
          <w:vertAlign w:val="superscript"/>
        </w:rPr>
        <w:t>th</w:t>
      </w:r>
      <w:r w:rsidR="00C97E5E">
        <w:rPr>
          <w:shd w:val="clear" w:color="auto" w:fill="FFFFFF"/>
        </w:rPr>
        <w:t xml:space="preserve"> </w:t>
      </w:r>
      <w:r w:rsidR="0041732E">
        <w:rPr>
          <w:shd w:val="clear" w:color="auto" w:fill="FFFFFF"/>
        </w:rPr>
        <w:t xml:space="preserve">Amendment’s Equal Protection Clause and Title </w:t>
      </w:r>
      <w:r w:rsidR="007E3810">
        <w:rPr>
          <w:shd w:val="clear" w:color="auto" w:fill="FFFFFF"/>
        </w:rPr>
        <w:t>VI</w:t>
      </w:r>
      <w:r w:rsidR="0041732E">
        <w:rPr>
          <w:shd w:val="clear" w:color="auto" w:fill="FFFFFF"/>
        </w:rPr>
        <w:t xml:space="preserve"> of the Civil Rights Act of 1964?</w:t>
      </w:r>
    </w:p>
    <w:p w14:paraId="5DDBD8E8" w14:textId="5F8841AB" w:rsidR="002F3EF7" w:rsidRDefault="002F3EF7" w:rsidP="002F3EF7">
      <w:pPr>
        <w:pStyle w:val="Subhead2sl"/>
      </w:pPr>
      <w:r>
        <w:t xml:space="preserve">Constitutional Provisions, </w:t>
      </w:r>
      <w:r w:rsidR="004264AC">
        <w:t>Federal</w:t>
      </w:r>
      <w:r>
        <w:t xml:space="preserve"> Statutes, and Supreme Court Precedents</w:t>
      </w:r>
    </w:p>
    <w:p w14:paraId="561D1884" w14:textId="169DABA8" w:rsidR="002F3EF7" w:rsidRDefault="00C97E5E" w:rsidP="002F3EF7">
      <w:pPr>
        <w:pStyle w:val="Bulletsl"/>
        <w:spacing w:before="240" w:line="276" w:lineRule="auto"/>
      </w:pPr>
      <w:r>
        <w:rPr>
          <w:b/>
        </w:rPr>
        <w:t>14</w:t>
      </w:r>
      <w:r w:rsidRPr="004264AC">
        <w:rPr>
          <w:b/>
          <w:vertAlign w:val="superscript"/>
        </w:rPr>
        <w:t>th</w:t>
      </w:r>
      <w:r>
        <w:rPr>
          <w:b/>
        </w:rPr>
        <w:t xml:space="preserve"> </w:t>
      </w:r>
      <w:r w:rsidR="002F3EF7">
        <w:rPr>
          <w:b/>
        </w:rPr>
        <w:t>Amendment to the U.S. Constitution</w:t>
      </w:r>
    </w:p>
    <w:p w14:paraId="7F97C40E" w14:textId="71548DAD" w:rsidR="004F2731" w:rsidRDefault="004A70A0" w:rsidP="004264AC">
      <w:pPr>
        <w:pStyle w:val="Bulletsl"/>
        <w:numPr>
          <w:ilvl w:val="0"/>
          <w:numId w:val="0"/>
        </w:numPr>
        <w:ind w:left="1080"/>
      </w:pPr>
      <w:r>
        <w:t>“</w:t>
      </w:r>
      <w:r w:rsidR="005B1668">
        <w:t xml:space="preserve">No State shall…deny to any person within its jurisdiction the equal protection of the laws.” </w:t>
      </w:r>
    </w:p>
    <w:p w14:paraId="3B7818F0" w14:textId="0D2F9731" w:rsidR="005B1668" w:rsidRPr="002D299C" w:rsidRDefault="005B1668" w:rsidP="005B1668">
      <w:pPr>
        <w:pStyle w:val="Bulletsl"/>
        <w:numPr>
          <w:ilvl w:val="0"/>
          <w:numId w:val="0"/>
        </w:numPr>
        <w:ind w:left="720"/>
      </w:pPr>
      <w:r>
        <w:t xml:space="preserve">This is known as the </w:t>
      </w:r>
      <w:r w:rsidRPr="003338B8">
        <w:rPr>
          <w:b/>
          <w:bCs/>
        </w:rPr>
        <w:t>Equal Protection Clause</w:t>
      </w:r>
      <w:r w:rsidRPr="00A22F5F">
        <w:t>,</w:t>
      </w:r>
      <w:r>
        <w:t xml:space="preserve"> and it is commonly used to guarantee that individuals are treated equally by states regardless of their race, gender, religion, </w:t>
      </w:r>
      <w:r w:rsidR="00E01319">
        <w:t xml:space="preserve">or </w:t>
      </w:r>
      <w:r>
        <w:t>nationality</w:t>
      </w:r>
      <w:r w:rsidR="00E01319">
        <w:t>.</w:t>
      </w:r>
      <w:r>
        <w:t xml:space="preserve"> </w:t>
      </w:r>
    </w:p>
    <w:p w14:paraId="50EE0AB7" w14:textId="25B3F75B" w:rsidR="002F3EF7" w:rsidRPr="007133BE" w:rsidRDefault="005B1668" w:rsidP="00675DE5">
      <w:pPr>
        <w:pStyle w:val="Bulletsl"/>
        <w:keepNext/>
        <w:spacing w:before="240" w:line="276" w:lineRule="auto"/>
        <w:rPr>
          <w:b/>
          <w:i/>
        </w:rPr>
      </w:pPr>
      <w:r>
        <w:rPr>
          <w:b/>
          <w:iCs/>
        </w:rPr>
        <w:lastRenderedPageBreak/>
        <w:t xml:space="preserve">Title </w:t>
      </w:r>
      <w:r w:rsidR="007E3810">
        <w:rPr>
          <w:b/>
          <w:iCs/>
        </w:rPr>
        <w:t>VI</w:t>
      </w:r>
      <w:r>
        <w:rPr>
          <w:b/>
          <w:iCs/>
        </w:rPr>
        <w:t xml:space="preserve"> of the Civil Rights Act of 1964</w:t>
      </w:r>
    </w:p>
    <w:p w14:paraId="421E8153" w14:textId="426B9C56" w:rsidR="00E372DB" w:rsidRPr="00675DE5" w:rsidRDefault="00E372DB" w:rsidP="00675DE5">
      <w:pPr>
        <w:pStyle w:val="Bulletsl"/>
        <w:numPr>
          <w:ilvl w:val="0"/>
          <w:numId w:val="0"/>
        </w:numPr>
        <w:spacing w:line="276" w:lineRule="auto"/>
        <w:ind w:left="1080"/>
        <w:rPr>
          <w:b/>
          <w:bCs/>
        </w:rPr>
      </w:pPr>
      <w:r>
        <w:rPr>
          <w:b/>
          <w:bCs/>
        </w:rPr>
        <w:t>“</w:t>
      </w:r>
      <w:r w:rsidRPr="00675DE5">
        <w:rPr>
          <w:b/>
          <w:bCs/>
        </w:rPr>
        <w:t>§2000d Prohibition against exclusion from participation in, denial of benefits of, and discrimination under federally assisted programs on ground of race, color or national origin</w:t>
      </w:r>
    </w:p>
    <w:p w14:paraId="20897B77" w14:textId="446136ED" w:rsidR="00E372DB" w:rsidRDefault="00E372DB" w:rsidP="00675DE5">
      <w:pPr>
        <w:pStyle w:val="Bulletsl"/>
        <w:numPr>
          <w:ilvl w:val="0"/>
          <w:numId w:val="0"/>
        </w:numPr>
        <w:spacing w:line="276" w:lineRule="auto"/>
        <w:ind w:left="1080"/>
      </w:pPr>
      <w:r>
        <w:t>No person in the United States shall, on the ground of race, color, or national origin, be excluded from participation in, be denied the benefits of, or be subjected to discrimination under any program or activity receiving Federal financial assistance.”</w:t>
      </w:r>
    </w:p>
    <w:p w14:paraId="571DE8B1" w14:textId="0935719B" w:rsidR="002F3EF7" w:rsidRPr="00710F88" w:rsidRDefault="007E3810" w:rsidP="002F3EF7">
      <w:pPr>
        <w:pStyle w:val="Bulletsl"/>
        <w:numPr>
          <w:ilvl w:val="0"/>
          <w:numId w:val="0"/>
        </w:numPr>
        <w:spacing w:line="276" w:lineRule="auto"/>
        <w:ind w:left="720"/>
      </w:pPr>
      <w:r>
        <w:t xml:space="preserve">This section is commonly applied to </w:t>
      </w:r>
      <w:r w:rsidR="005517BB">
        <w:t xml:space="preserve">all </w:t>
      </w:r>
      <w:r>
        <w:t xml:space="preserve">universities and colleges, </w:t>
      </w:r>
      <w:r w:rsidR="005517BB">
        <w:t xml:space="preserve">including private ones, </w:t>
      </w:r>
      <w:r>
        <w:t xml:space="preserve">as </w:t>
      </w:r>
      <w:r w:rsidR="005517BB">
        <w:t xml:space="preserve">most </w:t>
      </w:r>
      <w:r>
        <w:t>receive significant federal funding</w:t>
      </w:r>
      <w:r w:rsidR="005517BB">
        <w:t xml:space="preserve"> through direct grants or student financial aid</w:t>
      </w:r>
      <w:r>
        <w:t>.</w:t>
      </w:r>
    </w:p>
    <w:p w14:paraId="3174C2D1" w14:textId="0D788982" w:rsidR="002F3EF7" w:rsidRPr="00770920" w:rsidRDefault="00111DDB" w:rsidP="002F3EF7">
      <w:pPr>
        <w:pStyle w:val="Bulletsl"/>
        <w:spacing w:before="240" w:line="276" w:lineRule="auto"/>
        <w:rPr>
          <w:bCs/>
        </w:rPr>
      </w:pPr>
      <w:r w:rsidRPr="00770920">
        <w:rPr>
          <w:bCs/>
          <w:i/>
        </w:rPr>
        <w:t>Brown v. Board of Education</w:t>
      </w:r>
      <w:r w:rsidR="002F3EF7" w:rsidRPr="00770920">
        <w:rPr>
          <w:bCs/>
          <w:iCs/>
        </w:rPr>
        <w:t xml:space="preserve"> </w:t>
      </w:r>
      <w:r w:rsidR="0033252B" w:rsidRPr="00770920">
        <w:rPr>
          <w:bCs/>
          <w:i/>
        </w:rPr>
        <w:t>(Brown I)</w:t>
      </w:r>
      <w:r w:rsidR="0033252B" w:rsidRPr="00770920">
        <w:rPr>
          <w:bCs/>
          <w:iCs/>
        </w:rPr>
        <w:t xml:space="preserve"> </w:t>
      </w:r>
      <w:r w:rsidR="002F3EF7" w:rsidRPr="00770920">
        <w:rPr>
          <w:bCs/>
          <w:iCs/>
        </w:rPr>
        <w:t>(19</w:t>
      </w:r>
      <w:r w:rsidRPr="00770920">
        <w:rPr>
          <w:bCs/>
          <w:iCs/>
        </w:rPr>
        <w:t>54</w:t>
      </w:r>
      <w:r w:rsidR="002F3EF7" w:rsidRPr="00770920">
        <w:rPr>
          <w:bCs/>
          <w:iCs/>
        </w:rPr>
        <w:t xml:space="preserve">) </w:t>
      </w:r>
    </w:p>
    <w:p w14:paraId="20C221D5" w14:textId="299A3086" w:rsidR="00C406E1" w:rsidRPr="002D299C" w:rsidRDefault="002F3EF7" w:rsidP="002F3EF7">
      <w:pPr>
        <w:pStyle w:val="Bulletsl"/>
        <w:numPr>
          <w:ilvl w:val="0"/>
          <w:numId w:val="0"/>
        </w:numPr>
        <w:spacing w:line="276" w:lineRule="auto"/>
        <w:ind w:left="720"/>
      </w:pPr>
      <w:r>
        <w:t xml:space="preserve">In a unanimous decision, the Supreme Court </w:t>
      </w:r>
      <w:r w:rsidR="0033252B">
        <w:t xml:space="preserve">ruled that racial segregation in public schools </w:t>
      </w:r>
      <w:r w:rsidR="00E01319">
        <w:t xml:space="preserve">(K–12) </w:t>
      </w:r>
      <w:r w:rsidR="0033252B">
        <w:t xml:space="preserve">violated the </w:t>
      </w:r>
      <w:r w:rsidR="00C97E5E">
        <w:t>14</w:t>
      </w:r>
      <w:r w:rsidR="00C97E5E" w:rsidRPr="004264AC">
        <w:rPr>
          <w:vertAlign w:val="superscript"/>
        </w:rPr>
        <w:t>th</w:t>
      </w:r>
      <w:r w:rsidR="00C97E5E">
        <w:t xml:space="preserve"> </w:t>
      </w:r>
      <w:r w:rsidR="0033252B">
        <w:t xml:space="preserve">Amendment’s Equal Protection Clause. The justices found that access to a good education was “a right which must be made available to all on equal terms.” </w:t>
      </w:r>
      <w:r w:rsidR="0033252B" w:rsidRPr="00C83E48">
        <w:rPr>
          <w:color w:val="222222"/>
        </w:rPr>
        <w:t xml:space="preserve">The justices </w:t>
      </w:r>
      <w:r w:rsidR="0033252B">
        <w:rPr>
          <w:color w:val="222222"/>
        </w:rPr>
        <w:t>argued</w:t>
      </w:r>
      <w:r w:rsidR="0033252B" w:rsidRPr="00C83E48">
        <w:rPr>
          <w:color w:val="222222"/>
        </w:rPr>
        <w:t xml:space="preserve"> that separating children solely on the basis of race created a feeling of inferiority in the “hearts and minds” of African</w:t>
      </w:r>
      <w:r w:rsidR="00161159">
        <w:rPr>
          <w:color w:val="222222"/>
        </w:rPr>
        <w:t xml:space="preserve"> </w:t>
      </w:r>
      <w:r w:rsidR="0033252B" w:rsidRPr="00C83E48">
        <w:rPr>
          <w:color w:val="222222"/>
        </w:rPr>
        <w:t>American children.</w:t>
      </w:r>
      <w:r w:rsidR="0033252B">
        <w:rPr>
          <w:color w:val="222222"/>
        </w:rPr>
        <w:t xml:space="preserve"> </w:t>
      </w:r>
      <w:r w:rsidR="0033252B" w:rsidRPr="00C83E48">
        <w:rPr>
          <w:color w:val="222222"/>
        </w:rPr>
        <w:t xml:space="preserve">Segregating children in public education </w:t>
      </w:r>
      <w:r w:rsidR="0033252B">
        <w:rPr>
          <w:color w:val="222222"/>
        </w:rPr>
        <w:t xml:space="preserve">thus </w:t>
      </w:r>
      <w:r w:rsidR="0033252B" w:rsidRPr="00C83E48">
        <w:rPr>
          <w:color w:val="222222"/>
        </w:rPr>
        <w:t xml:space="preserve">created and perpetuated the idea that </w:t>
      </w:r>
      <w:r w:rsidR="00BA6728">
        <w:rPr>
          <w:color w:val="222222"/>
        </w:rPr>
        <w:t>B</w:t>
      </w:r>
      <w:r w:rsidR="008B0636">
        <w:rPr>
          <w:color w:val="222222"/>
        </w:rPr>
        <w:t>lack</w:t>
      </w:r>
      <w:r w:rsidR="0033252B" w:rsidRPr="00C83E48">
        <w:rPr>
          <w:color w:val="222222"/>
        </w:rPr>
        <w:t xml:space="preserve"> children held a lower status in the community than </w:t>
      </w:r>
      <w:r w:rsidR="00BA6728">
        <w:rPr>
          <w:color w:val="222222"/>
        </w:rPr>
        <w:t>W</w:t>
      </w:r>
      <w:r w:rsidR="0033252B" w:rsidRPr="00C83E48">
        <w:rPr>
          <w:color w:val="222222"/>
        </w:rPr>
        <w:t>hite children, even if their separate educational facilities were substantially equal in “tangible” factors.</w:t>
      </w:r>
      <w:r w:rsidR="003B7776">
        <w:rPr>
          <w:color w:val="222222"/>
        </w:rPr>
        <w:t xml:space="preserve"> </w:t>
      </w:r>
    </w:p>
    <w:p w14:paraId="6C831906" w14:textId="4F8F1E8C" w:rsidR="002F3EF7" w:rsidRDefault="002F3EF7" w:rsidP="002F3EF7">
      <w:pPr>
        <w:pStyle w:val="Subhead2sl"/>
      </w:pPr>
      <w:r>
        <w:t xml:space="preserve">Arguments for </w:t>
      </w:r>
      <w:r w:rsidR="003A7C85">
        <w:t>Regents of the University of California</w:t>
      </w:r>
      <w:r>
        <w:t xml:space="preserve"> (petitioner)</w:t>
      </w:r>
    </w:p>
    <w:p w14:paraId="65E80006" w14:textId="6BAB28B2" w:rsidR="00F27F65" w:rsidRDefault="003B607F" w:rsidP="00F50128">
      <w:pPr>
        <w:pStyle w:val="Bulletsl"/>
        <w:spacing w:line="276" w:lineRule="auto"/>
        <w:rPr>
          <w:lang w:eastAsia="zh-CN"/>
        </w:rPr>
      </w:pPr>
      <w:r>
        <w:t xml:space="preserve">The </w:t>
      </w:r>
      <w:r w:rsidR="00C97E5E">
        <w:t>14</w:t>
      </w:r>
      <w:r w:rsidRPr="004264AC">
        <w:rPr>
          <w:vertAlign w:val="superscript"/>
        </w:rPr>
        <w:t>th</w:t>
      </w:r>
      <w:r>
        <w:t xml:space="preserve"> Amendment states that people should be treated </w:t>
      </w:r>
      <w:r w:rsidRPr="003B607F">
        <w:rPr>
          <w:i/>
          <w:iCs/>
        </w:rPr>
        <w:t>equally</w:t>
      </w:r>
      <w:r>
        <w:t xml:space="preserve">, not the </w:t>
      </w:r>
      <w:r>
        <w:rPr>
          <w:i/>
          <w:iCs/>
        </w:rPr>
        <w:t>same</w:t>
      </w:r>
      <w:r>
        <w:t xml:space="preserve">. Treating people equally means giving </w:t>
      </w:r>
      <w:r w:rsidR="00E30129">
        <w:t>less privileged</w:t>
      </w:r>
      <w:r>
        <w:t xml:space="preserve"> individuals what they need in order to </w:t>
      </w:r>
      <w:r w:rsidR="00E30129">
        <w:t xml:space="preserve">be </w:t>
      </w:r>
      <w:r>
        <w:t xml:space="preserve">on equal footing </w:t>
      </w:r>
      <w:r w:rsidR="00C97E5E">
        <w:t xml:space="preserve">with </w:t>
      </w:r>
      <w:r>
        <w:t xml:space="preserve">their more </w:t>
      </w:r>
      <w:r w:rsidR="00E30129">
        <w:t>privileged</w:t>
      </w:r>
      <w:r>
        <w:t xml:space="preserve"> peers. </w:t>
      </w:r>
    </w:p>
    <w:p w14:paraId="01351C15" w14:textId="15BD0BDB" w:rsidR="003B607F" w:rsidRDefault="00843764" w:rsidP="00F50128">
      <w:pPr>
        <w:pStyle w:val="Bulletsl"/>
        <w:spacing w:line="276" w:lineRule="auto"/>
        <w:rPr>
          <w:lang w:eastAsia="zh-CN"/>
        </w:rPr>
      </w:pPr>
      <w:r>
        <w:t>T</w:t>
      </w:r>
      <w:r w:rsidR="00F27F65">
        <w:t>here</w:t>
      </w:r>
      <w:r>
        <w:t xml:space="preserve"> is </w:t>
      </w:r>
      <w:r w:rsidR="00F27F65">
        <w:t xml:space="preserve">an extensive </w:t>
      </w:r>
      <w:r>
        <w:t xml:space="preserve">history of </w:t>
      </w:r>
      <w:r>
        <w:rPr>
          <w:b/>
          <w:bCs/>
        </w:rPr>
        <w:t>systemic racism</w:t>
      </w:r>
      <w:r>
        <w:t xml:space="preserve"> in the United States, which has traditionally given </w:t>
      </w:r>
      <w:r w:rsidR="00BA6728">
        <w:t>W</w:t>
      </w:r>
      <w:r>
        <w:t xml:space="preserve">hite people greater access to </w:t>
      </w:r>
      <w:r w:rsidR="006E7081">
        <w:t>higher</w:t>
      </w:r>
      <w:r>
        <w:t xml:space="preserve"> education than </w:t>
      </w:r>
      <w:r w:rsidR="007C73BB">
        <w:t xml:space="preserve">racial </w:t>
      </w:r>
      <w:r>
        <w:t>minorities.</w:t>
      </w:r>
      <w:r w:rsidR="003B7776">
        <w:t xml:space="preserve"> </w:t>
      </w:r>
      <w:r w:rsidR="006E7081">
        <w:t>P</w:t>
      </w:r>
      <w:r w:rsidR="00F27F65">
        <w:t xml:space="preserve">olicies </w:t>
      </w:r>
      <w:r w:rsidR="006E7081">
        <w:t>should</w:t>
      </w:r>
      <w:r w:rsidR="00F27F65">
        <w:t xml:space="preserve"> encourage and help </w:t>
      </w:r>
      <w:r w:rsidR="0036545E">
        <w:t>people of color</w:t>
      </w:r>
      <w:r w:rsidR="00F27F65">
        <w:t xml:space="preserve"> join specialized professions like medicine.</w:t>
      </w:r>
    </w:p>
    <w:p w14:paraId="65AE39CE" w14:textId="107C890F" w:rsidR="003B607F" w:rsidRDefault="003B607F" w:rsidP="00F50128">
      <w:pPr>
        <w:pStyle w:val="Bulletsl"/>
        <w:spacing w:line="276" w:lineRule="auto"/>
        <w:rPr>
          <w:lang w:eastAsia="zh-CN"/>
        </w:rPr>
      </w:pPr>
      <w:r>
        <w:t>The special admissions program at UC Davis did not consider only</w:t>
      </w:r>
      <w:r w:rsidR="00843764">
        <w:t xml:space="preserve"> applications submitted by</w:t>
      </w:r>
      <w:r>
        <w:t xml:space="preserve"> </w:t>
      </w:r>
      <w:r w:rsidR="00843764">
        <w:t>racial minorities,</w:t>
      </w:r>
      <w:r>
        <w:t xml:space="preserve"> but it also considered </w:t>
      </w:r>
      <w:r w:rsidR="00BA6728">
        <w:t>W</w:t>
      </w:r>
      <w:r>
        <w:t xml:space="preserve">hite </w:t>
      </w:r>
      <w:r w:rsidR="00707565">
        <w:t>applicants</w:t>
      </w:r>
      <w:r>
        <w:t xml:space="preserve"> who had been educationally or economically </w:t>
      </w:r>
      <w:r w:rsidR="00F719F0">
        <w:t>“</w:t>
      </w:r>
      <w:r>
        <w:t>disadvantaged.</w:t>
      </w:r>
      <w:r w:rsidR="00F719F0">
        <w:t>”</w:t>
      </w:r>
      <w:r>
        <w:t xml:space="preserve"> Because </w:t>
      </w:r>
      <w:r w:rsidR="00BA6728">
        <w:t>W</w:t>
      </w:r>
      <w:r>
        <w:t xml:space="preserve">hite </w:t>
      </w:r>
      <w:r w:rsidR="00707565">
        <w:t>applicants</w:t>
      </w:r>
      <w:r>
        <w:t xml:space="preserve"> also had access to the special admissions program, it did not violate the Equal Protection Clause.</w:t>
      </w:r>
    </w:p>
    <w:p w14:paraId="27FD530A" w14:textId="7FE066B4" w:rsidR="002F3EF7" w:rsidRDefault="003B607F" w:rsidP="00C94C02">
      <w:pPr>
        <w:pStyle w:val="Bulletsl"/>
        <w:spacing w:line="276" w:lineRule="auto"/>
      </w:pPr>
      <w:r>
        <w:t xml:space="preserve">Even if he </w:t>
      </w:r>
      <w:r w:rsidR="00347067">
        <w:t>were</w:t>
      </w:r>
      <w:r>
        <w:t xml:space="preserve"> considered under a race-neutral admissions program, Bakke still would not have been admitted to UC Davis because of other factors, such as his age.</w:t>
      </w:r>
    </w:p>
    <w:p w14:paraId="3C677143" w14:textId="16A583E2" w:rsidR="002F3EF7" w:rsidRDefault="002F3EF7" w:rsidP="00675DE5">
      <w:pPr>
        <w:pStyle w:val="Subhead2sl"/>
        <w:keepNext/>
      </w:pPr>
      <w:r>
        <w:lastRenderedPageBreak/>
        <w:t xml:space="preserve">Arguments for </w:t>
      </w:r>
      <w:r w:rsidR="003A7C85">
        <w:t>Bakke</w:t>
      </w:r>
      <w:r>
        <w:t xml:space="preserve"> (respondent)</w:t>
      </w:r>
    </w:p>
    <w:p w14:paraId="6CEADE1E" w14:textId="0B4A9E00" w:rsidR="004F2731" w:rsidRDefault="003B607F" w:rsidP="00F50128">
      <w:pPr>
        <w:pStyle w:val="Bulletsl"/>
        <w:spacing w:line="276" w:lineRule="auto"/>
        <w:rPr>
          <w:lang w:eastAsia="zh-CN"/>
        </w:rPr>
      </w:pPr>
      <w:r>
        <w:t xml:space="preserve">The </w:t>
      </w:r>
      <w:r w:rsidR="007C73BB">
        <w:t>14</w:t>
      </w:r>
      <w:r w:rsidR="001B1239" w:rsidRPr="004264AC">
        <w:rPr>
          <w:vertAlign w:val="superscript"/>
        </w:rPr>
        <w:t>th</w:t>
      </w:r>
      <w:r>
        <w:t xml:space="preserve"> Amendment does not allow a state to impose distinctions based upon race. The belief that some forms of discrimination</w:t>
      </w:r>
      <w:r w:rsidR="00D041E6">
        <w:t xml:space="preserve"> </w:t>
      </w:r>
      <w:r>
        <w:t>based on race</w:t>
      </w:r>
      <w:r w:rsidR="00D041E6">
        <w:t xml:space="preserve"> (like “reverse discrimination”) </w:t>
      </w:r>
      <w:r>
        <w:t xml:space="preserve">might </w:t>
      </w:r>
      <w:r w:rsidR="00F27F65">
        <w:t>be less harmful</w:t>
      </w:r>
      <w:r>
        <w:t xml:space="preserve"> </w:t>
      </w:r>
      <w:r w:rsidR="00F27F65">
        <w:t xml:space="preserve">than others </w:t>
      </w:r>
      <w:r>
        <w:t xml:space="preserve">is irrelevant to </w:t>
      </w:r>
      <w:r w:rsidR="00D041E6">
        <w:t>the Equal Protection Clause.</w:t>
      </w:r>
    </w:p>
    <w:p w14:paraId="2E181503" w14:textId="792F0991" w:rsidR="004F2731" w:rsidRDefault="004F2731" w:rsidP="00F50128">
      <w:pPr>
        <w:pStyle w:val="Bulletsl"/>
        <w:spacing w:line="276" w:lineRule="auto"/>
        <w:rPr>
          <w:lang w:eastAsia="zh-CN"/>
        </w:rPr>
      </w:pPr>
      <w:r>
        <w:t xml:space="preserve">The </w:t>
      </w:r>
      <w:r w:rsidR="007C73BB">
        <w:t>14</w:t>
      </w:r>
      <w:r w:rsidRPr="004264AC">
        <w:rPr>
          <w:vertAlign w:val="superscript"/>
        </w:rPr>
        <w:t>th</w:t>
      </w:r>
      <w:r>
        <w:t xml:space="preserve"> Amendment states that people should be treated </w:t>
      </w:r>
      <w:r w:rsidRPr="003B607F">
        <w:rPr>
          <w:i/>
          <w:iCs/>
        </w:rPr>
        <w:t>equally</w:t>
      </w:r>
      <w:r>
        <w:t>. The use of quota</w:t>
      </w:r>
      <w:r w:rsidR="008C6028">
        <w:t>s</w:t>
      </w:r>
      <w:r>
        <w:t xml:space="preserve"> in admission</w:t>
      </w:r>
      <w:r w:rsidR="00D041E6">
        <w:t xml:space="preserve">s </w:t>
      </w:r>
      <w:r>
        <w:t>is an example of unequal treatment based on race</w:t>
      </w:r>
      <w:r w:rsidR="008C6028">
        <w:t xml:space="preserve"> because </w:t>
      </w:r>
      <w:r w:rsidR="00BA6728">
        <w:t>W</w:t>
      </w:r>
      <w:r w:rsidR="008C6028">
        <w:t xml:space="preserve">hite </w:t>
      </w:r>
      <w:r w:rsidR="007C73BB">
        <w:t>applicants</w:t>
      </w:r>
      <w:r w:rsidR="008C6028">
        <w:t xml:space="preserve"> were treated “less well” than </w:t>
      </w:r>
      <w:r w:rsidR="007C73BB">
        <w:t>applicants</w:t>
      </w:r>
      <w:r w:rsidR="00987B2B">
        <w:t xml:space="preserve"> who were racial minorities.</w:t>
      </w:r>
      <w:r>
        <w:t xml:space="preserve"> </w:t>
      </w:r>
    </w:p>
    <w:p w14:paraId="046C9C48" w14:textId="0CB11F65" w:rsidR="003B607F" w:rsidRDefault="00F27F65" w:rsidP="00F50128">
      <w:pPr>
        <w:pStyle w:val="Bulletsl"/>
        <w:spacing w:line="276" w:lineRule="auto"/>
        <w:rPr>
          <w:lang w:eastAsia="zh-CN"/>
        </w:rPr>
      </w:pPr>
      <w:r>
        <w:t>Even though</w:t>
      </w:r>
      <w:r w:rsidR="003B607F">
        <w:t xml:space="preserve"> there were </w:t>
      </w:r>
      <w:r w:rsidR="00BA6728">
        <w:t>W</w:t>
      </w:r>
      <w:r w:rsidR="003B607F">
        <w:t xml:space="preserve">hite applicants who asked to be considered </w:t>
      </w:r>
      <w:r w:rsidR="00E30129">
        <w:t xml:space="preserve">educationally or economically </w:t>
      </w:r>
      <w:r w:rsidR="00F719F0">
        <w:t>“</w:t>
      </w:r>
      <w:r w:rsidR="003B607F">
        <w:t>disadvantaged,</w:t>
      </w:r>
      <w:r w:rsidR="00F719F0">
        <w:t>”</w:t>
      </w:r>
      <w:r w:rsidR="003B607F">
        <w:t xml:space="preserve"> none were actually admitted through the special admissions program.</w:t>
      </w:r>
      <w:r>
        <w:t xml:space="preserve"> </w:t>
      </w:r>
    </w:p>
    <w:p w14:paraId="3F9F287F" w14:textId="618F75FF" w:rsidR="00F27F65" w:rsidRDefault="00F27F65" w:rsidP="00F50128">
      <w:pPr>
        <w:pStyle w:val="Bulletsl"/>
        <w:spacing w:line="276" w:lineRule="auto"/>
        <w:rPr>
          <w:lang w:eastAsia="zh-CN"/>
        </w:rPr>
      </w:pPr>
      <w:r>
        <w:t xml:space="preserve">Some candidates admitted through the special admissions program at UC Davis had lower </w:t>
      </w:r>
      <w:r w:rsidR="007F289A">
        <w:t>grade point averages (</w:t>
      </w:r>
      <w:r>
        <w:t>GPAs</w:t>
      </w:r>
      <w:r w:rsidR="007F289A">
        <w:t>)</w:t>
      </w:r>
      <w:r>
        <w:t xml:space="preserve"> than those who were rejected by the regular admissions program.</w:t>
      </w:r>
      <w:r>
        <w:rPr>
          <w:lang w:eastAsia="zh-CN"/>
        </w:rPr>
        <w:t xml:space="preserve"> Since Bakke had a higher GPA than some individuals who were admitted under the special admissions program, he was more qualified to be admitted to UC Davis than they were.</w:t>
      </w:r>
    </w:p>
    <w:p w14:paraId="779A18A6" w14:textId="77777777" w:rsidR="002F3EF7" w:rsidRPr="00ED7038" w:rsidRDefault="002F3EF7" w:rsidP="00F50128">
      <w:pPr>
        <w:pStyle w:val="Subhead2sl"/>
        <w:keepNext/>
        <w:spacing w:before="480"/>
      </w:pPr>
      <w:r w:rsidRPr="00ED7038">
        <w:t>Decision</w:t>
      </w:r>
    </w:p>
    <w:p w14:paraId="4032537B" w14:textId="73E02388" w:rsidR="002B05D1" w:rsidRPr="00ED7038" w:rsidRDefault="002F3EF7" w:rsidP="002B05D1">
      <w:pPr>
        <w:pStyle w:val="Basiccopysl"/>
      </w:pPr>
      <w:r>
        <w:t>In a 5</w:t>
      </w:r>
      <w:r w:rsidR="00770920">
        <w:t>-</w:t>
      </w:r>
      <w:r>
        <w:t xml:space="preserve">4 decision, the Supreme Court </w:t>
      </w:r>
      <w:r w:rsidR="00F27F65">
        <w:t xml:space="preserve">struck down UC Davis’ special admissions program and ordered the school to admit Bakke. However, no single opinion got the majority of the </w:t>
      </w:r>
      <w:r w:rsidR="008C6028">
        <w:t>justices</w:t>
      </w:r>
      <w:r w:rsidR="00F27F65">
        <w:t>’ votes</w:t>
      </w:r>
      <w:r w:rsidR="00D041E6">
        <w:t xml:space="preserve"> (5</w:t>
      </w:r>
      <w:r w:rsidR="002B05D1">
        <w:t>),</w:t>
      </w:r>
      <w:r w:rsidR="002B05D1" w:rsidRPr="002B05D1">
        <w:t xml:space="preserve"> </w:t>
      </w:r>
      <w:r w:rsidR="002B05D1">
        <w:t xml:space="preserve">so there was no majority opinion on the constitutional issues. Six different </w:t>
      </w:r>
      <w:r w:rsidR="008B0636">
        <w:t>j</w:t>
      </w:r>
      <w:r w:rsidR="002B05D1">
        <w:t>ustice</w:t>
      </w:r>
      <w:r w:rsidR="008B0636">
        <w:t>s</w:t>
      </w:r>
      <w:r w:rsidR="002B05D1">
        <w:t xml:space="preserve"> wrote opinions, but the plurality opinion of Justice Powell has received the most attention and stood the test of time.</w:t>
      </w:r>
    </w:p>
    <w:p w14:paraId="29FFEE99" w14:textId="48164D2F" w:rsidR="002F3EF7" w:rsidRDefault="00F27F65" w:rsidP="002F3EF7">
      <w:pPr>
        <w:pStyle w:val="Subhead3sl"/>
      </w:pPr>
      <w:r>
        <w:t>Plurality</w:t>
      </w:r>
    </w:p>
    <w:p w14:paraId="5A713F38" w14:textId="0911F6BF" w:rsidR="002F3EF7" w:rsidRDefault="002F3EF7" w:rsidP="002F3EF7">
      <w:pPr>
        <w:pStyle w:val="Basiccopysl"/>
      </w:pPr>
      <w:r w:rsidRPr="00ED7038">
        <w:t xml:space="preserve">Writing for </w:t>
      </w:r>
      <w:r>
        <w:t>the</w:t>
      </w:r>
      <w:r w:rsidRPr="00ED7038">
        <w:t xml:space="preserve"> </w:t>
      </w:r>
      <w:r w:rsidR="006F10CA">
        <w:t>plurality, Justice Powell</w:t>
      </w:r>
      <w:r w:rsidR="00FE57CE">
        <w:t xml:space="preserve"> found that UC Davis’ special admissions program did discriminate against Bakke on the basis of his race. The school’s quota system reserved 16 out of the 100 available seats in the class for </w:t>
      </w:r>
      <w:r w:rsidR="00707565">
        <w:t xml:space="preserve">racial </w:t>
      </w:r>
      <w:r w:rsidR="00FE57CE">
        <w:t>minorit</w:t>
      </w:r>
      <w:r w:rsidR="00707565">
        <w:t>ies</w:t>
      </w:r>
      <w:r w:rsidR="00FE57CE">
        <w:t xml:space="preserve">. Therefore, </w:t>
      </w:r>
      <w:r w:rsidR="00BA6728">
        <w:t>W</w:t>
      </w:r>
      <w:r w:rsidR="00FE57CE">
        <w:t xml:space="preserve">hite applicants were able to </w:t>
      </w:r>
      <w:r w:rsidR="00870182">
        <w:t>compete for</w:t>
      </w:r>
      <w:r w:rsidR="00FE57CE">
        <w:t xml:space="preserve"> only 84 of the seats, while candidates</w:t>
      </w:r>
      <w:r w:rsidR="007B4B72">
        <w:t xml:space="preserve"> who were racial minorities</w:t>
      </w:r>
      <w:r w:rsidR="00FE57CE">
        <w:t xml:space="preserve"> </w:t>
      </w:r>
      <w:r w:rsidR="00870182">
        <w:t>could</w:t>
      </w:r>
      <w:r w:rsidR="00264D47">
        <w:t xml:space="preserve"> </w:t>
      </w:r>
      <w:r w:rsidR="00FE57CE">
        <w:t>compet</w:t>
      </w:r>
      <w:r w:rsidR="00870182">
        <w:t>e</w:t>
      </w:r>
      <w:r w:rsidR="00FE57CE">
        <w:t xml:space="preserve"> for all 100 seats. Because the policy treated </w:t>
      </w:r>
      <w:r w:rsidR="00BA6728">
        <w:t>W</w:t>
      </w:r>
      <w:r w:rsidR="00FE57CE">
        <w:t>hite applicants different</w:t>
      </w:r>
      <w:r w:rsidR="008C6028">
        <w:t>ly</w:t>
      </w:r>
      <w:r w:rsidR="00FE57CE">
        <w:t xml:space="preserve"> from candidates of other races, </w:t>
      </w:r>
      <w:r w:rsidR="00C85B6F">
        <w:t>the quota system</w:t>
      </w:r>
      <w:r w:rsidR="00FE57CE">
        <w:t xml:space="preserve"> violated the </w:t>
      </w:r>
      <w:r w:rsidR="007C73BB">
        <w:t>14</w:t>
      </w:r>
      <w:r w:rsidR="00FE57CE" w:rsidRPr="004264AC">
        <w:rPr>
          <w:vertAlign w:val="superscript"/>
        </w:rPr>
        <w:t>th</w:t>
      </w:r>
      <w:r w:rsidR="00FE57CE">
        <w:t xml:space="preserve"> Amendment’s Equal Protection Clause.</w:t>
      </w:r>
    </w:p>
    <w:p w14:paraId="11842EBB" w14:textId="5F841D8B" w:rsidR="00B30739" w:rsidRDefault="00B30739" w:rsidP="00B30739">
      <w:pPr>
        <w:pStyle w:val="Basiccopysl"/>
      </w:pPr>
      <w:r>
        <w:t xml:space="preserve">At the same time, Justice Powell found that the objective of increased diversity in the medical school was a permissible government interest. The state was </w:t>
      </w:r>
      <w:r w:rsidR="00264D47">
        <w:t xml:space="preserve">permitted </w:t>
      </w:r>
      <w:r>
        <w:t>to consider race as one of several factors when deciding whether to admit applicants</w:t>
      </w:r>
      <w:r w:rsidR="007C73BB">
        <w:t>;</w:t>
      </w:r>
      <w:r w:rsidR="00D041E6">
        <w:t xml:space="preserve"> however</w:t>
      </w:r>
      <w:r>
        <w:t>, it could not be the only factor considered in the special admissions program</w:t>
      </w:r>
      <w:r w:rsidR="00D041E6">
        <w:t>.</w:t>
      </w:r>
      <w:r>
        <w:t xml:space="preserve"> </w:t>
      </w:r>
      <w:r w:rsidR="00D041E6">
        <w:t>Many</w:t>
      </w:r>
      <w:r>
        <w:t xml:space="preserve"> other characteristics—such as religion, regional differences, educational background, and socioeconomic status—could also increase diversity on campus</w:t>
      </w:r>
      <w:r w:rsidR="008B0636">
        <w:t>es</w:t>
      </w:r>
      <w:r w:rsidR="00D041E6">
        <w:t xml:space="preserve"> and </w:t>
      </w:r>
      <w:r w:rsidR="002B4E00">
        <w:t xml:space="preserve">could appropriately </w:t>
      </w:r>
      <w:r w:rsidR="00D041E6">
        <w:t>be considered</w:t>
      </w:r>
      <w:r w:rsidR="002B4E00">
        <w:t xml:space="preserve"> along with race</w:t>
      </w:r>
      <w:r>
        <w:t xml:space="preserve">. </w:t>
      </w:r>
    </w:p>
    <w:p w14:paraId="3EF9245E" w14:textId="053FCC9E" w:rsidR="00000000" w:rsidRDefault="00863946" w:rsidP="00675DE5">
      <w:pPr>
        <w:pStyle w:val="Subhead2sl"/>
        <w:keepNext/>
      </w:pPr>
      <w:r>
        <w:lastRenderedPageBreak/>
        <w:t>Impact</w:t>
      </w:r>
    </w:p>
    <w:p w14:paraId="24290A9F" w14:textId="1FA88266" w:rsidR="0067712F" w:rsidRPr="00CA5D2C" w:rsidRDefault="00CA5D2C" w:rsidP="00E007AF">
      <w:pPr>
        <w:pStyle w:val="Bulletsl"/>
        <w:numPr>
          <w:ilvl w:val="0"/>
          <w:numId w:val="0"/>
        </w:numPr>
        <w:spacing w:line="276" w:lineRule="auto"/>
      </w:pPr>
      <w:r>
        <w:t>Bakke attended medical school at UC Davis</w:t>
      </w:r>
      <w:r w:rsidR="008C6028">
        <w:t xml:space="preserve"> and</w:t>
      </w:r>
      <w:r w:rsidR="00161159">
        <w:t xml:space="preserve"> </w:t>
      </w:r>
      <w:r>
        <w:t>graduat</w:t>
      </w:r>
      <w:r w:rsidR="008C6028">
        <w:t>ed</w:t>
      </w:r>
      <w:r>
        <w:t xml:space="preserve"> in 1982. Following medical school, he completed a residency and fellowship at the Mayo Clinic. He worked as an anesthesiologist in Minnesota until retiring in 2008. He has always been reluctant to talk about the events giving rise to </w:t>
      </w:r>
      <w:r>
        <w:rPr>
          <w:i/>
          <w:iCs/>
        </w:rPr>
        <w:t>Regents of the University of California v. Bakke</w:t>
      </w:r>
      <w:r>
        <w:t xml:space="preserve">. </w:t>
      </w:r>
    </w:p>
    <w:p w14:paraId="016F6F87" w14:textId="6694FBE0" w:rsidR="0014453E" w:rsidRDefault="0014453E" w:rsidP="00E007AF">
      <w:pPr>
        <w:pStyle w:val="Bulletsl"/>
        <w:numPr>
          <w:ilvl w:val="0"/>
          <w:numId w:val="0"/>
        </w:numPr>
        <w:spacing w:line="276" w:lineRule="auto"/>
      </w:pPr>
      <w:r>
        <w:t>I</w:t>
      </w:r>
      <w:r w:rsidR="00CA5D2C">
        <w:t xml:space="preserve">n 1996, the state of California banned the use of race as a factor in admissions decisions after a ballot initiative. </w:t>
      </w:r>
      <w:r w:rsidR="002B4E00">
        <w:t xml:space="preserve">Other states created similar bans. </w:t>
      </w:r>
      <w:r w:rsidR="00264D47">
        <w:t xml:space="preserve">The University of California </w:t>
      </w:r>
      <w:r w:rsidR="00CA5D2C">
        <w:t xml:space="preserve">later adopted </w:t>
      </w:r>
      <w:r w:rsidR="007C73BB">
        <w:t xml:space="preserve">other </w:t>
      </w:r>
      <w:r w:rsidR="00CA5D2C">
        <w:t xml:space="preserve">policies </w:t>
      </w:r>
      <w:r w:rsidR="007C73BB">
        <w:t xml:space="preserve">to attempt to increase diversity, </w:t>
      </w:r>
      <w:r w:rsidR="00CA5D2C">
        <w:t>such as automatically admitting the top 4% of all California high school students</w:t>
      </w:r>
      <w:r w:rsidR="00264D47">
        <w:t>.</w:t>
      </w:r>
      <w:r w:rsidR="00EC6F98">
        <w:t xml:space="preserve"> </w:t>
      </w:r>
    </w:p>
    <w:p w14:paraId="5512DD9C" w14:textId="06292A91" w:rsidR="004264AC" w:rsidRDefault="00264D47" w:rsidP="00CA5D2C">
      <w:pPr>
        <w:pStyle w:val="Bulletsl"/>
        <w:numPr>
          <w:ilvl w:val="0"/>
          <w:numId w:val="0"/>
        </w:numPr>
        <w:spacing w:line="276" w:lineRule="auto"/>
      </w:pPr>
      <w:r>
        <w:t xml:space="preserve">The decision in </w:t>
      </w:r>
      <w:r w:rsidR="00941EA4" w:rsidRPr="00264D47">
        <w:rPr>
          <w:i/>
        </w:rPr>
        <w:t>Bakke</w:t>
      </w:r>
      <w:r w:rsidR="00941EA4">
        <w:t xml:space="preserve"> did not end the debate over affirmative action in higher education</w:t>
      </w:r>
      <w:r w:rsidR="002B4E00">
        <w:t xml:space="preserve"> or </w:t>
      </w:r>
      <w:r w:rsidR="00681E03">
        <w:t>stop legal</w:t>
      </w:r>
      <w:r w:rsidR="002B4E00">
        <w:t xml:space="preserve"> challenges, which continue to this day</w:t>
      </w:r>
      <w:r w:rsidR="00941EA4">
        <w:t>.</w:t>
      </w:r>
      <w:r>
        <w:t xml:space="preserve"> In 2003, two cases arose out of the University of Michigan.</w:t>
      </w:r>
      <w:r w:rsidR="00CA5D2C">
        <w:t xml:space="preserve"> </w:t>
      </w:r>
      <w:r w:rsidR="002B4E00">
        <w:t>In a 5</w:t>
      </w:r>
      <w:r w:rsidR="00060CED">
        <w:t>–</w:t>
      </w:r>
      <w:r w:rsidR="002B4E00">
        <w:t xml:space="preserve">4 decision </w:t>
      </w:r>
      <w:r w:rsidR="00CA5D2C">
        <w:rPr>
          <w:i/>
          <w:iCs/>
        </w:rPr>
        <w:t>Grutter v. Bollinger</w:t>
      </w:r>
      <w:r w:rsidR="00CA5D2C">
        <w:t xml:space="preserve"> (2003) reaffirmed Justice Powell’s opinion that admissions policies </w:t>
      </w:r>
      <w:r w:rsidR="00D041E6">
        <w:t xml:space="preserve">(this time to a law school) </w:t>
      </w:r>
      <w:r w:rsidR="00CA5D2C">
        <w:t xml:space="preserve">that consider race are constitutional as long as </w:t>
      </w:r>
      <w:r w:rsidR="004A70A0">
        <w:t xml:space="preserve">many factors are </w:t>
      </w:r>
      <w:r w:rsidR="00CA5D2C">
        <w:t xml:space="preserve">considered </w:t>
      </w:r>
      <w:r w:rsidR="004A70A0">
        <w:t>together</w:t>
      </w:r>
      <w:r w:rsidR="00CA5D2C">
        <w:t xml:space="preserve">. On the same day, the Court decided </w:t>
      </w:r>
      <w:r w:rsidR="00CA5D2C">
        <w:rPr>
          <w:i/>
          <w:iCs/>
        </w:rPr>
        <w:t>Gratz v. Bollinger</w:t>
      </w:r>
      <w:r w:rsidR="00CA5D2C">
        <w:t xml:space="preserve"> (2003)</w:t>
      </w:r>
      <w:r w:rsidR="002B4E00">
        <w:t xml:space="preserve"> by a </w:t>
      </w:r>
      <w:r w:rsidR="00A921A7">
        <w:t>6</w:t>
      </w:r>
      <w:r w:rsidR="00060CED">
        <w:t>–</w:t>
      </w:r>
      <w:r w:rsidR="00A921A7">
        <w:t>3</w:t>
      </w:r>
      <w:r w:rsidR="002B4E00">
        <w:t xml:space="preserve"> vote</w:t>
      </w:r>
      <w:r w:rsidR="00D75E1D">
        <w:t>.</w:t>
      </w:r>
      <w:r w:rsidR="00060CED">
        <w:t xml:space="preserve"> </w:t>
      </w:r>
      <w:r w:rsidR="00D75E1D">
        <w:t xml:space="preserve">The Court ruled </w:t>
      </w:r>
      <w:r w:rsidR="00CA5D2C">
        <w:t xml:space="preserve">that a points-based admission process that automatically granted additional points to all </w:t>
      </w:r>
      <w:r>
        <w:t>undergraduate</w:t>
      </w:r>
      <w:r w:rsidR="00CA5D2C">
        <w:t xml:space="preserve"> applicants </w:t>
      </w:r>
      <w:r w:rsidR="007B4B72">
        <w:t xml:space="preserve">who were racial minorities </w:t>
      </w:r>
      <w:r w:rsidR="00CA5D2C">
        <w:t xml:space="preserve">was unconstitutional </w:t>
      </w:r>
      <w:r w:rsidR="005C7741">
        <w:t xml:space="preserve">because it functioned essentially the same as a quota, which the Court </w:t>
      </w:r>
      <w:r w:rsidR="00941EA4">
        <w:t>determined</w:t>
      </w:r>
      <w:r w:rsidR="005C7741">
        <w:t xml:space="preserve"> to be unlawful.</w:t>
      </w:r>
      <w:r w:rsidR="00905B71">
        <w:t xml:space="preserve"> </w:t>
      </w:r>
    </w:p>
    <w:p w14:paraId="4BA34D1A" w14:textId="339E0A8C" w:rsidR="004264AC" w:rsidRDefault="00905B71" w:rsidP="00CA5D2C">
      <w:pPr>
        <w:pStyle w:val="Bulletsl"/>
        <w:numPr>
          <w:ilvl w:val="0"/>
          <w:numId w:val="0"/>
        </w:numPr>
        <w:spacing w:line="276" w:lineRule="auto"/>
      </w:pPr>
      <w:r>
        <w:t>More recently</w:t>
      </w:r>
      <w:r w:rsidR="004264AC">
        <w:t>,</w:t>
      </w:r>
      <w:r>
        <w:t xml:space="preserve"> in 2013</w:t>
      </w:r>
      <w:r w:rsidR="002B4E00">
        <w:t xml:space="preserve"> and 2016</w:t>
      </w:r>
      <w:r w:rsidR="004264AC">
        <w:t>,</w:t>
      </w:r>
      <w:r>
        <w:t xml:space="preserve"> the Supreme Court decided </w:t>
      </w:r>
      <w:r w:rsidR="002B4E00">
        <w:t>two cases involving the University of Texas (</w:t>
      </w:r>
      <w:r w:rsidRPr="004C0239">
        <w:rPr>
          <w:i/>
          <w:iCs/>
        </w:rPr>
        <w:t>Fisher</w:t>
      </w:r>
      <w:r w:rsidR="002B4E00">
        <w:rPr>
          <w:i/>
          <w:iCs/>
        </w:rPr>
        <w:t xml:space="preserve"> I </w:t>
      </w:r>
      <w:r w:rsidR="002B4E00" w:rsidRPr="00E447CC">
        <w:t xml:space="preserve">and </w:t>
      </w:r>
      <w:r w:rsidR="002B4E00">
        <w:rPr>
          <w:i/>
          <w:iCs/>
        </w:rPr>
        <w:t>Fisher II)</w:t>
      </w:r>
      <w:r w:rsidR="00060CED">
        <w:rPr>
          <w:i/>
          <w:iCs/>
        </w:rPr>
        <w:t xml:space="preserve">. </w:t>
      </w:r>
      <w:r w:rsidR="00060CED" w:rsidRPr="004264AC">
        <w:t xml:space="preserve">These </w:t>
      </w:r>
      <w:r w:rsidR="002B4E00">
        <w:t xml:space="preserve">cases </w:t>
      </w:r>
      <w:r w:rsidR="00060CED">
        <w:t xml:space="preserve">again </w:t>
      </w:r>
      <w:r>
        <w:t>challenged whether the 14</w:t>
      </w:r>
      <w:r w:rsidRPr="00905B71">
        <w:rPr>
          <w:vertAlign w:val="superscript"/>
        </w:rPr>
        <w:t>th</w:t>
      </w:r>
      <w:r>
        <w:t xml:space="preserve"> Amendment permits the consideration of race in college admissions.</w:t>
      </w:r>
      <w:r w:rsidR="004264AC">
        <w:t xml:space="preserve"> In 2013, the Court found</w:t>
      </w:r>
      <w:r>
        <w:t xml:space="preserve"> that race was a permissible consideration but that university policies must be “precisely tailored</w:t>
      </w:r>
      <w:r w:rsidR="00082C0D">
        <w:t xml:space="preserve">.” Three years later in </w:t>
      </w:r>
      <w:r w:rsidR="00082C0D" w:rsidRPr="00D75E1D">
        <w:rPr>
          <w:i/>
          <w:iCs/>
        </w:rPr>
        <w:t>Fisher II</w:t>
      </w:r>
      <w:r w:rsidR="00082C0D">
        <w:rPr>
          <w:i/>
          <w:iCs/>
        </w:rPr>
        <w:t>,</w:t>
      </w:r>
      <w:r w:rsidR="00082C0D">
        <w:t xml:space="preserve"> the policy was challenged again, and the Court </w:t>
      </w:r>
      <w:r w:rsidR="002B4E00">
        <w:t xml:space="preserve">reaffirmed the constitutionality of the University’s program. </w:t>
      </w:r>
    </w:p>
    <w:p w14:paraId="7B26253C" w14:textId="4CF192FB" w:rsidR="0014453E" w:rsidRDefault="002B4E00" w:rsidP="00E447CC">
      <w:pPr>
        <w:pStyle w:val="Bulletsl"/>
        <w:numPr>
          <w:ilvl w:val="0"/>
          <w:numId w:val="0"/>
        </w:numPr>
        <w:spacing w:after="480" w:line="276" w:lineRule="auto"/>
      </w:pPr>
      <w:r>
        <w:t>The Court remain</w:t>
      </w:r>
      <w:r w:rsidR="004264AC">
        <w:t>s</w:t>
      </w:r>
      <w:r>
        <w:t xml:space="preserve"> deeply divided </w:t>
      </w:r>
      <w:r w:rsidR="005517BB">
        <w:t>on the constitutional issues, however, and litigation continues in the lower courts against other affirmative action programs. As recently as 2019 a lower court rejected a challenge by Asian</w:t>
      </w:r>
      <w:r w:rsidR="004264AC">
        <w:t xml:space="preserve"> </w:t>
      </w:r>
      <w:r w:rsidR="005517BB">
        <w:t>American students to Harvard’s admissions policies</w:t>
      </w:r>
      <w:r w:rsidR="004264AC">
        <w:t>,</w:t>
      </w:r>
      <w:r w:rsidR="005517BB">
        <w:t xml:space="preserve"> and this case could raise the issues before the Supreme Court once again.</w:t>
      </w:r>
      <w:bookmarkStart w:id="0" w:name="_Hlk48598481"/>
    </w:p>
    <w:tbl>
      <w:tblPr>
        <w:tblStyle w:val="TableGrid"/>
        <w:tblW w:w="0" w:type="auto"/>
        <w:tblLook w:val="04A0" w:firstRow="1" w:lastRow="0" w:firstColumn="1" w:lastColumn="0" w:noHBand="0" w:noVBand="1"/>
      </w:tblPr>
      <w:tblGrid>
        <w:gridCol w:w="9350"/>
      </w:tblGrid>
      <w:tr w:rsidR="00C26BCF" w14:paraId="2EE94C4E" w14:textId="77777777" w:rsidTr="00C26BCF">
        <w:tc>
          <w:tcPr>
            <w:tcW w:w="9350" w:type="dxa"/>
            <w:shd w:val="clear" w:color="auto" w:fill="F2F2F2" w:themeFill="background1" w:themeFillShade="F2"/>
          </w:tcPr>
          <w:p w14:paraId="006146E4" w14:textId="34AEB1F6" w:rsidR="00C26BCF" w:rsidRDefault="00C26BCF" w:rsidP="00C26BCF">
            <w:pPr>
              <w:pStyle w:val="Basiccopysl"/>
              <w:spacing w:before="120"/>
            </w:pPr>
            <w:r w:rsidRPr="00C26BCF">
              <w:t xml:space="preserve">Additional information about </w:t>
            </w:r>
            <w:r w:rsidRPr="00770920">
              <w:rPr>
                <w:i/>
                <w:iCs/>
              </w:rPr>
              <w:t>Regents of the University of California v. Bakke</w:t>
            </w:r>
            <w:r w:rsidRPr="00C26BCF">
              <w:rPr>
                <w:i/>
                <w:iCs/>
              </w:rPr>
              <w:t>,</w:t>
            </w:r>
            <w:r w:rsidRPr="00C26BCF">
              <w:t xml:space="preserve"> including background at three reading levels, opinion quotes and summaries, teaching activities, and additional resources, can be found at </w:t>
            </w:r>
            <w:hyperlink r:id="rId11" w:history="1">
              <w:r w:rsidRPr="00C26BCF">
                <w:rPr>
                  <w:rStyle w:val="Hyperlink"/>
                  <w:color w:val="auto"/>
                </w:rPr>
                <w:t>https://www.landmarkcases.org/</w:t>
              </w:r>
            </w:hyperlink>
            <w:r w:rsidRPr="00C26BCF">
              <w:t>.</w:t>
            </w:r>
          </w:p>
        </w:tc>
      </w:tr>
      <w:bookmarkEnd w:id="0"/>
    </w:tbl>
    <w:p w14:paraId="620606C8" w14:textId="5A1B2B86" w:rsidR="00A8185E" w:rsidRPr="00A8185E" w:rsidRDefault="00A8185E" w:rsidP="00C26BCF">
      <w:pPr>
        <w:pStyle w:val="Basiccopysl"/>
      </w:pPr>
    </w:p>
    <w:sectPr w:rsidR="00A8185E" w:rsidRPr="00A8185E">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D8AC9" w14:textId="77777777" w:rsidR="00545D21" w:rsidRDefault="00545D21">
      <w:r>
        <w:separator/>
      </w:r>
    </w:p>
  </w:endnote>
  <w:endnote w:type="continuationSeparator" w:id="0">
    <w:p w14:paraId="71420293" w14:textId="77777777" w:rsidR="00545D21" w:rsidRDefault="0054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sz w:val="22"/>
        <w:szCs w:val="22"/>
      </w:rPr>
    </w:sdtEndPr>
    <w:sdtContent>
      <w:p w14:paraId="3D7811CD" w14:textId="7E18B4DA" w:rsidR="00000000" w:rsidRPr="00E447CC" w:rsidRDefault="00DA57A7">
        <w:pPr>
          <w:pStyle w:val="Footer"/>
          <w:rPr>
            <w:rFonts w:ascii="Garamond" w:hAnsi="Garamond"/>
            <w:sz w:val="22"/>
            <w:szCs w:val="22"/>
          </w:rPr>
        </w:pPr>
        <w:r w:rsidRPr="00E447CC">
          <w:rPr>
            <w:rFonts w:ascii="Garamond" w:hAnsi="Garamond" w:cstheme="minorHAnsi"/>
            <w:sz w:val="22"/>
            <w:szCs w:val="22"/>
          </w:rPr>
          <w:t>©</w:t>
        </w:r>
        <w:r w:rsidRPr="00E447CC">
          <w:rPr>
            <w:rFonts w:ascii="Garamond" w:hAnsi="Garamond"/>
            <w:sz w:val="22"/>
            <w:szCs w:val="22"/>
          </w:rPr>
          <w:t xml:space="preserve"> 20</w:t>
        </w:r>
        <w:r w:rsidR="00C14BB4" w:rsidRPr="00E447CC">
          <w:rPr>
            <w:rFonts w:ascii="Garamond" w:hAnsi="Garamond"/>
            <w:sz w:val="22"/>
            <w:szCs w:val="22"/>
          </w:rPr>
          <w:t>20</w:t>
        </w:r>
        <w:r w:rsidRPr="00E447CC">
          <w:rPr>
            <w:rFonts w:ascii="Garamond" w:hAnsi="Garamond"/>
            <w:sz w:val="22"/>
            <w:szCs w:val="22"/>
          </w:rPr>
          <w:t xml:space="preserve"> Street Law, Inc.</w:t>
        </w:r>
        <w:r w:rsidRPr="00E447CC">
          <w:rPr>
            <w:rFonts w:ascii="Garamond" w:hAnsi="Garamond"/>
            <w:sz w:val="22"/>
            <w:szCs w:val="22"/>
          </w:rPr>
          <w:tab/>
        </w:r>
        <w:r w:rsidRPr="00E447CC">
          <w:rPr>
            <w:rFonts w:ascii="Garamond" w:hAnsi="Garamond"/>
            <w:sz w:val="22"/>
            <w:szCs w:val="22"/>
          </w:rPr>
          <w:tab/>
          <w:t xml:space="preserve"> </w:t>
        </w:r>
        <w:r w:rsidRPr="00E447CC">
          <w:rPr>
            <w:rFonts w:ascii="Garamond" w:hAnsi="Garamond"/>
            <w:sz w:val="22"/>
            <w:szCs w:val="22"/>
          </w:rPr>
          <w:fldChar w:fldCharType="begin"/>
        </w:r>
        <w:r w:rsidRPr="00E447CC">
          <w:rPr>
            <w:rFonts w:ascii="Garamond" w:hAnsi="Garamond"/>
            <w:sz w:val="22"/>
            <w:szCs w:val="22"/>
          </w:rPr>
          <w:instrText xml:space="preserve"> PAGE   \* MERGEFORMAT </w:instrText>
        </w:r>
        <w:r w:rsidRPr="00E447CC">
          <w:rPr>
            <w:rFonts w:ascii="Garamond" w:hAnsi="Garamond"/>
            <w:sz w:val="22"/>
            <w:szCs w:val="22"/>
          </w:rPr>
          <w:fldChar w:fldCharType="separate"/>
        </w:r>
        <w:r w:rsidR="002117B4" w:rsidRPr="00E447CC">
          <w:rPr>
            <w:rFonts w:ascii="Garamond" w:hAnsi="Garamond"/>
            <w:noProof/>
            <w:sz w:val="22"/>
            <w:szCs w:val="22"/>
          </w:rPr>
          <w:t>5</w:t>
        </w:r>
        <w:r w:rsidRPr="00E447CC">
          <w:rPr>
            <w:rFonts w:ascii="Garamond" w:hAnsi="Garamond"/>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sz w:val="22"/>
        <w:szCs w:val="22"/>
      </w:rPr>
    </w:sdtEndPr>
    <w:sdtContent>
      <w:p w14:paraId="5C6D091A" w14:textId="05D51F40" w:rsidR="00000000" w:rsidRPr="00E447CC" w:rsidRDefault="00DA57A7">
        <w:pPr>
          <w:pStyle w:val="Footer"/>
          <w:rPr>
            <w:rFonts w:ascii="Garamond" w:hAnsi="Garamond"/>
            <w:sz w:val="22"/>
            <w:szCs w:val="22"/>
          </w:rPr>
        </w:pPr>
        <w:r w:rsidRPr="00E447CC">
          <w:rPr>
            <w:rFonts w:ascii="Garamond" w:hAnsi="Garamond" w:cstheme="minorHAnsi"/>
            <w:sz w:val="22"/>
            <w:szCs w:val="22"/>
          </w:rPr>
          <w:t>©</w:t>
        </w:r>
        <w:r w:rsidRPr="00E447CC">
          <w:rPr>
            <w:rFonts w:ascii="Garamond" w:hAnsi="Garamond"/>
            <w:sz w:val="22"/>
            <w:szCs w:val="22"/>
          </w:rPr>
          <w:t xml:space="preserve"> 20</w:t>
        </w:r>
        <w:r w:rsidR="001000C4" w:rsidRPr="00E447CC">
          <w:rPr>
            <w:rFonts w:ascii="Garamond" w:hAnsi="Garamond"/>
            <w:sz w:val="22"/>
            <w:szCs w:val="22"/>
          </w:rPr>
          <w:t>20</w:t>
        </w:r>
        <w:r w:rsidRPr="00E447CC">
          <w:rPr>
            <w:rFonts w:ascii="Garamond" w:hAnsi="Garamond"/>
            <w:sz w:val="22"/>
            <w:szCs w:val="22"/>
          </w:rPr>
          <w:t xml:space="preserve"> Street Law, Inc.</w:t>
        </w:r>
        <w:r w:rsidRPr="00E447CC">
          <w:rPr>
            <w:rFonts w:ascii="Garamond" w:hAnsi="Garamond"/>
            <w:sz w:val="22"/>
            <w:szCs w:val="22"/>
          </w:rPr>
          <w:tab/>
        </w:r>
        <w:r w:rsidRPr="00E447CC">
          <w:rPr>
            <w:rFonts w:ascii="Garamond" w:hAnsi="Garamond"/>
            <w:sz w:val="22"/>
            <w:szCs w:val="22"/>
          </w:rPr>
          <w:tab/>
          <w:t xml:space="preserve"> </w:t>
        </w:r>
        <w:r w:rsidR="00A93A29" w:rsidRPr="00E447CC">
          <w:rPr>
            <w:rFonts w:ascii="Garamond" w:hAnsi="Garamond"/>
            <w:sz w:val="22"/>
            <w:szCs w:val="22"/>
          </w:rPr>
          <w:t>Last u</w:t>
        </w:r>
        <w:r w:rsidR="00707565" w:rsidRPr="00E447CC">
          <w:rPr>
            <w:rFonts w:ascii="Garamond" w:hAnsi="Garamond"/>
            <w:sz w:val="22"/>
            <w:szCs w:val="22"/>
          </w:rPr>
          <w:t>pdated: 0</w:t>
        </w:r>
        <w:r w:rsidR="007B4B72" w:rsidRPr="00E447CC">
          <w:rPr>
            <w:rFonts w:ascii="Garamond" w:hAnsi="Garamond"/>
            <w:sz w:val="22"/>
            <w:szCs w:val="22"/>
          </w:rPr>
          <w:t>8</w:t>
        </w:r>
        <w:r w:rsidR="00707565" w:rsidRPr="00E447CC">
          <w:rPr>
            <w:rFonts w:ascii="Garamond" w:hAnsi="Garamond"/>
            <w:sz w:val="22"/>
            <w:szCs w:val="22"/>
          </w:rPr>
          <w:t>/</w:t>
        </w:r>
        <w:r w:rsidR="007B4B72" w:rsidRPr="00E447CC">
          <w:rPr>
            <w:rFonts w:ascii="Garamond" w:hAnsi="Garamond"/>
            <w:sz w:val="22"/>
            <w:szCs w:val="22"/>
          </w:rPr>
          <w:t>1</w:t>
        </w:r>
        <w:r w:rsidR="00BA6728" w:rsidRPr="00E447CC">
          <w:rPr>
            <w:rFonts w:ascii="Garamond" w:hAnsi="Garamond"/>
            <w:sz w:val="22"/>
            <w:szCs w:val="22"/>
          </w:rPr>
          <w:t>7</w:t>
        </w:r>
        <w:r w:rsidR="00707565" w:rsidRPr="00E447CC">
          <w:rPr>
            <w:rFonts w:ascii="Garamond" w:hAnsi="Garamond"/>
            <w:sz w:val="22"/>
            <w:szCs w:val="22"/>
          </w:rPr>
          <w:t>/2020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BCF7D" w14:textId="77777777" w:rsidR="00545D21" w:rsidRDefault="00545D21">
      <w:r>
        <w:separator/>
      </w:r>
    </w:p>
  </w:footnote>
  <w:footnote w:type="continuationSeparator" w:id="0">
    <w:p w14:paraId="52B39EC6" w14:textId="77777777" w:rsidR="00545D21" w:rsidRDefault="00545D21">
      <w:r>
        <w:continuationSeparator/>
      </w:r>
    </w:p>
  </w:footnote>
  <w:footnote w:id="1">
    <w:p w14:paraId="7670A011" w14:textId="77777777" w:rsidR="00F719F0" w:rsidRDefault="00F719F0" w:rsidP="00F719F0">
      <w:pPr>
        <w:pStyle w:val="Bulletsl"/>
        <w:numPr>
          <w:ilvl w:val="0"/>
          <w:numId w:val="0"/>
        </w:numPr>
        <w:spacing w:line="276" w:lineRule="auto"/>
      </w:pPr>
      <w:r w:rsidRPr="009B48A0">
        <w:rPr>
          <w:rStyle w:val="FootnoteReference"/>
          <w:sz w:val="20"/>
          <w:szCs w:val="20"/>
        </w:rPr>
        <w:footnoteRef/>
      </w:r>
      <w:r w:rsidRPr="009B48A0">
        <w:rPr>
          <w:sz w:val="20"/>
          <w:szCs w:val="20"/>
        </w:rPr>
        <w:t xml:space="preserve"> </w:t>
      </w:r>
      <w:r>
        <w:rPr>
          <w:sz w:val="20"/>
          <w:szCs w:val="20"/>
        </w:rPr>
        <w:t xml:space="preserve">The terms </w:t>
      </w:r>
      <w:r w:rsidRPr="009B48A0">
        <w:rPr>
          <w:sz w:val="20"/>
          <w:szCs w:val="20"/>
        </w:rPr>
        <w:t>“minority” and “disadvantaged” were used by the University of California in 1978.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F2A2" w14:textId="14351341" w:rsidR="00770920" w:rsidRPr="00770920" w:rsidRDefault="00770920" w:rsidP="00770920">
    <w:pPr>
      <w:jc w:val="right"/>
      <w:rPr>
        <w:rFonts w:ascii="Garamond" w:hAnsi="Garamond"/>
      </w:rPr>
    </w:pPr>
    <w:bookmarkStart w:id="1" w:name="_Hlk156415552"/>
    <w:r w:rsidRPr="00770920">
      <w:rPr>
        <w:rFonts w:ascii="Garamond" w:hAnsi="Garamond" w:cstheme="minorHAnsi"/>
        <w:i/>
        <w:iCs/>
        <w:noProof/>
        <w:sz w:val="22"/>
      </w:rPr>
      <mc:AlternateContent>
        <mc:Choice Requires="wps">
          <w:drawing>
            <wp:anchor distT="0" distB="0" distL="114300" distR="114300" simplePos="0" relativeHeight="251663360" behindDoc="0" locked="0" layoutInCell="1" allowOverlap="1" wp14:anchorId="3451DCB0" wp14:editId="438C0961">
              <wp:simplePos x="0" y="0"/>
              <wp:positionH relativeFrom="column">
                <wp:posOffset>-133350</wp:posOffset>
              </wp:positionH>
              <wp:positionV relativeFrom="paragraph">
                <wp:posOffset>-142875</wp:posOffset>
              </wp:positionV>
              <wp:extent cx="2695575" cy="542925"/>
              <wp:effectExtent l="0" t="0" r="0" b="0"/>
              <wp:wrapNone/>
              <wp:docPr id="733923717" name="Text Box 73392371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9F8A8" w14:textId="77777777" w:rsidR="00770920" w:rsidRDefault="00770920" w:rsidP="00770920">
                          <w:r>
                            <w:rPr>
                              <w:noProof/>
                            </w:rPr>
                            <w:drawing>
                              <wp:inline distT="0" distB="0" distL="0" distR="0" wp14:anchorId="48954DB3" wp14:editId="22D2B1DB">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51DCB0" id="_x0000_t202" coordsize="21600,21600" o:spt="202" path="m,l,21600r21600,l21600,xe">
              <v:stroke joinstyle="miter"/>
              <v:path gradientshapeok="t" o:connecttype="rect"/>
            </v:shapetype>
            <v:shape id="Text Box 733923717" o:spid="_x0000_s1026" type="#_x0000_t202" style="position:absolute;left:0;text-align:left;margin-left:-10.5pt;margin-top:-11.25pt;width:212.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7B09F8A8" w14:textId="77777777" w:rsidR="00770920" w:rsidRDefault="00770920" w:rsidP="00770920">
                    <w:r>
                      <w:rPr>
                        <w:noProof/>
                      </w:rPr>
                      <w:drawing>
                        <wp:inline distT="0" distB="0" distL="0" distR="0" wp14:anchorId="48954DB3" wp14:editId="22D2B1DB">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770920">
      <w:rPr>
        <w:rFonts w:ascii="Garamond" w:hAnsi="Garamond" w:cstheme="minorHAnsi"/>
        <w:i/>
        <w:iCs/>
        <w:sz w:val="22"/>
      </w:rPr>
      <w:t>Regents of the University of California v. Bakke</w:t>
    </w:r>
    <w:r w:rsidRPr="00770920">
      <w:rPr>
        <w:rFonts w:ascii="Garamond" w:hAnsi="Garamond" w:cstheme="minorHAnsi"/>
        <w:sz w:val="22"/>
      </w:rPr>
      <w:t xml:space="preserve"> (2015)</w:t>
    </w:r>
  </w:p>
  <w:bookmarkEnd w:id="1"/>
  <w:p w14:paraId="76122B08" w14:textId="0BCAB838" w:rsidR="00000000" w:rsidRPr="00770920" w:rsidRDefault="00000000" w:rsidP="00770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A032" w14:textId="77777777" w:rsidR="00770920" w:rsidRPr="00770920" w:rsidRDefault="00770920" w:rsidP="00770920">
    <w:pPr>
      <w:jc w:val="right"/>
      <w:rPr>
        <w:rFonts w:ascii="Garamond" w:hAnsi="Garamond"/>
      </w:rPr>
    </w:pPr>
    <w:bookmarkStart w:id="2" w:name="_Hlk156415537"/>
    <w:r w:rsidRPr="00770920">
      <w:rPr>
        <w:rFonts w:ascii="Garamond" w:hAnsi="Garamond" w:cstheme="minorHAnsi"/>
        <w:noProof/>
        <w:sz w:val="22"/>
      </w:rPr>
      <mc:AlternateContent>
        <mc:Choice Requires="wps">
          <w:drawing>
            <wp:anchor distT="0" distB="0" distL="114300" distR="114300" simplePos="0" relativeHeight="251661312" behindDoc="0" locked="0" layoutInCell="1" allowOverlap="1" wp14:anchorId="53DAA782" wp14:editId="0658FE1F">
              <wp:simplePos x="0" y="0"/>
              <wp:positionH relativeFrom="column">
                <wp:posOffset>-133350</wp:posOffset>
              </wp:positionH>
              <wp:positionV relativeFrom="paragraph">
                <wp:posOffset>-142875</wp:posOffset>
              </wp:positionV>
              <wp:extent cx="2695575" cy="542925"/>
              <wp:effectExtent l="0" t="0" r="0" b="0"/>
              <wp:wrapNone/>
              <wp:docPr id="1316934830" name="Text Box 131693483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8D84AD" w14:textId="77777777" w:rsidR="00770920" w:rsidRDefault="00770920" w:rsidP="00770920">
                          <w:r>
                            <w:rPr>
                              <w:noProof/>
                            </w:rPr>
                            <w:drawing>
                              <wp:inline distT="0" distB="0" distL="0" distR="0" wp14:anchorId="6327B72A" wp14:editId="05AAA9B1">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DAA782" id="_x0000_t202" coordsize="21600,21600" o:spt="202" path="m,l,21600r21600,l21600,xe">
              <v:stroke joinstyle="miter"/>
              <v:path gradientshapeok="t" o:connecttype="rect"/>
            </v:shapetype>
            <v:shape id="Text Box 1316934830" o:spid="_x0000_s1027" type="#_x0000_t202" style="position:absolute;left:0;text-align:left;margin-left:-10.5pt;margin-top:-11.2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2F8D84AD" w14:textId="77777777" w:rsidR="00770920" w:rsidRDefault="00770920" w:rsidP="00770920">
                    <w:r>
                      <w:rPr>
                        <w:noProof/>
                      </w:rPr>
                      <w:drawing>
                        <wp:inline distT="0" distB="0" distL="0" distR="0" wp14:anchorId="6327B72A" wp14:editId="05AAA9B1">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770920">
      <w:rPr>
        <w:rFonts w:ascii="Garamond" w:hAnsi="Garamond" w:cstheme="minorHAnsi"/>
        <w:sz w:val="22"/>
      </w:rPr>
      <w:t>Street Law, Inc. Case Summary</w:t>
    </w:r>
  </w:p>
  <w:bookmarkEnd w:id="2"/>
  <w:p w14:paraId="04ED39F5" w14:textId="3EDC96AF" w:rsidR="00000000" w:rsidRPr="00770920" w:rsidRDefault="00000000" w:rsidP="00770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5630"/>
    <w:multiLevelType w:val="hybridMultilevel"/>
    <w:tmpl w:val="4DE6C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02324"/>
    <w:multiLevelType w:val="multilevel"/>
    <w:tmpl w:val="9132A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213FF"/>
    <w:multiLevelType w:val="multilevel"/>
    <w:tmpl w:val="C774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AC0700"/>
    <w:multiLevelType w:val="multilevel"/>
    <w:tmpl w:val="8A7C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9018A"/>
    <w:multiLevelType w:val="multilevel"/>
    <w:tmpl w:val="57B4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3B28C6"/>
    <w:multiLevelType w:val="multilevel"/>
    <w:tmpl w:val="F28A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3626570">
    <w:abstractNumId w:val="4"/>
  </w:num>
  <w:num w:numId="2" w16cid:durableId="1428699698">
    <w:abstractNumId w:val="1"/>
  </w:num>
  <w:num w:numId="3" w16cid:durableId="1606424595">
    <w:abstractNumId w:val="3"/>
  </w:num>
  <w:num w:numId="4" w16cid:durableId="1651211742">
    <w:abstractNumId w:val="5"/>
  </w:num>
  <w:num w:numId="5" w16cid:durableId="172258545">
    <w:abstractNumId w:val="2"/>
  </w:num>
  <w:num w:numId="6" w16cid:durableId="1709454038">
    <w:abstractNumId w:val="6"/>
  </w:num>
  <w:num w:numId="7" w16cid:durableId="72391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F7"/>
    <w:rsid w:val="000027EF"/>
    <w:rsid w:val="00013D3D"/>
    <w:rsid w:val="00060CED"/>
    <w:rsid w:val="000643A1"/>
    <w:rsid w:val="00082C0D"/>
    <w:rsid w:val="000843EC"/>
    <w:rsid w:val="000907BC"/>
    <w:rsid w:val="00093BCC"/>
    <w:rsid w:val="000B7C97"/>
    <w:rsid w:val="000C063F"/>
    <w:rsid w:val="000C37C5"/>
    <w:rsid w:val="000C7BAE"/>
    <w:rsid w:val="000E45DA"/>
    <w:rsid w:val="000E734A"/>
    <w:rsid w:val="000F7397"/>
    <w:rsid w:val="001000C4"/>
    <w:rsid w:val="001037D8"/>
    <w:rsid w:val="00110259"/>
    <w:rsid w:val="00111DDB"/>
    <w:rsid w:val="00117182"/>
    <w:rsid w:val="0014453E"/>
    <w:rsid w:val="00161159"/>
    <w:rsid w:val="001B1239"/>
    <w:rsid w:val="001E1D84"/>
    <w:rsid w:val="00201153"/>
    <w:rsid w:val="00206E80"/>
    <w:rsid w:val="002117B4"/>
    <w:rsid w:val="0021475A"/>
    <w:rsid w:val="00245539"/>
    <w:rsid w:val="002532FD"/>
    <w:rsid w:val="00264D47"/>
    <w:rsid w:val="0028288F"/>
    <w:rsid w:val="002B05D1"/>
    <w:rsid w:val="002B4E00"/>
    <w:rsid w:val="002B7614"/>
    <w:rsid w:val="002F0673"/>
    <w:rsid w:val="002F3EF7"/>
    <w:rsid w:val="0031459F"/>
    <w:rsid w:val="00322AF9"/>
    <w:rsid w:val="0033252B"/>
    <w:rsid w:val="003338B8"/>
    <w:rsid w:val="00345838"/>
    <w:rsid w:val="00345F22"/>
    <w:rsid w:val="00346113"/>
    <w:rsid w:val="00347067"/>
    <w:rsid w:val="00361E66"/>
    <w:rsid w:val="0036545E"/>
    <w:rsid w:val="003829E0"/>
    <w:rsid w:val="003A7C85"/>
    <w:rsid w:val="003B607F"/>
    <w:rsid w:val="003B7776"/>
    <w:rsid w:val="003C08FF"/>
    <w:rsid w:val="00402BCF"/>
    <w:rsid w:val="0041732E"/>
    <w:rsid w:val="004264AC"/>
    <w:rsid w:val="00474E43"/>
    <w:rsid w:val="00481E4C"/>
    <w:rsid w:val="00484893"/>
    <w:rsid w:val="004A70A0"/>
    <w:rsid w:val="004B0E91"/>
    <w:rsid w:val="004B3D8F"/>
    <w:rsid w:val="004C0239"/>
    <w:rsid w:val="004C4925"/>
    <w:rsid w:val="004C6271"/>
    <w:rsid w:val="004E1F8D"/>
    <w:rsid w:val="004F2731"/>
    <w:rsid w:val="00516191"/>
    <w:rsid w:val="00527DC6"/>
    <w:rsid w:val="00545D21"/>
    <w:rsid w:val="005517BB"/>
    <w:rsid w:val="00574FC3"/>
    <w:rsid w:val="00595B15"/>
    <w:rsid w:val="005B1668"/>
    <w:rsid w:val="005C1758"/>
    <w:rsid w:val="005C4723"/>
    <w:rsid w:val="005C7741"/>
    <w:rsid w:val="005D2CC6"/>
    <w:rsid w:val="00601F73"/>
    <w:rsid w:val="00601FD0"/>
    <w:rsid w:val="00634EC7"/>
    <w:rsid w:val="006446C5"/>
    <w:rsid w:val="006525B8"/>
    <w:rsid w:val="00662651"/>
    <w:rsid w:val="00675DE5"/>
    <w:rsid w:val="0067712F"/>
    <w:rsid w:val="00681E03"/>
    <w:rsid w:val="006832A5"/>
    <w:rsid w:val="006907B0"/>
    <w:rsid w:val="006A789B"/>
    <w:rsid w:val="006B6D79"/>
    <w:rsid w:val="006C0897"/>
    <w:rsid w:val="006E7081"/>
    <w:rsid w:val="006F10CA"/>
    <w:rsid w:val="00707565"/>
    <w:rsid w:val="00711285"/>
    <w:rsid w:val="00735F06"/>
    <w:rsid w:val="00742232"/>
    <w:rsid w:val="00756617"/>
    <w:rsid w:val="007640D9"/>
    <w:rsid w:val="00770920"/>
    <w:rsid w:val="00796A22"/>
    <w:rsid w:val="007A10AA"/>
    <w:rsid w:val="007B354D"/>
    <w:rsid w:val="007B4B72"/>
    <w:rsid w:val="007B6C43"/>
    <w:rsid w:val="007B778E"/>
    <w:rsid w:val="007C73BB"/>
    <w:rsid w:val="007D5150"/>
    <w:rsid w:val="007E1591"/>
    <w:rsid w:val="007E3810"/>
    <w:rsid w:val="007F289A"/>
    <w:rsid w:val="0080077C"/>
    <w:rsid w:val="008100AB"/>
    <w:rsid w:val="00813E65"/>
    <w:rsid w:val="008353CC"/>
    <w:rsid w:val="00843764"/>
    <w:rsid w:val="00855022"/>
    <w:rsid w:val="00863946"/>
    <w:rsid w:val="008667DB"/>
    <w:rsid w:val="00870182"/>
    <w:rsid w:val="008726A0"/>
    <w:rsid w:val="008746FB"/>
    <w:rsid w:val="00895DD5"/>
    <w:rsid w:val="008A1BBF"/>
    <w:rsid w:val="008A48D3"/>
    <w:rsid w:val="008B0636"/>
    <w:rsid w:val="008C6028"/>
    <w:rsid w:val="008E77B2"/>
    <w:rsid w:val="008F1D4A"/>
    <w:rsid w:val="008F3E30"/>
    <w:rsid w:val="00905B71"/>
    <w:rsid w:val="00907838"/>
    <w:rsid w:val="00941EA4"/>
    <w:rsid w:val="00945364"/>
    <w:rsid w:val="00987B2B"/>
    <w:rsid w:val="009949DD"/>
    <w:rsid w:val="009A1A13"/>
    <w:rsid w:val="009A3008"/>
    <w:rsid w:val="009A7440"/>
    <w:rsid w:val="009C7B28"/>
    <w:rsid w:val="009D50B5"/>
    <w:rsid w:val="009E745D"/>
    <w:rsid w:val="009E7FDB"/>
    <w:rsid w:val="009F7A2A"/>
    <w:rsid w:val="00A32A9F"/>
    <w:rsid w:val="00A330DD"/>
    <w:rsid w:val="00A34FCB"/>
    <w:rsid w:val="00A4291A"/>
    <w:rsid w:val="00A4462C"/>
    <w:rsid w:val="00A5145D"/>
    <w:rsid w:val="00A52C52"/>
    <w:rsid w:val="00A8185E"/>
    <w:rsid w:val="00A921A7"/>
    <w:rsid w:val="00A93A29"/>
    <w:rsid w:val="00AD1765"/>
    <w:rsid w:val="00AE24D9"/>
    <w:rsid w:val="00AE761D"/>
    <w:rsid w:val="00AF4CD3"/>
    <w:rsid w:val="00AF7476"/>
    <w:rsid w:val="00B05E46"/>
    <w:rsid w:val="00B1544A"/>
    <w:rsid w:val="00B15694"/>
    <w:rsid w:val="00B30739"/>
    <w:rsid w:val="00B414EB"/>
    <w:rsid w:val="00B50DF2"/>
    <w:rsid w:val="00B6439B"/>
    <w:rsid w:val="00B92EDB"/>
    <w:rsid w:val="00B964E5"/>
    <w:rsid w:val="00BA5CB4"/>
    <w:rsid w:val="00BA6728"/>
    <w:rsid w:val="00BB12F0"/>
    <w:rsid w:val="00BE61E6"/>
    <w:rsid w:val="00BF7AC6"/>
    <w:rsid w:val="00C14BB4"/>
    <w:rsid w:val="00C231AB"/>
    <w:rsid w:val="00C252AB"/>
    <w:rsid w:val="00C26BCF"/>
    <w:rsid w:val="00C31D04"/>
    <w:rsid w:val="00C406E1"/>
    <w:rsid w:val="00C507C1"/>
    <w:rsid w:val="00C57B4F"/>
    <w:rsid w:val="00C6430B"/>
    <w:rsid w:val="00C73F53"/>
    <w:rsid w:val="00C76516"/>
    <w:rsid w:val="00C85B6F"/>
    <w:rsid w:val="00C94C02"/>
    <w:rsid w:val="00C97E5E"/>
    <w:rsid w:val="00CA5D2C"/>
    <w:rsid w:val="00CE662E"/>
    <w:rsid w:val="00CF746D"/>
    <w:rsid w:val="00D006C4"/>
    <w:rsid w:val="00D01293"/>
    <w:rsid w:val="00D041E6"/>
    <w:rsid w:val="00D21ADE"/>
    <w:rsid w:val="00D56340"/>
    <w:rsid w:val="00D75E1D"/>
    <w:rsid w:val="00D777E4"/>
    <w:rsid w:val="00DA57A7"/>
    <w:rsid w:val="00DD1BB6"/>
    <w:rsid w:val="00DE6849"/>
    <w:rsid w:val="00E007AF"/>
    <w:rsid w:val="00E01319"/>
    <w:rsid w:val="00E01D5F"/>
    <w:rsid w:val="00E10B41"/>
    <w:rsid w:val="00E209B2"/>
    <w:rsid w:val="00E24712"/>
    <w:rsid w:val="00E30129"/>
    <w:rsid w:val="00E372DB"/>
    <w:rsid w:val="00E447CC"/>
    <w:rsid w:val="00E5782B"/>
    <w:rsid w:val="00E649B2"/>
    <w:rsid w:val="00E807FC"/>
    <w:rsid w:val="00EB15BD"/>
    <w:rsid w:val="00EC467A"/>
    <w:rsid w:val="00EC6F98"/>
    <w:rsid w:val="00ED4ED7"/>
    <w:rsid w:val="00F047A0"/>
    <w:rsid w:val="00F27F65"/>
    <w:rsid w:val="00F456C2"/>
    <w:rsid w:val="00F50128"/>
    <w:rsid w:val="00F719F0"/>
    <w:rsid w:val="00F71F23"/>
    <w:rsid w:val="00F73B04"/>
    <w:rsid w:val="00FE52C8"/>
    <w:rsid w:val="00FE57CE"/>
    <w:rsid w:val="00FF7D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DAEB"/>
  <w14:defaultImageDpi w14:val="32767"/>
  <w15:chartTrackingRefBased/>
  <w15:docId w15:val="{13995B89-DE0E-3A4E-9EBE-B62ACBF7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aj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EF7"/>
    <w:rPr>
      <w:rFonts w:eastAsia="Times New Roman" w:cs="Times New Roman"/>
      <w:lang w:eastAsia="en-US"/>
    </w:rPr>
  </w:style>
  <w:style w:type="paragraph" w:styleId="Heading2">
    <w:name w:val="heading 2"/>
    <w:basedOn w:val="Normal"/>
    <w:next w:val="Normal"/>
    <w:link w:val="Heading2Char"/>
    <w:uiPriority w:val="9"/>
    <w:unhideWhenUsed/>
    <w:qFormat/>
    <w:rsid w:val="003B77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sl">
    <w:name w:val="Title 2_sl"/>
    <w:basedOn w:val="Normal"/>
    <w:link w:val="Title2slChar"/>
    <w:qFormat/>
    <w:rsid w:val="002F3EF7"/>
    <w:pPr>
      <w:spacing w:before="360" w:after="240"/>
    </w:pPr>
    <w:rPr>
      <w:rFonts w:ascii="Gill Sans MT" w:hAnsi="Gill Sans MT"/>
      <w:b/>
      <w:sz w:val="36"/>
      <w:szCs w:val="36"/>
    </w:rPr>
  </w:style>
  <w:style w:type="character" w:customStyle="1" w:styleId="Title2slChar">
    <w:name w:val="Title 2_sl Char"/>
    <w:basedOn w:val="DefaultParagraphFont"/>
    <w:link w:val="Title2sl"/>
    <w:rsid w:val="002F3EF7"/>
    <w:rPr>
      <w:rFonts w:ascii="Gill Sans MT" w:eastAsia="Times New Roman" w:hAnsi="Gill Sans MT" w:cs="Times New Roman"/>
      <w:b/>
      <w:sz w:val="36"/>
      <w:szCs w:val="36"/>
      <w:lang w:eastAsia="en-US"/>
    </w:rPr>
  </w:style>
  <w:style w:type="paragraph" w:customStyle="1" w:styleId="Subhead2sl">
    <w:name w:val="Subhead 2_sl"/>
    <w:basedOn w:val="Normal"/>
    <w:link w:val="Subhead2slChar"/>
    <w:qFormat/>
    <w:rsid w:val="002F3EF7"/>
    <w:pPr>
      <w:spacing w:before="360" w:after="120"/>
    </w:pPr>
    <w:rPr>
      <w:rFonts w:ascii="Gill Sans MT" w:hAnsi="Gill Sans MT"/>
      <w:b/>
      <w:i/>
    </w:rPr>
  </w:style>
  <w:style w:type="paragraph" w:customStyle="1" w:styleId="Basiccopysl">
    <w:name w:val="Basic copy_sl"/>
    <w:basedOn w:val="Normal"/>
    <w:link w:val="BasiccopyslChar"/>
    <w:qFormat/>
    <w:rsid w:val="002F3EF7"/>
    <w:pPr>
      <w:spacing w:after="120" w:line="276" w:lineRule="auto"/>
    </w:pPr>
    <w:rPr>
      <w:rFonts w:ascii="Garamond" w:hAnsi="Garamond"/>
    </w:rPr>
  </w:style>
  <w:style w:type="character" w:customStyle="1" w:styleId="Subhead2slChar">
    <w:name w:val="Subhead 2_sl Char"/>
    <w:basedOn w:val="DefaultParagraphFont"/>
    <w:link w:val="Subhead2sl"/>
    <w:rsid w:val="002F3EF7"/>
    <w:rPr>
      <w:rFonts w:ascii="Gill Sans MT" w:eastAsia="Times New Roman" w:hAnsi="Gill Sans MT" w:cs="Times New Roman"/>
      <w:b/>
      <w:i/>
      <w:lang w:eastAsia="en-US"/>
    </w:rPr>
  </w:style>
  <w:style w:type="paragraph" w:customStyle="1" w:styleId="Bulletsl">
    <w:name w:val="Bullet_sl"/>
    <w:basedOn w:val="Normal"/>
    <w:link w:val="BulletslChar"/>
    <w:qFormat/>
    <w:rsid w:val="002F3EF7"/>
    <w:pPr>
      <w:numPr>
        <w:numId w:val="1"/>
      </w:numPr>
      <w:spacing w:after="120"/>
    </w:pPr>
    <w:rPr>
      <w:rFonts w:ascii="Garamond" w:hAnsi="Garamond"/>
    </w:rPr>
  </w:style>
  <w:style w:type="character" w:customStyle="1" w:styleId="BasiccopyslChar">
    <w:name w:val="Basic copy_sl Char"/>
    <w:basedOn w:val="DefaultParagraphFont"/>
    <w:link w:val="Basiccopysl"/>
    <w:rsid w:val="002F3EF7"/>
    <w:rPr>
      <w:rFonts w:ascii="Garamond" w:eastAsia="Times New Roman" w:hAnsi="Garamond" w:cs="Times New Roman"/>
      <w:lang w:eastAsia="en-US"/>
    </w:rPr>
  </w:style>
  <w:style w:type="character" w:customStyle="1" w:styleId="BulletslChar">
    <w:name w:val="Bullet_sl Char"/>
    <w:basedOn w:val="DefaultParagraphFont"/>
    <w:link w:val="Bulletsl"/>
    <w:rsid w:val="002F3EF7"/>
    <w:rPr>
      <w:rFonts w:ascii="Garamond" w:eastAsia="Times New Roman" w:hAnsi="Garamond" w:cs="Times New Roman"/>
      <w:lang w:eastAsia="en-US"/>
    </w:rPr>
  </w:style>
  <w:style w:type="paragraph" w:styleId="Header">
    <w:name w:val="header"/>
    <w:basedOn w:val="Normal"/>
    <w:link w:val="HeaderChar"/>
    <w:uiPriority w:val="99"/>
    <w:unhideWhenUsed/>
    <w:rsid w:val="002F3EF7"/>
    <w:pPr>
      <w:tabs>
        <w:tab w:val="center" w:pos="4680"/>
        <w:tab w:val="right" w:pos="9360"/>
      </w:tabs>
    </w:pPr>
  </w:style>
  <w:style w:type="character" w:customStyle="1" w:styleId="HeaderChar">
    <w:name w:val="Header Char"/>
    <w:basedOn w:val="DefaultParagraphFont"/>
    <w:link w:val="Header"/>
    <w:uiPriority w:val="99"/>
    <w:rsid w:val="002F3EF7"/>
    <w:rPr>
      <w:rFonts w:eastAsia="Times New Roman" w:cs="Times New Roman"/>
      <w:lang w:eastAsia="en-US"/>
    </w:rPr>
  </w:style>
  <w:style w:type="paragraph" w:styleId="Footer">
    <w:name w:val="footer"/>
    <w:basedOn w:val="Normal"/>
    <w:link w:val="FooterChar"/>
    <w:uiPriority w:val="99"/>
    <w:unhideWhenUsed/>
    <w:rsid w:val="002F3EF7"/>
    <w:pPr>
      <w:tabs>
        <w:tab w:val="center" w:pos="4680"/>
        <w:tab w:val="right" w:pos="9360"/>
      </w:tabs>
    </w:pPr>
  </w:style>
  <w:style w:type="character" w:customStyle="1" w:styleId="FooterChar">
    <w:name w:val="Footer Char"/>
    <w:basedOn w:val="DefaultParagraphFont"/>
    <w:link w:val="Footer"/>
    <w:uiPriority w:val="99"/>
    <w:rsid w:val="002F3EF7"/>
    <w:rPr>
      <w:rFonts w:eastAsia="Times New Roman" w:cs="Times New Roman"/>
      <w:lang w:eastAsia="en-US"/>
    </w:rPr>
  </w:style>
  <w:style w:type="character" w:styleId="CommentReference">
    <w:name w:val="annotation reference"/>
    <w:basedOn w:val="DefaultParagraphFont"/>
    <w:uiPriority w:val="99"/>
    <w:semiHidden/>
    <w:unhideWhenUsed/>
    <w:rsid w:val="002F3EF7"/>
    <w:rPr>
      <w:sz w:val="16"/>
      <w:szCs w:val="16"/>
    </w:rPr>
  </w:style>
  <w:style w:type="paragraph" w:styleId="CommentText">
    <w:name w:val="annotation text"/>
    <w:basedOn w:val="Normal"/>
    <w:link w:val="CommentTextChar"/>
    <w:uiPriority w:val="99"/>
    <w:semiHidden/>
    <w:unhideWhenUsed/>
    <w:rsid w:val="002F3EF7"/>
    <w:rPr>
      <w:sz w:val="20"/>
      <w:szCs w:val="20"/>
    </w:rPr>
  </w:style>
  <w:style w:type="character" w:customStyle="1" w:styleId="CommentTextChar">
    <w:name w:val="Comment Text Char"/>
    <w:basedOn w:val="DefaultParagraphFont"/>
    <w:link w:val="CommentText"/>
    <w:uiPriority w:val="99"/>
    <w:semiHidden/>
    <w:rsid w:val="002F3EF7"/>
    <w:rPr>
      <w:rFonts w:eastAsia="Times New Roman" w:cs="Times New Roman"/>
      <w:sz w:val="20"/>
      <w:szCs w:val="20"/>
      <w:lang w:eastAsia="en-US"/>
    </w:rPr>
  </w:style>
  <w:style w:type="paragraph" w:customStyle="1" w:styleId="Subhead3sl">
    <w:name w:val="Subhead 3_sl"/>
    <w:basedOn w:val="Basiccopysl"/>
    <w:link w:val="Subhead3slChar"/>
    <w:qFormat/>
    <w:rsid w:val="002F3EF7"/>
    <w:pPr>
      <w:spacing w:before="360"/>
    </w:pPr>
    <w:rPr>
      <w:b/>
    </w:rPr>
  </w:style>
  <w:style w:type="character" w:customStyle="1" w:styleId="Subhead3slChar">
    <w:name w:val="Subhead 3_sl Char"/>
    <w:basedOn w:val="BasiccopyslChar"/>
    <w:link w:val="Subhead3sl"/>
    <w:rsid w:val="002F3EF7"/>
    <w:rPr>
      <w:rFonts w:ascii="Garamond" w:eastAsia="Times New Roman" w:hAnsi="Garamond" w:cs="Times New Roman"/>
      <w:b/>
      <w:lang w:eastAsia="en-US"/>
    </w:rPr>
  </w:style>
  <w:style w:type="paragraph" w:styleId="BalloonText">
    <w:name w:val="Balloon Text"/>
    <w:basedOn w:val="Normal"/>
    <w:link w:val="BalloonTextChar"/>
    <w:uiPriority w:val="99"/>
    <w:semiHidden/>
    <w:unhideWhenUsed/>
    <w:rsid w:val="002F3EF7"/>
    <w:rPr>
      <w:sz w:val="18"/>
      <w:szCs w:val="18"/>
    </w:rPr>
  </w:style>
  <w:style w:type="character" w:customStyle="1" w:styleId="BalloonTextChar">
    <w:name w:val="Balloon Text Char"/>
    <w:basedOn w:val="DefaultParagraphFont"/>
    <w:link w:val="BalloonText"/>
    <w:uiPriority w:val="99"/>
    <w:semiHidden/>
    <w:rsid w:val="002F3EF7"/>
    <w:rPr>
      <w:rFonts w:eastAsia="Times New Roman" w:cs="Times New Roman"/>
      <w:sz w:val="18"/>
      <w:szCs w:val="18"/>
      <w:lang w:eastAsia="en-US"/>
    </w:rPr>
  </w:style>
  <w:style w:type="paragraph" w:styleId="NormalWeb">
    <w:name w:val="Normal (Web)"/>
    <w:basedOn w:val="Normal"/>
    <w:uiPriority w:val="99"/>
    <w:unhideWhenUsed/>
    <w:rsid w:val="00AE761D"/>
    <w:pPr>
      <w:spacing w:before="100" w:beforeAutospacing="1" w:after="100" w:afterAutospacing="1"/>
    </w:pPr>
    <w:rPr>
      <w:lang w:eastAsia="zh-CN"/>
    </w:rPr>
  </w:style>
  <w:style w:type="paragraph" w:styleId="CommentSubject">
    <w:name w:val="annotation subject"/>
    <w:basedOn w:val="CommentText"/>
    <w:next w:val="CommentText"/>
    <w:link w:val="CommentSubjectChar"/>
    <w:uiPriority w:val="99"/>
    <w:semiHidden/>
    <w:unhideWhenUsed/>
    <w:rsid w:val="00AE761D"/>
    <w:rPr>
      <w:b/>
      <w:bCs/>
    </w:rPr>
  </w:style>
  <w:style w:type="character" w:customStyle="1" w:styleId="CommentSubjectChar">
    <w:name w:val="Comment Subject Char"/>
    <w:basedOn w:val="CommentTextChar"/>
    <w:link w:val="CommentSubject"/>
    <w:uiPriority w:val="99"/>
    <w:semiHidden/>
    <w:rsid w:val="00AE761D"/>
    <w:rPr>
      <w:rFonts w:eastAsia="Times New Roman" w:cs="Times New Roman"/>
      <w:b/>
      <w:bCs/>
      <w:sz w:val="20"/>
      <w:szCs w:val="20"/>
      <w:lang w:eastAsia="en-US"/>
    </w:rPr>
  </w:style>
  <w:style w:type="character" w:styleId="Hyperlink">
    <w:name w:val="Hyperlink"/>
    <w:basedOn w:val="DefaultParagraphFont"/>
    <w:uiPriority w:val="99"/>
    <w:unhideWhenUsed/>
    <w:rsid w:val="00AE761D"/>
    <w:rPr>
      <w:color w:val="0563C1" w:themeColor="hyperlink"/>
      <w:u w:val="single"/>
    </w:rPr>
  </w:style>
  <w:style w:type="character" w:customStyle="1" w:styleId="UnresolvedMention1">
    <w:name w:val="Unresolved Mention1"/>
    <w:basedOn w:val="DefaultParagraphFont"/>
    <w:uiPriority w:val="99"/>
    <w:rsid w:val="00AE761D"/>
    <w:rPr>
      <w:color w:val="605E5C"/>
      <w:shd w:val="clear" w:color="auto" w:fill="E1DFDD"/>
    </w:rPr>
  </w:style>
  <w:style w:type="character" w:customStyle="1" w:styleId="Heading2Char">
    <w:name w:val="Heading 2 Char"/>
    <w:basedOn w:val="DefaultParagraphFont"/>
    <w:link w:val="Heading2"/>
    <w:uiPriority w:val="9"/>
    <w:rsid w:val="003B7776"/>
    <w:rPr>
      <w:rFonts w:asciiTheme="majorHAnsi" w:eastAsiaTheme="majorEastAsia" w:hAnsiTheme="majorHAnsi"/>
      <w:color w:val="2F5496" w:themeColor="accent1" w:themeShade="BF"/>
      <w:sz w:val="26"/>
      <w:szCs w:val="26"/>
      <w:lang w:eastAsia="en-US"/>
    </w:rPr>
  </w:style>
  <w:style w:type="table" w:styleId="TableGrid">
    <w:name w:val="Table Grid"/>
    <w:basedOn w:val="TableNormal"/>
    <w:uiPriority w:val="39"/>
    <w:rsid w:val="00C2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4B72"/>
    <w:rPr>
      <w:sz w:val="20"/>
      <w:szCs w:val="20"/>
    </w:rPr>
  </w:style>
  <w:style w:type="character" w:customStyle="1" w:styleId="FootnoteTextChar">
    <w:name w:val="Footnote Text Char"/>
    <w:basedOn w:val="DefaultParagraphFont"/>
    <w:link w:val="FootnoteText"/>
    <w:uiPriority w:val="99"/>
    <w:semiHidden/>
    <w:rsid w:val="007B4B72"/>
    <w:rPr>
      <w:rFonts w:eastAsia="Times New Roman" w:cs="Times New Roman"/>
      <w:sz w:val="20"/>
      <w:szCs w:val="20"/>
      <w:lang w:eastAsia="en-US"/>
    </w:rPr>
  </w:style>
  <w:style w:type="character" w:styleId="FootnoteReference">
    <w:name w:val="footnote reference"/>
    <w:basedOn w:val="DefaultParagraphFont"/>
    <w:uiPriority w:val="99"/>
    <w:semiHidden/>
    <w:unhideWhenUsed/>
    <w:rsid w:val="007B4B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1073">
      <w:bodyDiv w:val="1"/>
      <w:marLeft w:val="0"/>
      <w:marRight w:val="0"/>
      <w:marTop w:val="0"/>
      <w:marBottom w:val="0"/>
      <w:divBdr>
        <w:top w:val="none" w:sz="0" w:space="0" w:color="auto"/>
        <w:left w:val="none" w:sz="0" w:space="0" w:color="auto"/>
        <w:bottom w:val="none" w:sz="0" w:space="0" w:color="auto"/>
        <w:right w:val="none" w:sz="0" w:space="0" w:color="auto"/>
      </w:divBdr>
    </w:div>
    <w:div w:id="276835255">
      <w:bodyDiv w:val="1"/>
      <w:marLeft w:val="0"/>
      <w:marRight w:val="0"/>
      <w:marTop w:val="0"/>
      <w:marBottom w:val="0"/>
      <w:divBdr>
        <w:top w:val="none" w:sz="0" w:space="0" w:color="auto"/>
        <w:left w:val="none" w:sz="0" w:space="0" w:color="auto"/>
        <w:bottom w:val="none" w:sz="0" w:space="0" w:color="auto"/>
        <w:right w:val="none" w:sz="0" w:space="0" w:color="auto"/>
      </w:divBdr>
    </w:div>
    <w:div w:id="416559454">
      <w:bodyDiv w:val="1"/>
      <w:marLeft w:val="0"/>
      <w:marRight w:val="0"/>
      <w:marTop w:val="0"/>
      <w:marBottom w:val="0"/>
      <w:divBdr>
        <w:top w:val="none" w:sz="0" w:space="0" w:color="auto"/>
        <w:left w:val="none" w:sz="0" w:space="0" w:color="auto"/>
        <w:bottom w:val="none" w:sz="0" w:space="0" w:color="auto"/>
        <w:right w:val="none" w:sz="0" w:space="0" w:color="auto"/>
      </w:divBdr>
    </w:div>
    <w:div w:id="839202876">
      <w:bodyDiv w:val="1"/>
      <w:marLeft w:val="0"/>
      <w:marRight w:val="0"/>
      <w:marTop w:val="0"/>
      <w:marBottom w:val="0"/>
      <w:divBdr>
        <w:top w:val="none" w:sz="0" w:space="0" w:color="auto"/>
        <w:left w:val="none" w:sz="0" w:space="0" w:color="auto"/>
        <w:bottom w:val="none" w:sz="0" w:space="0" w:color="auto"/>
        <w:right w:val="none" w:sz="0" w:space="0" w:color="auto"/>
      </w:divBdr>
    </w:div>
    <w:div w:id="1008950146">
      <w:bodyDiv w:val="1"/>
      <w:marLeft w:val="0"/>
      <w:marRight w:val="0"/>
      <w:marTop w:val="0"/>
      <w:marBottom w:val="0"/>
      <w:divBdr>
        <w:top w:val="none" w:sz="0" w:space="0" w:color="auto"/>
        <w:left w:val="none" w:sz="0" w:space="0" w:color="auto"/>
        <w:bottom w:val="none" w:sz="0" w:space="0" w:color="auto"/>
        <w:right w:val="none" w:sz="0" w:space="0" w:color="auto"/>
      </w:divBdr>
    </w:div>
    <w:div w:id="1085565842">
      <w:bodyDiv w:val="1"/>
      <w:marLeft w:val="0"/>
      <w:marRight w:val="0"/>
      <w:marTop w:val="0"/>
      <w:marBottom w:val="0"/>
      <w:divBdr>
        <w:top w:val="none" w:sz="0" w:space="0" w:color="auto"/>
        <w:left w:val="none" w:sz="0" w:space="0" w:color="auto"/>
        <w:bottom w:val="none" w:sz="0" w:space="0" w:color="auto"/>
        <w:right w:val="none" w:sz="0" w:space="0" w:color="auto"/>
      </w:divBdr>
    </w:div>
    <w:div w:id="1362318695">
      <w:bodyDiv w:val="1"/>
      <w:marLeft w:val="0"/>
      <w:marRight w:val="0"/>
      <w:marTop w:val="0"/>
      <w:marBottom w:val="0"/>
      <w:divBdr>
        <w:top w:val="none" w:sz="0" w:space="0" w:color="auto"/>
        <w:left w:val="none" w:sz="0" w:space="0" w:color="auto"/>
        <w:bottom w:val="none" w:sz="0" w:space="0" w:color="auto"/>
        <w:right w:val="none" w:sz="0" w:space="0" w:color="auto"/>
      </w:divBdr>
    </w:div>
    <w:div w:id="1411542351">
      <w:bodyDiv w:val="1"/>
      <w:marLeft w:val="0"/>
      <w:marRight w:val="0"/>
      <w:marTop w:val="0"/>
      <w:marBottom w:val="0"/>
      <w:divBdr>
        <w:top w:val="none" w:sz="0" w:space="0" w:color="auto"/>
        <w:left w:val="none" w:sz="0" w:space="0" w:color="auto"/>
        <w:bottom w:val="none" w:sz="0" w:space="0" w:color="auto"/>
        <w:right w:val="none" w:sz="0" w:space="0" w:color="auto"/>
      </w:divBdr>
    </w:div>
    <w:div w:id="1879664773">
      <w:bodyDiv w:val="1"/>
      <w:marLeft w:val="0"/>
      <w:marRight w:val="0"/>
      <w:marTop w:val="0"/>
      <w:marBottom w:val="0"/>
      <w:divBdr>
        <w:top w:val="none" w:sz="0" w:space="0" w:color="auto"/>
        <w:left w:val="none" w:sz="0" w:space="0" w:color="auto"/>
        <w:bottom w:val="none" w:sz="0" w:space="0" w:color="auto"/>
        <w:right w:val="none" w:sz="0" w:space="0" w:color="auto"/>
      </w:divBdr>
    </w:div>
    <w:div w:id="199039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A23C9-1C40-42DE-8339-E55AB2661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CB4CE-53FB-411A-ADA7-DC2E5F7147E1}">
  <ds:schemaRefs>
    <ds:schemaRef ds:uri="http://schemas.openxmlformats.org/officeDocument/2006/bibliography"/>
  </ds:schemaRefs>
</ds:datastoreItem>
</file>

<file path=customXml/itemProps3.xml><?xml version="1.0" encoding="utf-8"?>
<ds:datastoreItem xmlns:ds="http://schemas.openxmlformats.org/officeDocument/2006/customXml" ds:itemID="{4D653A29-1662-448E-9253-79C5AD265087}">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7A251CCD-9BF6-4B93-AE4B-D8403610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Sachs</dc:creator>
  <cp:keywords/>
  <dc:description/>
  <cp:lastModifiedBy>Allison Hawkins</cp:lastModifiedBy>
  <cp:revision>3</cp:revision>
  <dcterms:created xsi:type="dcterms:W3CDTF">2020-10-21T19:34:00Z</dcterms:created>
  <dcterms:modified xsi:type="dcterms:W3CDTF">2024-01-18T18:00:00Z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