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BD91" w14:textId="3A79AEAF" w:rsidR="00BD395E" w:rsidRPr="00BD395E" w:rsidRDefault="00F219A5" w:rsidP="00BD395E">
      <w:pPr>
        <w:pStyle w:val="Title1sl"/>
        <w:pBdr>
          <w:bottom w:val="single" w:sz="12" w:space="1" w:color="auto"/>
        </w:pBdr>
        <w:spacing w:after="360"/>
        <w:rPr>
          <w:sz w:val="40"/>
          <w:szCs w:val="40"/>
        </w:rPr>
      </w:pPr>
      <w:r w:rsidRPr="00F219A5">
        <w:rPr>
          <w:i/>
          <w:iCs/>
          <w:sz w:val="40"/>
          <w:szCs w:val="40"/>
        </w:rPr>
        <w:t xml:space="preserve">Regents of </w:t>
      </w:r>
      <w:r w:rsidR="002E5E7F">
        <w:rPr>
          <w:i/>
          <w:iCs/>
          <w:sz w:val="40"/>
          <w:szCs w:val="40"/>
        </w:rPr>
        <w:t>UC</w:t>
      </w:r>
      <w:r w:rsidRPr="00F219A5">
        <w:rPr>
          <w:i/>
          <w:iCs/>
          <w:sz w:val="40"/>
          <w:szCs w:val="40"/>
        </w:rPr>
        <w:t xml:space="preserve"> v. Bakke </w:t>
      </w:r>
      <w:r w:rsidR="00F64E56" w:rsidRPr="0044156B">
        <w:rPr>
          <w:sz w:val="40"/>
          <w:szCs w:val="40"/>
        </w:rPr>
        <w:t>/</w:t>
      </w:r>
      <w:r>
        <w:rPr>
          <w:sz w:val="40"/>
          <w:szCs w:val="40"/>
        </w:rPr>
        <w:t xml:space="preserve"> </w:t>
      </w:r>
      <w:r w:rsidR="00BD395E">
        <w:rPr>
          <w:sz w:val="40"/>
          <w:szCs w:val="40"/>
        </w:rPr>
        <w:t>The Michigan Affirmative Action Cases</w:t>
      </w:r>
    </w:p>
    <w:p w14:paraId="6B2613E4" w14:textId="5C01E252" w:rsidR="00ED4B89" w:rsidRPr="0077018C" w:rsidRDefault="000D1EC3" w:rsidP="00D95D1F">
      <w:pPr>
        <w:pStyle w:val="Subhead3sl"/>
      </w:pPr>
      <w:r w:rsidRPr="000D1EC3">
        <w:t>Directions</w:t>
      </w:r>
      <w:r w:rsidR="00D95D1F">
        <w:t>:</w:t>
      </w:r>
      <w:r w:rsidRPr="000D1EC3">
        <w:t> </w:t>
      </w:r>
    </w:p>
    <w:p w14:paraId="2ED5F901" w14:textId="7A03DCC2" w:rsidR="00ED4B89" w:rsidRPr="00D95D1F" w:rsidRDefault="00ED4B89" w:rsidP="00D95D1F">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sidRPr="00D95D1F">
        <w:rPr>
          <w:rFonts w:ascii="Garamond" w:hAnsi="Garamond" w:cs="Open Sans"/>
          <w:color w:val="000000"/>
          <w:sz w:val="25"/>
          <w:szCs w:val="25"/>
        </w:rPr>
        <w:t xml:space="preserve">Read the </w:t>
      </w:r>
      <w:r w:rsidRPr="00302608">
        <w:rPr>
          <w:rFonts w:ascii="Garamond" w:hAnsi="Garamond" w:cs="Open Sans"/>
          <w:b/>
          <w:bCs/>
          <w:color w:val="000000"/>
          <w:sz w:val="25"/>
          <w:szCs w:val="25"/>
        </w:rPr>
        <w:t>synops</w:t>
      </w:r>
      <w:r w:rsidR="00D95D1F" w:rsidRPr="00302608">
        <w:rPr>
          <w:rFonts w:ascii="Garamond" w:hAnsi="Garamond" w:cs="Open Sans"/>
          <w:b/>
          <w:bCs/>
          <w:color w:val="000000"/>
          <w:sz w:val="25"/>
          <w:szCs w:val="25"/>
        </w:rPr>
        <w:t>e</w:t>
      </w:r>
      <w:r w:rsidRPr="00302608">
        <w:rPr>
          <w:rFonts w:ascii="Garamond" w:hAnsi="Garamond" w:cs="Open Sans"/>
          <w:b/>
          <w:bCs/>
          <w:color w:val="000000"/>
          <w:sz w:val="25"/>
          <w:szCs w:val="25"/>
        </w:rPr>
        <w:t>s</w:t>
      </w:r>
      <w:r w:rsidRPr="00D95D1F">
        <w:rPr>
          <w:rFonts w:ascii="Garamond" w:hAnsi="Garamond" w:cs="Open Sans"/>
          <w:color w:val="000000"/>
          <w:sz w:val="25"/>
          <w:szCs w:val="25"/>
        </w:rPr>
        <w:t xml:space="preserve"> of </w:t>
      </w:r>
      <w:r w:rsidRPr="00D95D1F">
        <w:rPr>
          <w:rStyle w:val="Emphasis"/>
          <w:rFonts w:ascii="Garamond" w:hAnsi="Garamond" w:cs="Open Sans"/>
          <w:color w:val="000000"/>
          <w:sz w:val="25"/>
          <w:szCs w:val="25"/>
        </w:rPr>
        <w:t>Gratz v. Bollinger</w:t>
      </w:r>
      <w:r w:rsidRPr="00D95D1F">
        <w:rPr>
          <w:rFonts w:ascii="Garamond" w:hAnsi="Garamond" w:cs="Open Sans"/>
          <w:color w:val="000000"/>
          <w:sz w:val="25"/>
          <w:szCs w:val="25"/>
        </w:rPr>
        <w:t> and </w:t>
      </w:r>
      <w:r w:rsidRPr="00D95D1F">
        <w:rPr>
          <w:rStyle w:val="Emphasis"/>
          <w:rFonts w:ascii="Garamond" w:hAnsi="Garamond" w:cs="Open Sans"/>
          <w:color w:val="000000"/>
          <w:sz w:val="25"/>
          <w:szCs w:val="25"/>
        </w:rPr>
        <w:t>Grutter v. Bollinger</w:t>
      </w:r>
      <w:r w:rsidR="00D95D1F" w:rsidRPr="00D95D1F">
        <w:rPr>
          <w:rStyle w:val="Emphasis"/>
          <w:rFonts w:ascii="Garamond" w:hAnsi="Garamond" w:cs="Open Sans"/>
          <w:color w:val="000000"/>
          <w:sz w:val="25"/>
          <w:szCs w:val="25"/>
        </w:rPr>
        <w:t xml:space="preserve"> </w:t>
      </w:r>
      <w:r w:rsidR="00D95D1F" w:rsidRPr="00D95D1F">
        <w:rPr>
          <w:rStyle w:val="Emphasis"/>
          <w:rFonts w:ascii="Garamond" w:hAnsi="Garamond" w:cs="Open Sans"/>
          <w:i w:val="0"/>
          <w:iCs w:val="0"/>
          <w:color w:val="000000"/>
          <w:sz w:val="25"/>
          <w:szCs w:val="25"/>
        </w:rPr>
        <w:t>below</w:t>
      </w:r>
      <w:r w:rsidRPr="00D95D1F">
        <w:rPr>
          <w:rFonts w:ascii="Garamond" w:hAnsi="Garamond" w:cs="Open Sans"/>
          <w:color w:val="000000"/>
          <w:sz w:val="25"/>
          <w:szCs w:val="25"/>
        </w:rPr>
        <w:t>.</w:t>
      </w:r>
    </w:p>
    <w:p w14:paraId="61BE79D9" w14:textId="76FEDDB5" w:rsidR="00ED4B89" w:rsidRPr="00D95D1F" w:rsidRDefault="00ED4B89" w:rsidP="00D95D1F">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sidRPr="00D95D1F">
        <w:rPr>
          <w:rFonts w:ascii="Garamond" w:hAnsi="Garamond" w:cs="Open Sans"/>
          <w:color w:val="000000"/>
          <w:sz w:val="25"/>
          <w:szCs w:val="25"/>
        </w:rPr>
        <w:t>Complete the first part of th</w:t>
      </w:r>
      <w:r w:rsidR="00D95D1F" w:rsidRPr="00D95D1F">
        <w:rPr>
          <w:rFonts w:ascii="Garamond" w:hAnsi="Garamond" w:cs="Open Sans"/>
          <w:color w:val="000000"/>
          <w:sz w:val="25"/>
          <w:szCs w:val="25"/>
        </w:rPr>
        <w:t>e</w:t>
      </w:r>
      <w:r w:rsidRPr="00D95D1F">
        <w:rPr>
          <w:rFonts w:ascii="Garamond" w:hAnsi="Garamond" w:cs="Open Sans"/>
          <w:color w:val="000000"/>
          <w:sz w:val="25"/>
          <w:szCs w:val="25"/>
        </w:rPr>
        <w:t> </w:t>
      </w:r>
      <w:r w:rsidRPr="00302608">
        <w:rPr>
          <w:rFonts w:ascii="Garamond" w:hAnsi="Garamond" w:cs="Open Sans"/>
          <w:b/>
          <w:bCs/>
          <w:color w:val="000000"/>
          <w:sz w:val="25"/>
          <w:szCs w:val="25"/>
        </w:rPr>
        <w:t>graphic organizer</w:t>
      </w:r>
      <w:r w:rsidR="00D95D1F" w:rsidRPr="00D95D1F">
        <w:rPr>
          <w:rFonts w:ascii="Garamond" w:hAnsi="Garamond" w:cs="Open Sans"/>
          <w:color w:val="000000"/>
          <w:sz w:val="25"/>
          <w:szCs w:val="25"/>
        </w:rPr>
        <w:t xml:space="preserve"> (page </w:t>
      </w:r>
      <w:r w:rsidR="00302608">
        <w:rPr>
          <w:rFonts w:ascii="Garamond" w:hAnsi="Garamond" w:cs="Open Sans"/>
          <w:color w:val="000000"/>
          <w:sz w:val="25"/>
          <w:szCs w:val="25"/>
        </w:rPr>
        <w:t>3</w:t>
      </w:r>
      <w:r w:rsidR="00D95D1F" w:rsidRPr="00D95D1F">
        <w:rPr>
          <w:rFonts w:ascii="Garamond" w:hAnsi="Garamond" w:cs="Open Sans"/>
          <w:color w:val="000000"/>
          <w:sz w:val="25"/>
          <w:szCs w:val="25"/>
        </w:rPr>
        <w:t>)</w:t>
      </w:r>
      <w:r w:rsidRPr="00D95D1F">
        <w:rPr>
          <w:rFonts w:ascii="Garamond" w:hAnsi="Garamond" w:cs="Open Sans"/>
          <w:color w:val="000000"/>
          <w:sz w:val="25"/>
          <w:szCs w:val="25"/>
        </w:rPr>
        <w:t>.</w:t>
      </w:r>
    </w:p>
    <w:p w14:paraId="6355558B" w14:textId="64B51294" w:rsidR="00ED4B89" w:rsidRPr="00D95D1F" w:rsidRDefault="00ED4B89" w:rsidP="00D95D1F">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sidRPr="00D95D1F">
        <w:rPr>
          <w:rFonts w:ascii="Garamond" w:hAnsi="Garamond" w:cs="Open Sans"/>
          <w:color w:val="000000"/>
          <w:sz w:val="25"/>
          <w:szCs w:val="25"/>
        </w:rPr>
        <w:t xml:space="preserve">With your class, review the </w:t>
      </w:r>
      <w:r w:rsidRPr="00302608">
        <w:rPr>
          <w:rFonts w:ascii="Garamond" w:hAnsi="Garamond" w:cs="Open Sans"/>
          <w:b/>
          <w:bCs/>
          <w:color w:val="000000"/>
          <w:sz w:val="25"/>
          <w:szCs w:val="25"/>
        </w:rPr>
        <w:t>decision</w:t>
      </w:r>
      <w:r w:rsidRPr="00D95D1F">
        <w:rPr>
          <w:rFonts w:ascii="Garamond" w:hAnsi="Garamond" w:cs="Open Sans"/>
          <w:color w:val="000000"/>
          <w:sz w:val="25"/>
          <w:szCs w:val="25"/>
        </w:rPr>
        <w:t xml:space="preserve"> in </w:t>
      </w:r>
      <w:r w:rsidRPr="00D95D1F">
        <w:rPr>
          <w:rStyle w:val="Emphasis"/>
          <w:rFonts w:ascii="Garamond" w:hAnsi="Garamond" w:cs="Open Sans"/>
          <w:color w:val="000000"/>
          <w:sz w:val="25"/>
          <w:szCs w:val="25"/>
        </w:rPr>
        <w:t>Regents of the University of California v. Bakke</w:t>
      </w:r>
      <w:r w:rsidR="00D95D1F" w:rsidRPr="00D95D1F">
        <w:rPr>
          <w:rFonts w:ascii="Garamond" w:hAnsi="Garamond" w:cs="Open Sans"/>
          <w:color w:val="000000"/>
          <w:sz w:val="25"/>
          <w:szCs w:val="25"/>
        </w:rPr>
        <w:t xml:space="preserve"> (page </w:t>
      </w:r>
      <w:r w:rsidR="00302608">
        <w:rPr>
          <w:rFonts w:ascii="Garamond" w:hAnsi="Garamond" w:cs="Open Sans"/>
          <w:color w:val="000000"/>
          <w:sz w:val="25"/>
          <w:szCs w:val="25"/>
        </w:rPr>
        <w:t>4</w:t>
      </w:r>
      <w:r w:rsidR="00D95D1F" w:rsidRPr="00D95D1F">
        <w:rPr>
          <w:rFonts w:ascii="Garamond" w:hAnsi="Garamond" w:cs="Open Sans"/>
          <w:color w:val="000000"/>
          <w:sz w:val="25"/>
          <w:szCs w:val="25"/>
        </w:rPr>
        <w:t>).</w:t>
      </w:r>
      <w:r w:rsidRPr="00D95D1F">
        <w:rPr>
          <w:rFonts w:ascii="Garamond" w:hAnsi="Garamond" w:cs="Open Sans"/>
          <w:color w:val="000000"/>
          <w:sz w:val="25"/>
          <w:szCs w:val="25"/>
        </w:rPr>
        <w:t xml:space="preserve"> Based on that information, make a prediction about the Court</w:t>
      </w:r>
      <w:r w:rsidR="00D95D1F" w:rsidRPr="00D95D1F">
        <w:rPr>
          <w:rFonts w:ascii="Garamond" w:hAnsi="Garamond" w:cs="Open Sans"/>
          <w:color w:val="000000"/>
          <w:sz w:val="25"/>
          <w:szCs w:val="25"/>
        </w:rPr>
        <w:t>’</w:t>
      </w:r>
      <w:r w:rsidRPr="00D95D1F">
        <w:rPr>
          <w:rFonts w:ascii="Garamond" w:hAnsi="Garamond" w:cs="Open Sans"/>
          <w:color w:val="000000"/>
          <w:sz w:val="25"/>
          <w:szCs w:val="25"/>
        </w:rPr>
        <w:t>s decision in </w:t>
      </w:r>
      <w:r w:rsidRPr="00D95D1F">
        <w:rPr>
          <w:rStyle w:val="Emphasis"/>
          <w:rFonts w:ascii="Garamond" w:hAnsi="Garamond" w:cs="Open Sans"/>
          <w:color w:val="000000"/>
          <w:sz w:val="25"/>
          <w:szCs w:val="25"/>
        </w:rPr>
        <w:t>Gratz</w:t>
      </w:r>
      <w:r w:rsidRPr="00D95D1F">
        <w:rPr>
          <w:rFonts w:ascii="Garamond" w:hAnsi="Garamond" w:cs="Open Sans"/>
          <w:color w:val="000000"/>
          <w:sz w:val="25"/>
          <w:szCs w:val="25"/>
        </w:rPr>
        <w:t> and </w:t>
      </w:r>
      <w:r w:rsidRPr="00D95D1F">
        <w:rPr>
          <w:rStyle w:val="Emphasis"/>
          <w:rFonts w:ascii="Garamond" w:hAnsi="Garamond" w:cs="Open Sans"/>
          <w:color w:val="000000"/>
          <w:sz w:val="25"/>
          <w:szCs w:val="25"/>
        </w:rPr>
        <w:t>Grutter</w:t>
      </w:r>
      <w:r w:rsidRPr="00D95D1F">
        <w:rPr>
          <w:rFonts w:ascii="Garamond" w:hAnsi="Garamond" w:cs="Open Sans"/>
          <w:color w:val="000000"/>
          <w:sz w:val="25"/>
          <w:szCs w:val="25"/>
        </w:rPr>
        <w:t>. How did you arrive at that prediction? Share your prediction and your rationale with a partner.</w:t>
      </w:r>
    </w:p>
    <w:p w14:paraId="6F9FE938" w14:textId="5CB0C0AC" w:rsidR="00D95D1F" w:rsidRPr="00D95D1F" w:rsidRDefault="00D95D1F" w:rsidP="00D95D1F">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sidRPr="00D95D1F">
        <w:rPr>
          <w:rFonts w:ascii="Garamond" w:hAnsi="Garamond" w:cs="Open Sans"/>
          <w:color w:val="000000"/>
          <w:sz w:val="25"/>
          <w:szCs w:val="25"/>
        </w:rPr>
        <w:t xml:space="preserve">Your teacher will give you a handout on the outcome of the cases called </w:t>
      </w:r>
      <w:r w:rsidRPr="00302608">
        <w:rPr>
          <w:rFonts w:ascii="Garamond" w:hAnsi="Garamond" w:cs="Open Sans"/>
          <w:b/>
          <w:bCs/>
          <w:color w:val="000000"/>
          <w:sz w:val="25"/>
          <w:szCs w:val="25"/>
        </w:rPr>
        <w:t>“</w:t>
      </w:r>
      <w:r w:rsidR="00ED4B89" w:rsidRPr="00302608">
        <w:rPr>
          <w:rFonts w:ascii="Garamond" w:hAnsi="Garamond" w:cs="Open Sans"/>
          <w:b/>
          <w:bCs/>
          <w:color w:val="000000"/>
          <w:sz w:val="25"/>
          <w:szCs w:val="25"/>
        </w:rPr>
        <w:t>The Two Cases Decided</w:t>
      </w:r>
      <w:r w:rsidRPr="00302608">
        <w:rPr>
          <w:rFonts w:ascii="Garamond" w:hAnsi="Garamond" w:cs="Open Sans"/>
          <w:b/>
          <w:bCs/>
          <w:color w:val="000000"/>
          <w:sz w:val="25"/>
          <w:szCs w:val="25"/>
        </w:rPr>
        <w:t>.”</w:t>
      </w:r>
      <w:r w:rsidR="00ED4B89" w:rsidRPr="00302608">
        <w:rPr>
          <w:rFonts w:ascii="Garamond" w:hAnsi="Garamond" w:cs="Open Sans"/>
          <w:b/>
          <w:bCs/>
          <w:color w:val="000000"/>
          <w:sz w:val="25"/>
          <w:szCs w:val="25"/>
        </w:rPr>
        <w:t xml:space="preserve"> </w:t>
      </w:r>
      <w:r w:rsidRPr="00D95D1F">
        <w:rPr>
          <w:rFonts w:ascii="Garamond" w:hAnsi="Garamond" w:cs="Open Sans"/>
          <w:color w:val="000000"/>
          <w:sz w:val="25"/>
          <w:szCs w:val="25"/>
        </w:rPr>
        <w:t xml:space="preserve">Read it and </w:t>
      </w:r>
      <w:r w:rsidR="00ED4B89" w:rsidRPr="00D95D1F">
        <w:rPr>
          <w:rFonts w:ascii="Garamond" w:hAnsi="Garamond" w:cs="Open Sans"/>
          <w:color w:val="000000"/>
          <w:sz w:val="25"/>
          <w:szCs w:val="25"/>
        </w:rPr>
        <w:t>record that information on the </w:t>
      </w:r>
      <w:r w:rsidR="00ED4B89" w:rsidRPr="00302608">
        <w:rPr>
          <w:rFonts w:ascii="Garamond" w:hAnsi="Garamond" w:cs="Open Sans"/>
          <w:b/>
          <w:bCs/>
          <w:color w:val="000000"/>
          <w:sz w:val="25"/>
          <w:szCs w:val="25"/>
        </w:rPr>
        <w:t>graphic organizer</w:t>
      </w:r>
      <w:r w:rsidR="00302608">
        <w:rPr>
          <w:rFonts w:ascii="Garamond" w:hAnsi="Garamond" w:cs="Open Sans"/>
          <w:color w:val="000000"/>
          <w:sz w:val="25"/>
          <w:szCs w:val="25"/>
        </w:rPr>
        <w:t xml:space="preserve"> (page 3)</w:t>
      </w:r>
      <w:r w:rsidR="00ED4B89" w:rsidRPr="00D95D1F">
        <w:rPr>
          <w:rFonts w:ascii="Garamond" w:hAnsi="Garamond" w:cs="Open Sans"/>
          <w:color w:val="000000"/>
          <w:sz w:val="25"/>
          <w:szCs w:val="25"/>
        </w:rPr>
        <w:t>.</w:t>
      </w:r>
    </w:p>
    <w:p w14:paraId="64C301A4" w14:textId="77777777" w:rsidR="00D95D1F" w:rsidRDefault="00D95D1F" w:rsidP="00D95D1F">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2B3A1E0F">
          <v:rect id="_x0000_i1028" style="width:0;height:1.5pt" o:hralign="center" o:hrstd="t" o:hr="t" fillcolor="#a0a0a0" stroked="f"/>
        </w:pict>
      </w:r>
    </w:p>
    <w:p w14:paraId="496E1307" w14:textId="016CDCCA" w:rsidR="00ED4B89" w:rsidRPr="0077018C" w:rsidRDefault="00ED4B89" w:rsidP="00D95D1F">
      <w:pPr>
        <w:pStyle w:val="Subhead1sl"/>
      </w:pPr>
      <w:r w:rsidRPr="0077018C">
        <w:t>Synopses</w:t>
      </w:r>
    </w:p>
    <w:p w14:paraId="1EDCDA59" w14:textId="77777777" w:rsidR="00ED4B89" w:rsidRPr="00D95D1F" w:rsidRDefault="00ED4B89" w:rsidP="00D95D1F">
      <w:pPr>
        <w:pStyle w:val="Subhead2sl"/>
      </w:pPr>
      <w:r w:rsidRPr="00D95D1F">
        <w:rPr>
          <w:rStyle w:val="Emphasis"/>
          <w:i/>
          <w:iCs w:val="0"/>
        </w:rPr>
        <w:t>Gratz v. Bollinger</w:t>
      </w:r>
    </w:p>
    <w:p w14:paraId="19B143E7" w14:textId="7AAF9351" w:rsidR="00ED4B89" w:rsidRPr="00ED4B89" w:rsidRDefault="00ED4B89" w:rsidP="00D95D1F">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Jennifer Gratz, a </w:t>
      </w:r>
      <w:r w:rsidR="00557D50">
        <w:rPr>
          <w:rFonts w:ascii="Garamond" w:hAnsi="Garamond" w:cs="Open Sans"/>
          <w:color w:val="000000"/>
          <w:sz w:val="25"/>
          <w:szCs w:val="25"/>
        </w:rPr>
        <w:t>W</w:t>
      </w:r>
      <w:r w:rsidRPr="00ED4B89">
        <w:rPr>
          <w:rFonts w:ascii="Garamond" w:hAnsi="Garamond" w:cs="Open Sans"/>
          <w:color w:val="000000"/>
          <w:sz w:val="25"/>
          <w:szCs w:val="25"/>
        </w:rPr>
        <w:t xml:space="preserve">hite </w:t>
      </w:r>
      <w:proofErr w:type="gramStart"/>
      <w:r w:rsidR="00D95D1F">
        <w:rPr>
          <w:rFonts w:ascii="Garamond" w:hAnsi="Garamond" w:cs="Open Sans"/>
          <w:color w:val="000000"/>
          <w:sz w:val="25"/>
          <w:szCs w:val="25"/>
        </w:rPr>
        <w:t>student</w:t>
      </w:r>
      <w:proofErr w:type="gramEnd"/>
      <w:r w:rsidR="00D95D1F">
        <w:rPr>
          <w:rFonts w:ascii="Garamond" w:hAnsi="Garamond" w:cs="Open Sans"/>
          <w:color w:val="000000"/>
          <w:sz w:val="25"/>
          <w:szCs w:val="25"/>
        </w:rPr>
        <w:t xml:space="preserve"> and a </w:t>
      </w:r>
      <w:r w:rsidRPr="00ED4B89">
        <w:rPr>
          <w:rFonts w:ascii="Garamond" w:hAnsi="Garamond" w:cs="Open Sans"/>
          <w:color w:val="000000"/>
          <w:sz w:val="25"/>
          <w:szCs w:val="25"/>
        </w:rPr>
        <w:t>resident of Michigan, applied to the University of Michigan as a high school senior in 1995. Her standardized test score on the ACT</w:t>
      </w:r>
      <w:r w:rsidR="00557D50">
        <w:rPr>
          <w:rFonts w:ascii="Garamond" w:hAnsi="Garamond" w:cs="Open Sans"/>
          <w:color w:val="000000"/>
          <w:sz w:val="25"/>
          <w:szCs w:val="25"/>
        </w:rPr>
        <w:t xml:space="preserve"> (25)</w:t>
      </w:r>
      <w:r w:rsidRPr="00ED4B89">
        <w:rPr>
          <w:rFonts w:ascii="Garamond" w:hAnsi="Garamond" w:cs="Open Sans"/>
          <w:color w:val="000000"/>
          <w:sz w:val="25"/>
          <w:szCs w:val="25"/>
        </w:rPr>
        <w:t xml:space="preserve"> placed her in the top quarter of applicants, and she had a GPA of 3.8. In addition, Gratz participated in student council and various other extra-curricular activities. Nevertheless, the university denied Gratz admission. The University of Michigan’s admissions guidelines in effect in 1995 called for the acceptance of all underrepresented </w:t>
      </w:r>
      <w:r w:rsidR="002768EB">
        <w:rPr>
          <w:rFonts w:ascii="Garamond" w:hAnsi="Garamond" w:cs="Open Sans"/>
          <w:color w:val="000000"/>
          <w:sz w:val="25"/>
          <w:szCs w:val="25"/>
        </w:rPr>
        <w:t>“</w:t>
      </w:r>
      <w:r w:rsidRPr="00ED4B89">
        <w:rPr>
          <w:rFonts w:ascii="Garamond" w:hAnsi="Garamond" w:cs="Open Sans"/>
          <w:color w:val="000000"/>
          <w:sz w:val="25"/>
          <w:szCs w:val="25"/>
        </w:rPr>
        <w:t>minority</w:t>
      </w:r>
      <w:r w:rsidR="002768EB">
        <w:rPr>
          <w:rFonts w:ascii="Garamond" w:hAnsi="Garamond" w:cs="Open Sans"/>
          <w:color w:val="000000"/>
          <w:sz w:val="25"/>
          <w:szCs w:val="25"/>
        </w:rPr>
        <w:t>”</w:t>
      </w:r>
      <w:r w:rsidRPr="00ED4B89">
        <w:rPr>
          <w:rFonts w:ascii="Garamond" w:hAnsi="Garamond" w:cs="Open Sans"/>
          <w:color w:val="000000"/>
          <w:sz w:val="25"/>
          <w:szCs w:val="25"/>
        </w:rPr>
        <w:t xml:space="preserve"> applicants with academic credentials similar to Gratz’s. Both parties agree that Gratz would have been admitted to the university had she been a </w:t>
      </w:r>
      <w:r w:rsidR="0070193B">
        <w:rPr>
          <w:rFonts w:ascii="Garamond" w:hAnsi="Garamond" w:cs="Open Sans"/>
          <w:color w:val="000000"/>
          <w:sz w:val="25"/>
          <w:szCs w:val="25"/>
        </w:rPr>
        <w:t xml:space="preserve">member of an underrepresented group, like a racial or ethnic </w:t>
      </w:r>
      <w:r w:rsidRPr="00ED4B89">
        <w:rPr>
          <w:rFonts w:ascii="Garamond" w:hAnsi="Garamond" w:cs="Open Sans"/>
          <w:color w:val="000000"/>
          <w:sz w:val="25"/>
          <w:szCs w:val="25"/>
        </w:rPr>
        <w:t>minority.</w:t>
      </w:r>
    </w:p>
    <w:p w14:paraId="4086B7E7" w14:textId="38D1C80F" w:rsidR="00ED4B89" w:rsidRPr="00ED4B89" w:rsidRDefault="00ED4B89" w:rsidP="00D95D1F">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From 1995 through 1997</w:t>
      </w:r>
      <w:r w:rsidR="002768EB">
        <w:rPr>
          <w:rFonts w:ascii="Garamond" w:hAnsi="Garamond" w:cs="Open Sans"/>
          <w:color w:val="000000"/>
          <w:sz w:val="25"/>
          <w:szCs w:val="25"/>
        </w:rPr>
        <w:t>,</w:t>
      </w:r>
      <w:r w:rsidRPr="00ED4B89">
        <w:rPr>
          <w:rFonts w:ascii="Garamond" w:hAnsi="Garamond" w:cs="Open Sans"/>
          <w:color w:val="000000"/>
          <w:sz w:val="25"/>
          <w:szCs w:val="25"/>
        </w:rPr>
        <w:t xml:space="preserve"> the university admissions officers used guideline tables or grids that reflected a combination of </w:t>
      </w:r>
      <w:r w:rsidR="002768EB">
        <w:rPr>
          <w:rFonts w:ascii="Garamond" w:hAnsi="Garamond" w:cs="Open Sans"/>
          <w:color w:val="000000"/>
          <w:sz w:val="25"/>
          <w:szCs w:val="25"/>
        </w:rPr>
        <w:t xml:space="preserve">an </w:t>
      </w:r>
      <w:r w:rsidRPr="00ED4B89">
        <w:rPr>
          <w:rFonts w:ascii="Garamond" w:hAnsi="Garamond" w:cs="Open Sans"/>
          <w:color w:val="000000"/>
          <w:sz w:val="25"/>
          <w:szCs w:val="25"/>
        </w:rPr>
        <w:t xml:space="preserve">applicant’s adjusted high school GPA and ACT or SAT score. To promote diversity, the university utilized different grids and admissions criteria for applicants who were members of preferred </w:t>
      </w:r>
      <w:r w:rsidR="002768EB">
        <w:rPr>
          <w:rFonts w:ascii="Garamond" w:hAnsi="Garamond" w:cs="Open Sans"/>
          <w:color w:val="000000"/>
          <w:sz w:val="25"/>
          <w:szCs w:val="25"/>
        </w:rPr>
        <w:t>underrepresented</w:t>
      </w:r>
      <w:r w:rsidRPr="00ED4B89">
        <w:rPr>
          <w:rFonts w:ascii="Garamond" w:hAnsi="Garamond" w:cs="Open Sans"/>
          <w:color w:val="000000"/>
          <w:sz w:val="25"/>
          <w:szCs w:val="25"/>
        </w:rPr>
        <w:t xml:space="preserve"> groups as compared to other candidates. Michigan also set aside a prescribed number of seats in the entering class for </w:t>
      </w:r>
      <w:r w:rsidR="002768EB">
        <w:rPr>
          <w:rFonts w:ascii="Garamond" w:hAnsi="Garamond" w:cs="Open Sans"/>
          <w:color w:val="000000"/>
          <w:sz w:val="25"/>
          <w:szCs w:val="25"/>
        </w:rPr>
        <w:t>students from th</w:t>
      </w:r>
      <w:r w:rsidR="0070193B">
        <w:rPr>
          <w:rFonts w:ascii="Garamond" w:hAnsi="Garamond" w:cs="Open Sans"/>
          <w:color w:val="000000"/>
          <w:sz w:val="25"/>
          <w:szCs w:val="25"/>
        </w:rPr>
        <w:t>ose</w:t>
      </w:r>
      <w:r w:rsidR="002768EB">
        <w:rPr>
          <w:rFonts w:ascii="Garamond" w:hAnsi="Garamond" w:cs="Open Sans"/>
          <w:color w:val="000000"/>
          <w:sz w:val="25"/>
          <w:szCs w:val="25"/>
        </w:rPr>
        <w:t xml:space="preserve"> underrepresented groups </w:t>
      </w:r>
      <w:r w:rsidRPr="00ED4B89">
        <w:rPr>
          <w:rFonts w:ascii="Garamond" w:hAnsi="Garamond" w:cs="Open Sans"/>
          <w:color w:val="000000"/>
          <w:sz w:val="25"/>
          <w:szCs w:val="25"/>
        </w:rPr>
        <w:t>in order to meet its numerical target.</w:t>
      </w:r>
    </w:p>
    <w:p w14:paraId="0B4A0199" w14:textId="2736BC5C" w:rsidR="00ED4B89" w:rsidRPr="00ED4B89" w:rsidRDefault="00ED4B89" w:rsidP="00D95D1F">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In 1998, the university dropped its admissions grid system and replaced it with a 150-point “selection index.” Admissions officers assign</w:t>
      </w:r>
      <w:r w:rsidR="00557D50">
        <w:rPr>
          <w:rFonts w:ascii="Garamond" w:hAnsi="Garamond" w:cs="Open Sans"/>
          <w:color w:val="000000"/>
          <w:sz w:val="25"/>
          <w:szCs w:val="25"/>
        </w:rPr>
        <w:t>ed</w:t>
      </w:r>
      <w:r w:rsidRPr="00ED4B89">
        <w:rPr>
          <w:rFonts w:ascii="Garamond" w:hAnsi="Garamond" w:cs="Open Sans"/>
          <w:color w:val="000000"/>
          <w:sz w:val="25"/>
          <w:szCs w:val="25"/>
        </w:rPr>
        <w:t xml:space="preserve"> applicants points based on various factors, including test scores, “legacy” status, geographic origin, athletic ability, socioeconomic level, and </w:t>
      </w:r>
      <w:r w:rsidRPr="00ED4B89">
        <w:rPr>
          <w:rFonts w:ascii="Garamond" w:hAnsi="Garamond" w:cs="Open Sans"/>
          <w:color w:val="000000"/>
          <w:sz w:val="25"/>
          <w:szCs w:val="25"/>
        </w:rPr>
        <w:lastRenderedPageBreak/>
        <w:t>race/ethnicity. The more points an applicant accumulate</w:t>
      </w:r>
      <w:r w:rsidR="00557D50">
        <w:rPr>
          <w:rFonts w:ascii="Garamond" w:hAnsi="Garamond" w:cs="Open Sans"/>
          <w:color w:val="000000"/>
          <w:sz w:val="25"/>
          <w:szCs w:val="25"/>
        </w:rPr>
        <w:t>d</w:t>
      </w:r>
      <w:r w:rsidRPr="00ED4B89">
        <w:rPr>
          <w:rFonts w:ascii="Garamond" w:hAnsi="Garamond" w:cs="Open Sans"/>
          <w:color w:val="000000"/>
          <w:sz w:val="25"/>
          <w:szCs w:val="25"/>
        </w:rPr>
        <w:t xml:space="preserve">, the higher the chance of admission. Applicants from underrepresented racial and ethnic groups (African Americans, Latinos, and Native Americans) </w:t>
      </w:r>
      <w:r w:rsidR="0070193B">
        <w:rPr>
          <w:rFonts w:ascii="Garamond" w:hAnsi="Garamond" w:cs="Open Sans"/>
          <w:color w:val="000000"/>
          <w:sz w:val="25"/>
          <w:szCs w:val="25"/>
        </w:rPr>
        <w:t>we</w:t>
      </w:r>
      <w:r w:rsidRPr="00ED4B89">
        <w:rPr>
          <w:rFonts w:ascii="Garamond" w:hAnsi="Garamond" w:cs="Open Sans"/>
          <w:color w:val="000000"/>
          <w:sz w:val="25"/>
          <w:szCs w:val="25"/>
        </w:rPr>
        <w:t xml:space="preserve">re assigned 20 points. Scholarship athletes and students who </w:t>
      </w:r>
      <w:r w:rsidR="00557D50">
        <w:rPr>
          <w:rFonts w:ascii="Garamond" w:hAnsi="Garamond" w:cs="Open Sans"/>
          <w:color w:val="000000"/>
          <w:sz w:val="25"/>
          <w:szCs w:val="25"/>
        </w:rPr>
        <w:t>were</w:t>
      </w:r>
      <w:r w:rsidRPr="00ED4B89">
        <w:rPr>
          <w:rFonts w:ascii="Garamond" w:hAnsi="Garamond" w:cs="Open Sans"/>
          <w:color w:val="000000"/>
          <w:sz w:val="25"/>
          <w:szCs w:val="25"/>
        </w:rPr>
        <w:t xml:space="preserve"> </w:t>
      </w:r>
      <w:proofErr w:type="gramStart"/>
      <w:r w:rsidRPr="00ED4B89">
        <w:rPr>
          <w:rFonts w:ascii="Garamond" w:hAnsi="Garamond" w:cs="Open Sans"/>
          <w:color w:val="000000"/>
          <w:sz w:val="25"/>
          <w:szCs w:val="25"/>
        </w:rPr>
        <w:t>economically disadvantaged</w:t>
      </w:r>
      <w:proofErr w:type="gramEnd"/>
      <w:r w:rsidRPr="00ED4B89">
        <w:rPr>
          <w:rFonts w:ascii="Garamond" w:hAnsi="Garamond" w:cs="Open Sans"/>
          <w:color w:val="000000"/>
          <w:sz w:val="25"/>
          <w:szCs w:val="25"/>
        </w:rPr>
        <w:t xml:space="preserve"> also receive an automatic 20-point bonus. Geographic origin could earn </w:t>
      </w:r>
      <w:r w:rsidR="0070193B">
        <w:rPr>
          <w:rFonts w:ascii="Garamond" w:hAnsi="Garamond" w:cs="Open Sans"/>
          <w:color w:val="000000"/>
          <w:sz w:val="25"/>
          <w:szCs w:val="25"/>
        </w:rPr>
        <w:t>six</w:t>
      </w:r>
      <w:r w:rsidRPr="00ED4B89">
        <w:rPr>
          <w:rFonts w:ascii="Garamond" w:hAnsi="Garamond" w:cs="Open Sans"/>
          <w:color w:val="000000"/>
          <w:sz w:val="25"/>
          <w:szCs w:val="25"/>
        </w:rPr>
        <w:t xml:space="preserve"> points, the child of an alumnus </w:t>
      </w:r>
      <w:r w:rsidR="0070193B">
        <w:rPr>
          <w:rFonts w:ascii="Garamond" w:hAnsi="Garamond" w:cs="Open Sans"/>
          <w:color w:val="000000"/>
          <w:sz w:val="25"/>
          <w:szCs w:val="25"/>
        </w:rPr>
        <w:t>four</w:t>
      </w:r>
      <w:r w:rsidRPr="00ED4B89">
        <w:rPr>
          <w:rFonts w:ascii="Garamond" w:hAnsi="Garamond" w:cs="Open Sans"/>
          <w:color w:val="000000"/>
          <w:sz w:val="25"/>
          <w:szCs w:val="25"/>
        </w:rPr>
        <w:t xml:space="preserve"> points, and an “outstanding” admissions essay </w:t>
      </w:r>
      <w:r w:rsidR="0070193B">
        <w:rPr>
          <w:rFonts w:ascii="Garamond" w:hAnsi="Garamond" w:cs="Open Sans"/>
          <w:color w:val="000000"/>
          <w:sz w:val="25"/>
          <w:szCs w:val="25"/>
        </w:rPr>
        <w:t>three</w:t>
      </w:r>
      <w:r w:rsidRPr="00ED4B89">
        <w:rPr>
          <w:rFonts w:ascii="Garamond" w:hAnsi="Garamond" w:cs="Open Sans"/>
          <w:color w:val="000000"/>
          <w:sz w:val="25"/>
          <w:szCs w:val="25"/>
        </w:rPr>
        <w:t xml:space="preserve"> points.</w:t>
      </w:r>
    </w:p>
    <w:p w14:paraId="312BF48B" w14:textId="618D5E2F" w:rsidR="00ED4B89" w:rsidRPr="00ED4B89" w:rsidRDefault="00ED4B89" w:rsidP="00D95D1F">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Gratz, and another unsuccessful </w:t>
      </w:r>
      <w:r w:rsidR="00557D50">
        <w:rPr>
          <w:rFonts w:ascii="Garamond" w:hAnsi="Garamond" w:cs="Open Sans"/>
          <w:color w:val="000000"/>
          <w:sz w:val="25"/>
          <w:szCs w:val="25"/>
        </w:rPr>
        <w:t>W</w:t>
      </w:r>
      <w:r w:rsidRPr="00ED4B89">
        <w:rPr>
          <w:rFonts w:ascii="Garamond" w:hAnsi="Garamond" w:cs="Open Sans"/>
          <w:color w:val="000000"/>
          <w:sz w:val="25"/>
          <w:szCs w:val="25"/>
        </w:rPr>
        <w:t xml:space="preserve">hite applicant, Patrick </w:t>
      </w:r>
      <w:proofErr w:type="spellStart"/>
      <w:r w:rsidRPr="00ED4B89">
        <w:rPr>
          <w:rFonts w:ascii="Garamond" w:hAnsi="Garamond" w:cs="Open Sans"/>
          <w:color w:val="000000"/>
          <w:sz w:val="25"/>
          <w:szCs w:val="25"/>
        </w:rPr>
        <w:t>Hamacher</w:t>
      </w:r>
      <w:proofErr w:type="spellEnd"/>
      <w:r w:rsidRPr="00ED4B89">
        <w:rPr>
          <w:rFonts w:ascii="Garamond" w:hAnsi="Garamond" w:cs="Open Sans"/>
          <w:color w:val="000000"/>
          <w:sz w:val="25"/>
          <w:szCs w:val="25"/>
        </w:rPr>
        <w:t xml:space="preserve">, brought suit challenging the legality of the University of Michigan’s admissions policy. The federal </w:t>
      </w:r>
      <w:r w:rsidR="00613F2B">
        <w:rPr>
          <w:rFonts w:ascii="Garamond" w:hAnsi="Garamond" w:cs="Open Sans"/>
          <w:color w:val="000000"/>
          <w:sz w:val="25"/>
          <w:szCs w:val="25"/>
        </w:rPr>
        <w:t>D</w:t>
      </w:r>
      <w:r w:rsidRPr="00ED4B89">
        <w:rPr>
          <w:rFonts w:ascii="Garamond" w:hAnsi="Garamond" w:cs="Open Sans"/>
          <w:color w:val="000000"/>
          <w:sz w:val="25"/>
          <w:szCs w:val="25"/>
        </w:rPr>
        <w:t xml:space="preserve">istrict </w:t>
      </w:r>
      <w:r w:rsidR="00613F2B">
        <w:rPr>
          <w:rFonts w:ascii="Garamond" w:hAnsi="Garamond" w:cs="Open Sans"/>
          <w:color w:val="000000"/>
          <w:sz w:val="25"/>
          <w:szCs w:val="25"/>
        </w:rPr>
        <w:t>C</w:t>
      </w:r>
      <w:r w:rsidRPr="00ED4B89">
        <w:rPr>
          <w:rFonts w:ascii="Garamond" w:hAnsi="Garamond" w:cs="Open Sans"/>
          <w:color w:val="000000"/>
          <w:sz w:val="25"/>
          <w:szCs w:val="25"/>
        </w:rPr>
        <w:t>ourt ruled that the school’s undergraduate admissions policy in place before 199</w:t>
      </w:r>
      <w:r w:rsidR="00E92BE9">
        <w:rPr>
          <w:rFonts w:ascii="Garamond" w:hAnsi="Garamond" w:cs="Open Sans"/>
          <w:color w:val="000000"/>
          <w:sz w:val="25"/>
          <w:szCs w:val="25"/>
        </w:rPr>
        <w:t>8</w:t>
      </w:r>
      <w:r w:rsidRPr="00ED4B89">
        <w:rPr>
          <w:rFonts w:ascii="Garamond" w:hAnsi="Garamond" w:cs="Open Sans"/>
          <w:color w:val="000000"/>
          <w:sz w:val="25"/>
          <w:szCs w:val="25"/>
        </w:rPr>
        <w:t xml:space="preserve">, which maintained a set-aside for </w:t>
      </w:r>
      <w:r w:rsidR="00E92BE9">
        <w:rPr>
          <w:rFonts w:ascii="Garamond" w:hAnsi="Garamond" w:cs="Open Sans"/>
          <w:color w:val="000000"/>
          <w:sz w:val="25"/>
          <w:szCs w:val="25"/>
        </w:rPr>
        <w:t xml:space="preserve">racial and ethnic </w:t>
      </w:r>
      <w:r w:rsidRPr="00ED4B89">
        <w:rPr>
          <w:rFonts w:ascii="Garamond" w:hAnsi="Garamond" w:cs="Open Sans"/>
          <w:color w:val="000000"/>
          <w:sz w:val="25"/>
          <w:szCs w:val="25"/>
        </w:rPr>
        <w:t>minorities, violated the 14</w:t>
      </w:r>
      <w:r w:rsidRPr="00E92BE9">
        <w:rPr>
          <w:rFonts w:ascii="Garamond" w:hAnsi="Garamond" w:cs="Open Sans"/>
          <w:color w:val="000000"/>
          <w:sz w:val="25"/>
          <w:szCs w:val="25"/>
          <w:vertAlign w:val="superscript"/>
        </w:rPr>
        <w:t>th</w:t>
      </w:r>
      <w:r w:rsidRPr="00ED4B89">
        <w:rPr>
          <w:rFonts w:ascii="Garamond" w:hAnsi="Garamond" w:cs="Open Sans"/>
          <w:color w:val="000000"/>
          <w:sz w:val="25"/>
          <w:szCs w:val="25"/>
        </w:rPr>
        <w:t xml:space="preserve"> Amendment, but the court upheld the current </w:t>
      </w:r>
      <w:r w:rsidR="00E92BE9">
        <w:rPr>
          <w:rFonts w:ascii="Garamond" w:hAnsi="Garamond" w:cs="Open Sans"/>
          <w:color w:val="000000"/>
          <w:sz w:val="25"/>
          <w:szCs w:val="25"/>
        </w:rPr>
        <w:t xml:space="preserve">points </w:t>
      </w:r>
      <w:r w:rsidRPr="00ED4B89">
        <w:rPr>
          <w:rFonts w:ascii="Garamond" w:hAnsi="Garamond" w:cs="Open Sans"/>
          <w:color w:val="000000"/>
          <w:sz w:val="25"/>
          <w:szCs w:val="25"/>
        </w:rPr>
        <w:t>system, which d</w:t>
      </w:r>
      <w:r w:rsidR="00557D50">
        <w:rPr>
          <w:rFonts w:ascii="Garamond" w:hAnsi="Garamond" w:cs="Open Sans"/>
          <w:color w:val="000000"/>
          <w:sz w:val="25"/>
          <w:szCs w:val="25"/>
        </w:rPr>
        <w:t>id</w:t>
      </w:r>
      <w:r w:rsidRPr="00ED4B89">
        <w:rPr>
          <w:rFonts w:ascii="Garamond" w:hAnsi="Garamond" w:cs="Open Sans"/>
          <w:color w:val="000000"/>
          <w:sz w:val="25"/>
          <w:szCs w:val="25"/>
        </w:rPr>
        <w:t xml:space="preserve"> not use quotas and utilize</w:t>
      </w:r>
      <w:r w:rsidR="00557D50">
        <w:rPr>
          <w:rFonts w:ascii="Garamond" w:hAnsi="Garamond" w:cs="Open Sans"/>
          <w:color w:val="000000"/>
          <w:sz w:val="25"/>
          <w:szCs w:val="25"/>
        </w:rPr>
        <w:t>d</w:t>
      </w:r>
      <w:r w:rsidRPr="00ED4B89">
        <w:rPr>
          <w:rFonts w:ascii="Garamond" w:hAnsi="Garamond" w:cs="Open Sans"/>
          <w:color w:val="000000"/>
          <w:sz w:val="25"/>
          <w:szCs w:val="25"/>
        </w:rPr>
        <w:t xml:space="preserve"> race </w:t>
      </w:r>
      <w:r w:rsidR="00E92BE9">
        <w:rPr>
          <w:rFonts w:ascii="Garamond" w:hAnsi="Garamond" w:cs="Open Sans"/>
          <w:color w:val="000000"/>
          <w:sz w:val="25"/>
          <w:szCs w:val="25"/>
        </w:rPr>
        <w:t xml:space="preserve">and ethnicity </w:t>
      </w:r>
      <w:r w:rsidRPr="00ED4B89">
        <w:rPr>
          <w:rFonts w:ascii="Garamond" w:hAnsi="Garamond" w:cs="Open Sans"/>
          <w:color w:val="000000"/>
          <w:sz w:val="25"/>
          <w:szCs w:val="25"/>
        </w:rPr>
        <w:t>as a “plus.”</w:t>
      </w:r>
    </w:p>
    <w:p w14:paraId="7E51478B" w14:textId="77777777" w:rsidR="00ED4B89" w:rsidRPr="00D95D1F" w:rsidRDefault="00ED4B89" w:rsidP="00D95D1F">
      <w:pPr>
        <w:pStyle w:val="Subhead2sl"/>
      </w:pPr>
      <w:r w:rsidRPr="00D95D1F">
        <w:rPr>
          <w:rStyle w:val="Emphasis"/>
          <w:i/>
          <w:iCs w:val="0"/>
        </w:rPr>
        <w:t>Grutter v. Bollinger</w:t>
      </w:r>
    </w:p>
    <w:p w14:paraId="0F32918A" w14:textId="3851E6EF" w:rsidR="00ED4B89" w:rsidRPr="00ED4B89" w:rsidRDefault="00ED4B89" w:rsidP="00E92BE9">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In 1997, Barbara Grutter, a resident of Michigan, applied for admission to the University of Michigan </w:t>
      </w:r>
      <w:r w:rsidR="00E92BE9">
        <w:rPr>
          <w:rFonts w:ascii="Garamond" w:hAnsi="Garamond" w:cs="Open Sans"/>
          <w:color w:val="000000"/>
          <w:sz w:val="25"/>
          <w:szCs w:val="25"/>
        </w:rPr>
        <w:t>L</w:t>
      </w:r>
      <w:r w:rsidRPr="00ED4B89">
        <w:rPr>
          <w:rFonts w:ascii="Garamond" w:hAnsi="Garamond" w:cs="Open Sans"/>
          <w:color w:val="000000"/>
          <w:sz w:val="25"/>
          <w:szCs w:val="25"/>
        </w:rPr>
        <w:t xml:space="preserve">aw </w:t>
      </w:r>
      <w:r w:rsidR="00E92BE9">
        <w:rPr>
          <w:rFonts w:ascii="Garamond" w:hAnsi="Garamond" w:cs="Open Sans"/>
          <w:color w:val="000000"/>
          <w:sz w:val="25"/>
          <w:szCs w:val="25"/>
        </w:rPr>
        <w:t>S</w:t>
      </w:r>
      <w:r w:rsidRPr="00ED4B89">
        <w:rPr>
          <w:rFonts w:ascii="Garamond" w:hAnsi="Garamond" w:cs="Open Sans"/>
          <w:color w:val="000000"/>
          <w:sz w:val="25"/>
          <w:szCs w:val="25"/>
        </w:rPr>
        <w:t xml:space="preserve">chool. Grutter, who is </w:t>
      </w:r>
      <w:r w:rsidR="00E92BE9">
        <w:rPr>
          <w:rFonts w:ascii="Garamond" w:hAnsi="Garamond" w:cs="Open Sans"/>
          <w:color w:val="000000"/>
          <w:sz w:val="25"/>
          <w:szCs w:val="25"/>
        </w:rPr>
        <w:t>W</w:t>
      </w:r>
      <w:r w:rsidRPr="00ED4B89">
        <w:rPr>
          <w:rFonts w:ascii="Garamond" w:hAnsi="Garamond" w:cs="Open Sans"/>
          <w:color w:val="000000"/>
          <w:sz w:val="25"/>
          <w:szCs w:val="25"/>
        </w:rPr>
        <w:t>hite, had a 3.8 undergraduate GPA and scored 161 on the LSAT. She was denied admission and subsequently filed suit, claiming that her rights to equal protection under the 14</w:t>
      </w:r>
      <w:r w:rsidRPr="00E92BE9">
        <w:rPr>
          <w:rFonts w:ascii="Garamond" w:hAnsi="Garamond" w:cs="Open Sans"/>
          <w:color w:val="000000"/>
          <w:sz w:val="25"/>
          <w:szCs w:val="25"/>
          <w:vertAlign w:val="superscript"/>
        </w:rPr>
        <w:t>th</w:t>
      </w:r>
      <w:r w:rsidRPr="00ED4B89">
        <w:rPr>
          <w:rFonts w:ascii="Garamond" w:hAnsi="Garamond" w:cs="Open Sans"/>
          <w:color w:val="000000"/>
          <w:sz w:val="25"/>
          <w:szCs w:val="25"/>
        </w:rPr>
        <w:t xml:space="preserve"> Amendment had been violated.</w:t>
      </w:r>
    </w:p>
    <w:p w14:paraId="2206204B" w14:textId="1A662C9F" w:rsidR="00ED4B89" w:rsidRPr="00ED4B89" w:rsidRDefault="00ED4B89" w:rsidP="00E92BE9">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At the time, the law school had an admissions policy that used </w:t>
      </w:r>
      <w:r w:rsidR="00E92BE9">
        <w:rPr>
          <w:rFonts w:ascii="Garamond" w:hAnsi="Garamond" w:cs="Open Sans"/>
          <w:color w:val="000000"/>
          <w:sz w:val="25"/>
          <w:szCs w:val="25"/>
        </w:rPr>
        <w:t>diversity</w:t>
      </w:r>
      <w:r w:rsidRPr="00ED4B89">
        <w:rPr>
          <w:rFonts w:ascii="Garamond" w:hAnsi="Garamond" w:cs="Open Sans"/>
          <w:color w:val="000000"/>
          <w:sz w:val="25"/>
          <w:szCs w:val="25"/>
        </w:rPr>
        <w:t xml:space="preserve"> as a factor in the admissions process. In selecting students, the law school considered the applicant</w:t>
      </w:r>
      <w:r w:rsidR="00E92BE9">
        <w:rPr>
          <w:rFonts w:ascii="Garamond" w:hAnsi="Garamond" w:cs="Open Sans"/>
          <w:color w:val="000000"/>
          <w:sz w:val="25"/>
          <w:szCs w:val="25"/>
        </w:rPr>
        <w:t>’</w:t>
      </w:r>
      <w:r w:rsidRPr="00ED4B89">
        <w:rPr>
          <w:rFonts w:ascii="Garamond" w:hAnsi="Garamond" w:cs="Open Sans"/>
          <w:color w:val="000000"/>
          <w:sz w:val="25"/>
          <w:szCs w:val="25"/>
        </w:rPr>
        <w:t>s academic ability</w:t>
      </w:r>
      <w:r w:rsidR="00E92BE9">
        <w:rPr>
          <w:rFonts w:ascii="Garamond" w:hAnsi="Garamond" w:cs="Open Sans"/>
          <w:color w:val="000000"/>
          <w:sz w:val="25"/>
          <w:szCs w:val="25"/>
        </w:rPr>
        <w:t xml:space="preserve"> (which included </w:t>
      </w:r>
      <w:r w:rsidRPr="00ED4B89">
        <w:rPr>
          <w:rFonts w:ascii="Garamond" w:hAnsi="Garamond" w:cs="Open Sans"/>
          <w:color w:val="000000"/>
          <w:sz w:val="25"/>
          <w:szCs w:val="25"/>
        </w:rPr>
        <w:t>undergraduate GPA</w:t>
      </w:r>
      <w:r w:rsidR="00E92BE9">
        <w:rPr>
          <w:rFonts w:ascii="Garamond" w:hAnsi="Garamond" w:cs="Open Sans"/>
          <w:color w:val="000000"/>
          <w:sz w:val="25"/>
          <w:szCs w:val="25"/>
        </w:rPr>
        <w:t>)</w:t>
      </w:r>
      <w:r w:rsidRPr="00ED4B89">
        <w:rPr>
          <w:rFonts w:ascii="Garamond" w:hAnsi="Garamond" w:cs="Open Sans"/>
          <w:color w:val="000000"/>
          <w:sz w:val="25"/>
          <w:szCs w:val="25"/>
        </w:rPr>
        <w:t>, LSAT scores, personal statement, and letters of recommendation. The school also considered factors such as the applicant</w:t>
      </w:r>
      <w:r w:rsidR="00E92BE9">
        <w:rPr>
          <w:rFonts w:ascii="Garamond" w:hAnsi="Garamond" w:cs="Open Sans"/>
          <w:color w:val="000000"/>
          <w:sz w:val="25"/>
          <w:szCs w:val="25"/>
        </w:rPr>
        <w:t>’</w:t>
      </w:r>
      <w:r w:rsidRPr="00ED4B89">
        <w:rPr>
          <w:rFonts w:ascii="Garamond" w:hAnsi="Garamond" w:cs="Open Sans"/>
          <w:color w:val="000000"/>
          <w:sz w:val="25"/>
          <w:szCs w:val="25"/>
        </w:rPr>
        <w:t xml:space="preserve">s experience, the quality of the undergraduate institution </w:t>
      </w:r>
      <w:r w:rsidR="00E92BE9">
        <w:rPr>
          <w:rFonts w:ascii="Garamond" w:hAnsi="Garamond" w:cs="Open Sans"/>
          <w:color w:val="000000"/>
          <w:sz w:val="25"/>
          <w:szCs w:val="25"/>
        </w:rPr>
        <w:t>they a</w:t>
      </w:r>
      <w:r w:rsidRPr="00ED4B89">
        <w:rPr>
          <w:rFonts w:ascii="Garamond" w:hAnsi="Garamond" w:cs="Open Sans"/>
          <w:color w:val="000000"/>
          <w:sz w:val="25"/>
          <w:szCs w:val="25"/>
        </w:rPr>
        <w:t>ttended, and the degree to which the applicant would contribute to law school life and the diversity of the community. The admissions policy did not define the types of diversity that would receive special consideration</w:t>
      </w:r>
      <w:r w:rsidR="00557D50">
        <w:rPr>
          <w:rFonts w:ascii="Garamond" w:hAnsi="Garamond" w:cs="Open Sans"/>
          <w:color w:val="000000"/>
          <w:sz w:val="25"/>
          <w:szCs w:val="25"/>
        </w:rPr>
        <w:t xml:space="preserve"> </w:t>
      </w:r>
      <w:r w:rsidRPr="00ED4B89">
        <w:rPr>
          <w:rFonts w:ascii="Garamond" w:hAnsi="Garamond" w:cs="Open Sans"/>
          <w:color w:val="000000"/>
          <w:sz w:val="25"/>
          <w:szCs w:val="25"/>
        </w:rPr>
        <w:t xml:space="preserve">but did </w:t>
      </w:r>
      <w:proofErr w:type="gramStart"/>
      <w:r w:rsidRPr="00ED4B89">
        <w:rPr>
          <w:rFonts w:ascii="Garamond" w:hAnsi="Garamond" w:cs="Open Sans"/>
          <w:color w:val="000000"/>
          <w:sz w:val="25"/>
          <w:szCs w:val="25"/>
        </w:rPr>
        <w:t>make reference</w:t>
      </w:r>
      <w:proofErr w:type="gramEnd"/>
      <w:r w:rsidRPr="00ED4B89">
        <w:rPr>
          <w:rFonts w:ascii="Garamond" w:hAnsi="Garamond" w:cs="Open Sans"/>
          <w:color w:val="000000"/>
          <w:sz w:val="25"/>
          <w:szCs w:val="25"/>
        </w:rPr>
        <w:t xml:space="preserve"> to the inclusion of African</w:t>
      </w:r>
      <w:r w:rsidR="00462053">
        <w:rPr>
          <w:rFonts w:ascii="Garamond" w:hAnsi="Garamond" w:cs="Open Sans"/>
          <w:color w:val="000000"/>
          <w:sz w:val="25"/>
          <w:szCs w:val="25"/>
        </w:rPr>
        <w:t xml:space="preserve"> </w:t>
      </w:r>
      <w:r w:rsidRPr="00ED4B89">
        <w:rPr>
          <w:rFonts w:ascii="Garamond" w:hAnsi="Garamond" w:cs="Open Sans"/>
          <w:color w:val="000000"/>
          <w:sz w:val="25"/>
          <w:szCs w:val="25"/>
        </w:rPr>
        <w:t xml:space="preserve">American, </w:t>
      </w:r>
      <w:r w:rsidR="00E92BE9">
        <w:rPr>
          <w:rFonts w:ascii="Garamond" w:hAnsi="Garamond" w:cs="Open Sans"/>
          <w:color w:val="000000"/>
          <w:sz w:val="25"/>
          <w:szCs w:val="25"/>
        </w:rPr>
        <w:t>Latino</w:t>
      </w:r>
      <w:r w:rsidRPr="00ED4B89">
        <w:rPr>
          <w:rFonts w:ascii="Garamond" w:hAnsi="Garamond" w:cs="Open Sans"/>
          <w:color w:val="000000"/>
          <w:sz w:val="25"/>
          <w:szCs w:val="25"/>
        </w:rPr>
        <w:t>, and Native</w:t>
      </w:r>
      <w:r w:rsidR="00E92BE9">
        <w:rPr>
          <w:rFonts w:ascii="Garamond" w:hAnsi="Garamond" w:cs="Open Sans"/>
          <w:color w:val="000000"/>
          <w:sz w:val="25"/>
          <w:szCs w:val="25"/>
        </w:rPr>
        <w:t xml:space="preserve"> </w:t>
      </w:r>
      <w:r w:rsidRPr="00ED4B89">
        <w:rPr>
          <w:rFonts w:ascii="Garamond" w:hAnsi="Garamond" w:cs="Open Sans"/>
          <w:color w:val="000000"/>
          <w:sz w:val="25"/>
          <w:szCs w:val="25"/>
        </w:rPr>
        <w:t>American students who might otherwise be underrepresented.</w:t>
      </w:r>
    </w:p>
    <w:p w14:paraId="6011A9D2" w14:textId="24D6F673" w:rsidR="00ED4B89" w:rsidRPr="00ED4B89" w:rsidRDefault="00ED4B89" w:rsidP="00E92BE9">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The school thought this policy complied with </w:t>
      </w:r>
      <w:r w:rsidRPr="00ED4B89">
        <w:rPr>
          <w:rStyle w:val="Emphasis"/>
          <w:rFonts w:ascii="Garamond" w:hAnsi="Garamond" w:cs="Open Sans"/>
          <w:color w:val="000000"/>
          <w:sz w:val="25"/>
          <w:szCs w:val="25"/>
        </w:rPr>
        <w:t>Bakke</w:t>
      </w:r>
      <w:r w:rsidRPr="00ED4B89">
        <w:rPr>
          <w:rFonts w:ascii="Garamond" w:hAnsi="Garamond" w:cs="Open Sans"/>
          <w:color w:val="000000"/>
          <w:sz w:val="25"/>
          <w:szCs w:val="25"/>
        </w:rPr>
        <w:t xml:space="preserve">, on the grounds that it served a </w:t>
      </w:r>
      <w:r w:rsidR="00613F2B">
        <w:rPr>
          <w:rFonts w:ascii="Garamond" w:hAnsi="Garamond" w:cs="Open Sans"/>
          <w:color w:val="000000"/>
          <w:sz w:val="25"/>
          <w:szCs w:val="25"/>
        </w:rPr>
        <w:t>“</w:t>
      </w:r>
      <w:r w:rsidRPr="00ED4B89">
        <w:rPr>
          <w:rFonts w:ascii="Garamond" w:hAnsi="Garamond" w:cs="Open Sans"/>
          <w:color w:val="000000"/>
          <w:sz w:val="25"/>
          <w:szCs w:val="25"/>
        </w:rPr>
        <w:t>compelling interest in achieving diversity among its student body.</w:t>
      </w:r>
      <w:r w:rsidR="00613F2B">
        <w:rPr>
          <w:rFonts w:ascii="Garamond" w:hAnsi="Garamond" w:cs="Open Sans"/>
          <w:color w:val="000000"/>
          <w:sz w:val="25"/>
          <w:szCs w:val="25"/>
        </w:rPr>
        <w:t>”</w:t>
      </w:r>
      <w:r w:rsidRPr="00ED4B89">
        <w:rPr>
          <w:rFonts w:ascii="Garamond" w:hAnsi="Garamond" w:cs="Open Sans"/>
          <w:color w:val="000000"/>
          <w:sz w:val="25"/>
          <w:szCs w:val="25"/>
        </w:rPr>
        <w:t xml:space="preserve"> The District Court ruled that the goal of achieving a diverse student body was not a compelling one. </w:t>
      </w:r>
      <w:r w:rsidR="00B17D50">
        <w:rPr>
          <w:rFonts w:ascii="Garamond" w:hAnsi="Garamond" w:cs="Open Sans"/>
          <w:color w:val="000000"/>
          <w:sz w:val="25"/>
          <w:szCs w:val="25"/>
        </w:rPr>
        <w:t>T</w:t>
      </w:r>
      <w:r w:rsidRPr="00ED4B89">
        <w:rPr>
          <w:rFonts w:ascii="Garamond" w:hAnsi="Garamond" w:cs="Open Sans"/>
          <w:color w:val="000000"/>
          <w:sz w:val="25"/>
          <w:szCs w:val="25"/>
        </w:rPr>
        <w:t xml:space="preserve">he Court of Appeals </w:t>
      </w:r>
      <w:r w:rsidR="00B17D50">
        <w:rPr>
          <w:rFonts w:ascii="Garamond" w:hAnsi="Garamond" w:cs="Open Sans"/>
          <w:color w:val="000000"/>
          <w:sz w:val="25"/>
          <w:szCs w:val="25"/>
        </w:rPr>
        <w:t xml:space="preserve">then reversed the District Court’s decision, saying that </w:t>
      </w:r>
      <w:r w:rsidRPr="00ED4B89">
        <w:rPr>
          <w:rFonts w:ascii="Garamond" w:hAnsi="Garamond" w:cs="Open Sans"/>
          <w:color w:val="000000"/>
          <w:sz w:val="25"/>
          <w:szCs w:val="25"/>
        </w:rPr>
        <w:t>Justice Powell</w:t>
      </w:r>
      <w:r w:rsidR="00B17D50">
        <w:rPr>
          <w:rFonts w:ascii="Garamond" w:hAnsi="Garamond" w:cs="Open Sans"/>
          <w:color w:val="000000"/>
          <w:sz w:val="25"/>
          <w:szCs w:val="25"/>
        </w:rPr>
        <w:t>’</w:t>
      </w:r>
      <w:r w:rsidRPr="00ED4B89">
        <w:rPr>
          <w:rFonts w:ascii="Garamond" w:hAnsi="Garamond" w:cs="Open Sans"/>
          <w:color w:val="000000"/>
          <w:sz w:val="25"/>
          <w:szCs w:val="25"/>
        </w:rPr>
        <w:t>s opinion in </w:t>
      </w:r>
      <w:r w:rsidRPr="00ED4B89">
        <w:rPr>
          <w:rStyle w:val="Emphasis"/>
          <w:rFonts w:ascii="Garamond" w:hAnsi="Garamond" w:cs="Open Sans"/>
          <w:color w:val="000000"/>
          <w:sz w:val="25"/>
          <w:szCs w:val="25"/>
        </w:rPr>
        <w:t>Regents of the University of California v. Bakke</w:t>
      </w:r>
      <w:r w:rsidRPr="00ED4B89">
        <w:rPr>
          <w:rFonts w:ascii="Garamond" w:hAnsi="Garamond" w:cs="Open Sans"/>
          <w:color w:val="000000"/>
          <w:sz w:val="25"/>
          <w:szCs w:val="25"/>
        </w:rPr>
        <w:t xml:space="preserve"> constituted a binding precedent establishing diversity as a compelling governmental interest sufficient under strict scrutiny review to justify the use of racial preferences in admissions. Furthermore, the attempt to enroll a </w:t>
      </w:r>
      <w:r w:rsidR="00B17D50">
        <w:rPr>
          <w:rFonts w:ascii="Garamond" w:hAnsi="Garamond" w:cs="Open Sans"/>
          <w:color w:val="000000"/>
          <w:sz w:val="25"/>
          <w:szCs w:val="25"/>
        </w:rPr>
        <w:t>“</w:t>
      </w:r>
      <w:r w:rsidRPr="00ED4B89">
        <w:rPr>
          <w:rFonts w:ascii="Garamond" w:hAnsi="Garamond" w:cs="Open Sans"/>
          <w:color w:val="000000"/>
          <w:sz w:val="25"/>
          <w:szCs w:val="25"/>
        </w:rPr>
        <w:t>critical mass</w:t>
      </w:r>
      <w:r w:rsidR="00B17D50">
        <w:rPr>
          <w:rFonts w:ascii="Garamond" w:hAnsi="Garamond" w:cs="Open Sans"/>
          <w:color w:val="000000"/>
          <w:sz w:val="25"/>
          <w:szCs w:val="25"/>
        </w:rPr>
        <w:t>”</w:t>
      </w:r>
      <w:r w:rsidRPr="00ED4B89">
        <w:rPr>
          <w:rFonts w:ascii="Garamond" w:hAnsi="Garamond" w:cs="Open Sans"/>
          <w:color w:val="000000"/>
          <w:sz w:val="25"/>
          <w:szCs w:val="25"/>
        </w:rPr>
        <w:t xml:space="preserve"> of minorities was not comparable to a quota system.</w:t>
      </w:r>
    </w:p>
    <w:p w14:paraId="40F07933" w14:textId="77777777" w:rsidR="00B17D50" w:rsidRDefault="00B17D50" w:rsidP="00ED4B89">
      <w:pPr>
        <w:pStyle w:val="Heading4"/>
        <w:shd w:val="clear" w:color="auto" w:fill="FFFFFF"/>
        <w:spacing w:before="0" w:after="225" w:line="360" w:lineRule="atLeast"/>
        <w:rPr>
          <w:rFonts w:ascii="Gill Sans MT" w:hAnsi="Gill Sans MT" w:cs="Open Sans"/>
          <w:b/>
          <w:bCs/>
          <w:color w:val="231F20"/>
          <w:sz w:val="25"/>
          <w:szCs w:val="25"/>
        </w:rPr>
        <w:sectPr w:rsidR="00B17D50" w:rsidSect="00236E6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F641333" w14:textId="4153648A" w:rsidR="00B17D50" w:rsidRDefault="00B17D50" w:rsidP="00B17D50">
      <w:pPr>
        <w:pStyle w:val="Subhead1sl"/>
      </w:pPr>
      <w:r>
        <w:lastRenderedPageBreak/>
        <w:t>Graphic Organizer</w:t>
      </w:r>
    </w:p>
    <w:tbl>
      <w:tblPr>
        <w:tblStyle w:val="TableGrid"/>
        <w:tblW w:w="5000" w:type="pct"/>
        <w:tblLook w:val="04A0" w:firstRow="1" w:lastRow="0" w:firstColumn="1" w:lastColumn="0" w:noHBand="0" w:noVBand="1"/>
      </w:tblPr>
      <w:tblGrid>
        <w:gridCol w:w="1706"/>
        <w:gridCol w:w="3824"/>
        <w:gridCol w:w="3825"/>
      </w:tblGrid>
      <w:tr w:rsidR="00B17D50" w14:paraId="02FA9DCC" w14:textId="77777777" w:rsidTr="0010718F">
        <w:tc>
          <w:tcPr>
            <w:tcW w:w="1706" w:type="dxa"/>
            <w:tcBorders>
              <w:top w:val="nil"/>
              <w:left w:val="nil"/>
            </w:tcBorders>
            <w:vAlign w:val="center"/>
          </w:tcPr>
          <w:p w14:paraId="65B216C4" w14:textId="77777777" w:rsidR="00B17D50" w:rsidRPr="00753796" w:rsidRDefault="00B17D50" w:rsidP="0010718F">
            <w:pPr>
              <w:rPr>
                <w:b/>
              </w:rPr>
            </w:pPr>
          </w:p>
        </w:tc>
        <w:tc>
          <w:tcPr>
            <w:tcW w:w="3824" w:type="dxa"/>
            <w:shd w:val="clear" w:color="auto" w:fill="F2F2F2" w:themeFill="background1" w:themeFillShade="F2"/>
          </w:tcPr>
          <w:p w14:paraId="7C204606" w14:textId="77777777" w:rsidR="00B17D50" w:rsidRPr="0010718F" w:rsidRDefault="00B17D50" w:rsidP="0010718F">
            <w:pPr>
              <w:jc w:val="center"/>
              <w:rPr>
                <w:rFonts w:ascii="Garamond" w:hAnsi="Garamond"/>
                <w:bCs/>
                <w:i/>
                <w:iCs/>
                <w:sz w:val="24"/>
                <w:szCs w:val="24"/>
              </w:rPr>
            </w:pPr>
            <w:r w:rsidRPr="0010718F">
              <w:rPr>
                <w:rFonts w:ascii="Garamond" w:hAnsi="Garamond"/>
                <w:bCs/>
                <w:i/>
                <w:iCs/>
                <w:sz w:val="24"/>
                <w:szCs w:val="24"/>
              </w:rPr>
              <w:t>Gratz v. Bollinger</w:t>
            </w:r>
          </w:p>
        </w:tc>
        <w:tc>
          <w:tcPr>
            <w:tcW w:w="3825" w:type="dxa"/>
            <w:shd w:val="clear" w:color="auto" w:fill="F2F2F2" w:themeFill="background1" w:themeFillShade="F2"/>
          </w:tcPr>
          <w:p w14:paraId="7D2B58CD" w14:textId="77777777" w:rsidR="00B17D50" w:rsidRPr="0010718F" w:rsidRDefault="00B17D50" w:rsidP="0010718F">
            <w:pPr>
              <w:jc w:val="center"/>
              <w:rPr>
                <w:rFonts w:ascii="Garamond" w:hAnsi="Garamond"/>
                <w:bCs/>
                <w:i/>
                <w:iCs/>
                <w:sz w:val="24"/>
                <w:szCs w:val="24"/>
              </w:rPr>
            </w:pPr>
            <w:r w:rsidRPr="0010718F">
              <w:rPr>
                <w:rFonts w:ascii="Garamond" w:hAnsi="Garamond"/>
                <w:bCs/>
                <w:i/>
                <w:iCs/>
                <w:sz w:val="24"/>
                <w:szCs w:val="24"/>
              </w:rPr>
              <w:t>Grutter v. Bollinger</w:t>
            </w:r>
          </w:p>
        </w:tc>
      </w:tr>
      <w:tr w:rsidR="00B17D50" w14:paraId="109EEE74" w14:textId="77777777" w:rsidTr="0010718F">
        <w:tc>
          <w:tcPr>
            <w:tcW w:w="1706" w:type="dxa"/>
            <w:shd w:val="clear" w:color="auto" w:fill="F2F2F2" w:themeFill="background1" w:themeFillShade="F2"/>
            <w:vAlign w:val="center"/>
          </w:tcPr>
          <w:p w14:paraId="63844F2F" w14:textId="798A6D5E" w:rsidR="0010718F" w:rsidRPr="00753796" w:rsidRDefault="0010718F" w:rsidP="0010718F">
            <w:pPr>
              <w:spacing w:before="600" w:after="600"/>
              <w:rPr>
                <w:rFonts w:ascii="Garamond" w:hAnsi="Garamond"/>
                <w:sz w:val="24"/>
                <w:szCs w:val="24"/>
              </w:rPr>
            </w:pPr>
            <w:r w:rsidRPr="0010718F">
              <w:rPr>
                <w:rFonts w:ascii="Garamond" w:hAnsi="Garamond"/>
                <w:sz w:val="24"/>
                <w:szCs w:val="24"/>
              </w:rPr>
              <w:t>Basic facts about the applican</w:t>
            </w:r>
            <w:r>
              <w:rPr>
                <w:rFonts w:ascii="Garamond" w:hAnsi="Garamond"/>
                <w:sz w:val="24"/>
                <w:szCs w:val="24"/>
              </w:rPr>
              <w:t>t</w:t>
            </w:r>
          </w:p>
        </w:tc>
        <w:tc>
          <w:tcPr>
            <w:tcW w:w="3824" w:type="dxa"/>
            <w:vAlign w:val="center"/>
          </w:tcPr>
          <w:p w14:paraId="65DEA121" w14:textId="77777777" w:rsidR="00B17D50" w:rsidRDefault="00B17D50" w:rsidP="0010718F"/>
        </w:tc>
        <w:tc>
          <w:tcPr>
            <w:tcW w:w="3825" w:type="dxa"/>
            <w:vAlign w:val="center"/>
          </w:tcPr>
          <w:p w14:paraId="28D864C7" w14:textId="77777777" w:rsidR="00B17D50" w:rsidRDefault="00B17D50" w:rsidP="0010718F"/>
        </w:tc>
      </w:tr>
      <w:tr w:rsidR="00B17D50" w14:paraId="542A8D5F" w14:textId="77777777" w:rsidTr="0010718F">
        <w:tc>
          <w:tcPr>
            <w:tcW w:w="1706" w:type="dxa"/>
            <w:shd w:val="clear" w:color="auto" w:fill="F2F2F2" w:themeFill="background1" w:themeFillShade="F2"/>
            <w:vAlign w:val="center"/>
          </w:tcPr>
          <w:p w14:paraId="3C2E888B" w14:textId="53AE2C16" w:rsidR="00B17D50" w:rsidRPr="00753796" w:rsidRDefault="0010718F" w:rsidP="0010718F">
            <w:pPr>
              <w:spacing w:before="600" w:after="600"/>
              <w:rPr>
                <w:rFonts w:ascii="Garamond" w:hAnsi="Garamond"/>
                <w:sz w:val="24"/>
                <w:szCs w:val="24"/>
              </w:rPr>
            </w:pPr>
            <w:r>
              <w:rPr>
                <w:rFonts w:ascii="Garamond" w:hAnsi="Garamond"/>
                <w:sz w:val="24"/>
                <w:szCs w:val="24"/>
              </w:rPr>
              <w:t>U</w:t>
            </w:r>
            <w:r w:rsidR="00B17D50" w:rsidRPr="00753796">
              <w:rPr>
                <w:rFonts w:ascii="Garamond" w:hAnsi="Garamond"/>
                <w:sz w:val="24"/>
                <w:szCs w:val="24"/>
              </w:rPr>
              <w:t>ndergraduate or graduate</w:t>
            </w:r>
            <w:r>
              <w:rPr>
                <w:rFonts w:ascii="Garamond" w:hAnsi="Garamond"/>
                <w:sz w:val="24"/>
                <w:szCs w:val="24"/>
              </w:rPr>
              <w:t>?</w:t>
            </w:r>
          </w:p>
        </w:tc>
        <w:tc>
          <w:tcPr>
            <w:tcW w:w="3824" w:type="dxa"/>
            <w:vAlign w:val="center"/>
          </w:tcPr>
          <w:p w14:paraId="6039235F" w14:textId="77777777" w:rsidR="00B17D50" w:rsidRDefault="00B17D50" w:rsidP="0010718F"/>
        </w:tc>
        <w:tc>
          <w:tcPr>
            <w:tcW w:w="3825" w:type="dxa"/>
            <w:vAlign w:val="center"/>
          </w:tcPr>
          <w:p w14:paraId="0B0EDC6A" w14:textId="77777777" w:rsidR="00B17D50" w:rsidRDefault="00B17D50" w:rsidP="0010718F"/>
        </w:tc>
      </w:tr>
      <w:tr w:rsidR="00B17D50" w14:paraId="3E579164" w14:textId="77777777" w:rsidTr="0010718F">
        <w:tc>
          <w:tcPr>
            <w:tcW w:w="1706" w:type="dxa"/>
            <w:shd w:val="clear" w:color="auto" w:fill="F2F2F2" w:themeFill="background1" w:themeFillShade="F2"/>
            <w:vAlign w:val="center"/>
          </w:tcPr>
          <w:p w14:paraId="7F7E5E8F" w14:textId="72888846" w:rsidR="00B17D50" w:rsidRPr="00753796" w:rsidRDefault="00B17D50" w:rsidP="0010718F">
            <w:pPr>
              <w:spacing w:before="600" w:after="600"/>
              <w:rPr>
                <w:rFonts w:ascii="Garamond" w:hAnsi="Garamond"/>
                <w:sz w:val="24"/>
                <w:szCs w:val="24"/>
              </w:rPr>
            </w:pPr>
            <w:r w:rsidRPr="00753796">
              <w:rPr>
                <w:rFonts w:ascii="Garamond" w:hAnsi="Garamond"/>
                <w:sz w:val="24"/>
                <w:szCs w:val="24"/>
              </w:rPr>
              <w:t xml:space="preserve">Summary of </w:t>
            </w:r>
            <w:r w:rsidR="0010718F">
              <w:rPr>
                <w:rFonts w:ascii="Garamond" w:hAnsi="Garamond"/>
                <w:sz w:val="24"/>
                <w:szCs w:val="24"/>
              </w:rPr>
              <w:t>s</w:t>
            </w:r>
            <w:r w:rsidRPr="00753796">
              <w:rPr>
                <w:rFonts w:ascii="Garamond" w:hAnsi="Garamond"/>
                <w:sz w:val="24"/>
                <w:szCs w:val="24"/>
              </w:rPr>
              <w:t>election Process</w:t>
            </w:r>
          </w:p>
        </w:tc>
        <w:tc>
          <w:tcPr>
            <w:tcW w:w="3824" w:type="dxa"/>
            <w:vAlign w:val="center"/>
          </w:tcPr>
          <w:p w14:paraId="2DFE871E" w14:textId="77777777" w:rsidR="00B17D50" w:rsidRDefault="00B17D50" w:rsidP="0010718F"/>
        </w:tc>
        <w:tc>
          <w:tcPr>
            <w:tcW w:w="3825" w:type="dxa"/>
            <w:vAlign w:val="center"/>
          </w:tcPr>
          <w:p w14:paraId="1892446C" w14:textId="77777777" w:rsidR="00B17D50" w:rsidRDefault="00B17D50" w:rsidP="0010718F"/>
        </w:tc>
      </w:tr>
      <w:tr w:rsidR="00B17D50" w14:paraId="2E9DD816" w14:textId="77777777" w:rsidTr="0010718F">
        <w:tc>
          <w:tcPr>
            <w:tcW w:w="1706" w:type="dxa"/>
            <w:shd w:val="clear" w:color="auto" w:fill="F2F2F2" w:themeFill="background1" w:themeFillShade="F2"/>
            <w:vAlign w:val="center"/>
          </w:tcPr>
          <w:p w14:paraId="40717EF9" w14:textId="1FB6D689" w:rsidR="00B17D50" w:rsidRPr="00753796" w:rsidRDefault="00B17D50" w:rsidP="0010718F">
            <w:pPr>
              <w:spacing w:before="600" w:after="600"/>
              <w:rPr>
                <w:rFonts w:ascii="Garamond" w:hAnsi="Garamond"/>
                <w:sz w:val="24"/>
                <w:szCs w:val="24"/>
              </w:rPr>
            </w:pPr>
            <w:r w:rsidRPr="00753796">
              <w:rPr>
                <w:rFonts w:ascii="Garamond" w:hAnsi="Garamond"/>
                <w:sz w:val="24"/>
                <w:szCs w:val="24"/>
              </w:rPr>
              <w:t xml:space="preserve">Constitutional </w:t>
            </w:r>
            <w:r w:rsidR="0010718F">
              <w:rPr>
                <w:rFonts w:ascii="Garamond" w:hAnsi="Garamond"/>
                <w:sz w:val="24"/>
                <w:szCs w:val="24"/>
              </w:rPr>
              <w:t>q</w:t>
            </w:r>
            <w:r w:rsidRPr="00753796">
              <w:rPr>
                <w:rFonts w:ascii="Garamond" w:hAnsi="Garamond"/>
                <w:sz w:val="24"/>
                <w:szCs w:val="24"/>
              </w:rPr>
              <w:t>uestion</w:t>
            </w:r>
          </w:p>
        </w:tc>
        <w:tc>
          <w:tcPr>
            <w:tcW w:w="3824" w:type="dxa"/>
            <w:vAlign w:val="center"/>
          </w:tcPr>
          <w:p w14:paraId="5D20E189" w14:textId="77777777" w:rsidR="00B17D50" w:rsidRDefault="00B17D50" w:rsidP="0010718F"/>
        </w:tc>
        <w:tc>
          <w:tcPr>
            <w:tcW w:w="3825" w:type="dxa"/>
            <w:vAlign w:val="center"/>
          </w:tcPr>
          <w:p w14:paraId="51791EC2" w14:textId="77777777" w:rsidR="00B17D50" w:rsidRDefault="00B17D50" w:rsidP="0010718F"/>
        </w:tc>
      </w:tr>
      <w:tr w:rsidR="00B17D50" w14:paraId="37D220FB" w14:textId="77777777" w:rsidTr="0010718F">
        <w:tc>
          <w:tcPr>
            <w:tcW w:w="1706" w:type="dxa"/>
            <w:shd w:val="clear" w:color="auto" w:fill="F2F2F2" w:themeFill="background1" w:themeFillShade="F2"/>
            <w:vAlign w:val="center"/>
          </w:tcPr>
          <w:p w14:paraId="78779523" w14:textId="698F41C5" w:rsidR="00B17D50" w:rsidRPr="00753796" w:rsidRDefault="00B17D50" w:rsidP="0010718F">
            <w:pPr>
              <w:spacing w:before="600" w:after="600"/>
              <w:rPr>
                <w:rFonts w:ascii="Garamond" w:hAnsi="Garamond"/>
                <w:sz w:val="24"/>
                <w:szCs w:val="24"/>
              </w:rPr>
            </w:pPr>
            <w:r w:rsidRPr="00753796">
              <w:rPr>
                <w:rFonts w:ascii="Garamond" w:hAnsi="Garamond"/>
                <w:sz w:val="24"/>
                <w:szCs w:val="24"/>
              </w:rPr>
              <w:t xml:space="preserve">Your prediction: </w:t>
            </w:r>
            <w:r w:rsidR="0010718F" w:rsidRPr="0010718F">
              <w:rPr>
                <w:rFonts w:ascii="Garamond" w:hAnsi="Garamond"/>
                <w:sz w:val="24"/>
                <w:szCs w:val="24"/>
              </w:rPr>
              <w:t>I</w:t>
            </w:r>
            <w:r w:rsidRPr="0010718F">
              <w:rPr>
                <w:rFonts w:ascii="Garamond" w:hAnsi="Garamond"/>
                <w:sz w:val="24"/>
                <w:szCs w:val="24"/>
              </w:rPr>
              <w:t>s it Constitutional?</w:t>
            </w:r>
          </w:p>
        </w:tc>
        <w:tc>
          <w:tcPr>
            <w:tcW w:w="3824" w:type="dxa"/>
            <w:vAlign w:val="center"/>
          </w:tcPr>
          <w:p w14:paraId="1EA1550E" w14:textId="77777777" w:rsidR="00B17D50" w:rsidRDefault="00B17D50" w:rsidP="0010718F"/>
        </w:tc>
        <w:tc>
          <w:tcPr>
            <w:tcW w:w="3825" w:type="dxa"/>
            <w:vAlign w:val="center"/>
          </w:tcPr>
          <w:p w14:paraId="2E48BEF2" w14:textId="77777777" w:rsidR="00B17D50" w:rsidRDefault="00B17D50" w:rsidP="0010718F"/>
        </w:tc>
      </w:tr>
      <w:tr w:rsidR="00B17D50" w14:paraId="3AA7059D" w14:textId="77777777" w:rsidTr="0010718F">
        <w:tc>
          <w:tcPr>
            <w:tcW w:w="1706" w:type="dxa"/>
            <w:shd w:val="clear" w:color="auto" w:fill="F2F2F2" w:themeFill="background1" w:themeFillShade="F2"/>
            <w:vAlign w:val="center"/>
          </w:tcPr>
          <w:p w14:paraId="13481993" w14:textId="6D36CFEE" w:rsidR="00B17D50" w:rsidRPr="00753796" w:rsidRDefault="00B17D50" w:rsidP="0010718F">
            <w:pPr>
              <w:spacing w:before="600" w:after="600"/>
              <w:rPr>
                <w:rFonts w:ascii="Garamond" w:hAnsi="Garamond"/>
                <w:sz w:val="24"/>
                <w:szCs w:val="24"/>
              </w:rPr>
            </w:pPr>
            <w:r w:rsidRPr="00753796">
              <w:rPr>
                <w:rFonts w:ascii="Garamond" w:hAnsi="Garamond"/>
                <w:sz w:val="24"/>
                <w:szCs w:val="24"/>
              </w:rPr>
              <w:t xml:space="preserve">Actual </w:t>
            </w:r>
            <w:r w:rsidR="0010718F">
              <w:rPr>
                <w:rFonts w:ascii="Garamond" w:hAnsi="Garamond"/>
                <w:sz w:val="24"/>
                <w:szCs w:val="24"/>
              </w:rPr>
              <w:t>o</w:t>
            </w:r>
            <w:r w:rsidRPr="00753796">
              <w:rPr>
                <w:rFonts w:ascii="Garamond" w:hAnsi="Garamond"/>
                <w:sz w:val="24"/>
                <w:szCs w:val="24"/>
              </w:rPr>
              <w:t>utcome</w:t>
            </w:r>
            <w:r w:rsidR="0010718F">
              <w:rPr>
                <w:rFonts w:ascii="Garamond" w:hAnsi="Garamond"/>
                <w:sz w:val="24"/>
                <w:szCs w:val="24"/>
              </w:rPr>
              <w:t xml:space="preserve"> at the Supreme Court</w:t>
            </w:r>
          </w:p>
        </w:tc>
        <w:tc>
          <w:tcPr>
            <w:tcW w:w="3824" w:type="dxa"/>
            <w:vAlign w:val="center"/>
          </w:tcPr>
          <w:p w14:paraId="5009CE74" w14:textId="77777777" w:rsidR="00B17D50" w:rsidRDefault="00B17D50" w:rsidP="0010718F"/>
        </w:tc>
        <w:tc>
          <w:tcPr>
            <w:tcW w:w="3825" w:type="dxa"/>
            <w:vAlign w:val="center"/>
          </w:tcPr>
          <w:p w14:paraId="23421EDF" w14:textId="77777777" w:rsidR="00B17D50" w:rsidRDefault="00B17D50" w:rsidP="0010718F"/>
        </w:tc>
      </w:tr>
    </w:tbl>
    <w:p w14:paraId="3744D6F4" w14:textId="6FE5909B" w:rsidR="00B17D50" w:rsidRPr="0010718F" w:rsidRDefault="0010718F" w:rsidP="0010718F">
      <w:pPr>
        <w:spacing w:after="0"/>
      </w:pPr>
      <w:r>
        <w:t xml:space="preserve"> </w:t>
      </w:r>
    </w:p>
    <w:p w14:paraId="4C7B7DEC" w14:textId="2D4147FF" w:rsidR="00B17D50" w:rsidRPr="00B17D50" w:rsidRDefault="00B17D50" w:rsidP="00B17D50">
      <w:pPr>
        <w:sectPr w:rsidR="00B17D50" w:rsidRPr="00B17D50" w:rsidSect="0010718F">
          <w:footerReference w:type="first" r:id="rId14"/>
          <w:pgSz w:w="12240" w:h="15840"/>
          <w:pgMar w:top="1440" w:right="1440" w:bottom="1440" w:left="1440" w:header="720" w:footer="720" w:gutter="0"/>
          <w:cols w:space="720"/>
          <w:docGrid w:linePitch="360"/>
        </w:sectPr>
      </w:pPr>
    </w:p>
    <w:p w14:paraId="05D80892" w14:textId="0FA79E8F" w:rsidR="00F20410" w:rsidRDefault="0010718F" w:rsidP="0010718F">
      <w:pPr>
        <w:pStyle w:val="Subhead1sl"/>
      </w:pPr>
      <w:r>
        <w:lastRenderedPageBreak/>
        <w:t>Summary of the Decision</w:t>
      </w:r>
    </w:p>
    <w:p w14:paraId="2C7A9E81" w14:textId="127FB736" w:rsidR="0010718F" w:rsidRPr="0010718F" w:rsidRDefault="0010718F" w:rsidP="0010718F">
      <w:pPr>
        <w:pStyle w:val="Subhead2sl"/>
      </w:pPr>
      <w:r w:rsidRPr="0010718F">
        <w:rPr>
          <w:rStyle w:val="Emphasis"/>
          <w:i/>
          <w:iCs w:val="0"/>
        </w:rPr>
        <w:t>Regents of the University of California v. Bakke</w:t>
      </w:r>
    </w:p>
    <w:p w14:paraId="70B672CB" w14:textId="77777777" w:rsidR="0010718F" w:rsidRPr="005D61A5" w:rsidRDefault="0010718F" w:rsidP="0010718F">
      <w:pPr>
        <w:pStyle w:val="BasiccopyLMC"/>
        <w:spacing w:after="120" w:line="276" w:lineRule="auto"/>
        <w:rPr>
          <w:sz w:val="25"/>
          <w:szCs w:val="25"/>
        </w:rPr>
      </w:pPr>
      <w:r w:rsidRPr="005D61A5">
        <w:rPr>
          <w:sz w:val="25"/>
          <w:szCs w:val="25"/>
        </w:rPr>
        <w:t>Five members of the Court voted to require the University of California</w:t>
      </w:r>
      <w:r>
        <w:rPr>
          <w:sz w:val="25"/>
          <w:szCs w:val="25"/>
        </w:rPr>
        <w:t xml:space="preserve">, </w:t>
      </w:r>
      <w:r w:rsidRPr="005D61A5">
        <w:rPr>
          <w:sz w:val="25"/>
          <w:szCs w:val="25"/>
        </w:rPr>
        <w:t xml:space="preserve">Davis </w:t>
      </w:r>
      <w:r>
        <w:rPr>
          <w:sz w:val="25"/>
          <w:szCs w:val="25"/>
        </w:rPr>
        <w:t xml:space="preserve">(UC Davis) </w:t>
      </w:r>
      <w:r w:rsidRPr="005D61A5">
        <w:rPr>
          <w:sz w:val="25"/>
          <w:szCs w:val="25"/>
        </w:rPr>
        <w:t>to admit Bakke to its medical school.</w:t>
      </w:r>
      <w:r>
        <w:rPr>
          <w:sz w:val="25"/>
          <w:szCs w:val="25"/>
        </w:rPr>
        <w:t xml:space="preserve"> </w:t>
      </w:r>
      <w:r w:rsidRPr="005D61A5">
        <w:rPr>
          <w:sz w:val="25"/>
          <w:szCs w:val="25"/>
        </w:rPr>
        <w:t>Justice Powell wrote an opinion in two parts, each of which received the votes of four other justices.</w:t>
      </w:r>
      <w:r>
        <w:rPr>
          <w:sz w:val="25"/>
          <w:szCs w:val="25"/>
        </w:rPr>
        <w:t xml:space="preserve"> </w:t>
      </w:r>
      <w:r w:rsidRPr="005D61A5">
        <w:rPr>
          <w:sz w:val="25"/>
          <w:szCs w:val="25"/>
        </w:rPr>
        <w:t>The Court determined that any racial quota system in a state</w:t>
      </w:r>
      <w:r>
        <w:rPr>
          <w:sz w:val="25"/>
          <w:szCs w:val="25"/>
        </w:rPr>
        <w:t>-</w:t>
      </w:r>
      <w:r w:rsidRPr="005D61A5">
        <w:rPr>
          <w:sz w:val="25"/>
          <w:szCs w:val="25"/>
        </w:rPr>
        <w:t xml:space="preserve">supported university violated both the Civil Rights Act of 1964 and the Equal Protection clause of the </w:t>
      </w:r>
      <w:r>
        <w:rPr>
          <w:sz w:val="25"/>
          <w:szCs w:val="25"/>
        </w:rPr>
        <w:t>14</w:t>
      </w:r>
      <w:r w:rsidRPr="00C93916">
        <w:rPr>
          <w:sz w:val="25"/>
          <w:szCs w:val="25"/>
          <w:vertAlign w:val="superscript"/>
        </w:rPr>
        <w:t>th</w:t>
      </w:r>
      <w:r w:rsidRPr="005D61A5">
        <w:rPr>
          <w:sz w:val="25"/>
          <w:szCs w:val="25"/>
        </w:rPr>
        <w:t xml:space="preserve"> Amendment.</w:t>
      </w:r>
      <w:r>
        <w:rPr>
          <w:sz w:val="25"/>
          <w:szCs w:val="25"/>
        </w:rPr>
        <w:t xml:space="preserve"> </w:t>
      </w:r>
      <w:r w:rsidRPr="005D61A5">
        <w:rPr>
          <w:sz w:val="25"/>
          <w:szCs w:val="25"/>
        </w:rPr>
        <w:t>Justices Burger, Stewart, Rehnquist</w:t>
      </w:r>
      <w:r>
        <w:rPr>
          <w:sz w:val="25"/>
          <w:szCs w:val="25"/>
        </w:rPr>
        <w:t>,</w:t>
      </w:r>
      <w:r w:rsidRPr="005D61A5">
        <w:rPr>
          <w:sz w:val="25"/>
          <w:szCs w:val="25"/>
        </w:rPr>
        <w:t xml:space="preserve"> and Stevens joined this part of Powell’s opinion.</w:t>
      </w:r>
      <w:r>
        <w:rPr>
          <w:sz w:val="25"/>
          <w:szCs w:val="25"/>
        </w:rPr>
        <w:t xml:space="preserve"> </w:t>
      </w:r>
      <w:r w:rsidRPr="005D61A5">
        <w:rPr>
          <w:sz w:val="25"/>
          <w:szCs w:val="25"/>
        </w:rPr>
        <w:t xml:space="preserve">The Court also ruled that the use of race as one of several criteria in admissions decisions did not violate either the Civil Rights Act or the </w:t>
      </w:r>
      <w:r>
        <w:rPr>
          <w:sz w:val="25"/>
          <w:szCs w:val="25"/>
        </w:rPr>
        <w:t>14</w:t>
      </w:r>
      <w:r w:rsidRPr="00C93916">
        <w:rPr>
          <w:sz w:val="25"/>
          <w:szCs w:val="25"/>
          <w:vertAlign w:val="superscript"/>
        </w:rPr>
        <w:t>th</w:t>
      </w:r>
      <w:r>
        <w:rPr>
          <w:sz w:val="25"/>
          <w:szCs w:val="25"/>
        </w:rPr>
        <w:t xml:space="preserve"> </w:t>
      </w:r>
      <w:r w:rsidRPr="005D61A5">
        <w:rPr>
          <w:sz w:val="25"/>
          <w:szCs w:val="25"/>
        </w:rPr>
        <w:t>Amendment.</w:t>
      </w:r>
      <w:r>
        <w:rPr>
          <w:sz w:val="25"/>
          <w:szCs w:val="25"/>
        </w:rPr>
        <w:t xml:space="preserve"> </w:t>
      </w:r>
      <w:r w:rsidRPr="005D61A5">
        <w:rPr>
          <w:sz w:val="25"/>
          <w:szCs w:val="25"/>
        </w:rPr>
        <w:t>Justices Brennan, Marshall, Blackmun</w:t>
      </w:r>
      <w:r>
        <w:rPr>
          <w:sz w:val="25"/>
          <w:szCs w:val="25"/>
        </w:rPr>
        <w:t>,</w:t>
      </w:r>
      <w:r w:rsidRPr="005D61A5">
        <w:rPr>
          <w:sz w:val="25"/>
          <w:szCs w:val="25"/>
        </w:rPr>
        <w:t xml:space="preserve"> and White joined this part of Powell’s opinion.</w:t>
      </w:r>
    </w:p>
    <w:p w14:paraId="225ED5BA" w14:textId="77777777" w:rsidR="0010718F" w:rsidRPr="005D61A5" w:rsidRDefault="0010718F" w:rsidP="0010718F">
      <w:pPr>
        <w:pStyle w:val="BasiccopyLMC"/>
        <w:spacing w:after="120" w:line="276" w:lineRule="auto"/>
        <w:rPr>
          <w:sz w:val="25"/>
          <w:szCs w:val="25"/>
        </w:rPr>
      </w:pPr>
      <w:r w:rsidRPr="005D61A5">
        <w:rPr>
          <w:sz w:val="25"/>
          <w:szCs w:val="25"/>
        </w:rPr>
        <w:t>In the first part of the opinion, Justice Powell reasoned that admissions programs that rely on a quota system, in which a specified percentage of spaces in the class is reserved for a particular racial or ethnic group, were always unconstitutional, regardless of the justifications offered for them.</w:t>
      </w:r>
      <w:r>
        <w:rPr>
          <w:sz w:val="25"/>
          <w:szCs w:val="25"/>
        </w:rPr>
        <w:t xml:space="preserve"> </w:t>
      </w:r>
      <w:r w:rsidRPr="005D61A5">
        <w:rPr>
          <w:sz w:val="25"/>
          <w:szCs w:val="25"/>
        </w:rPr>
        <w:t>Because a certain number of seats were reserved for applicants of a particular racial group, applicants not within that group could not compete for those seats, no matter how qualified they were.</w:t>
      </w:r>
      <w:r>
        <w:rPr>
          <w:sz w:val="25"/>
          <w:szCs w:val="25"/>
        </w:rPr>
        <w:t xml:space="preserve"> </w:t>
      </w:r>
      <w:r w:rsidRPr="005D61A5">
        <w:rPr>
          <w:sz w:val="25"/>
          <w:szCs w:val="25"/>
        </w:rPr>
        <w:t>Justice Powell declared that “preferring members of any one group for no reason other than race or ethnic origin is discrimination for its own sake.</w:t>
      </w:r>
      <w:r>
        <w:rPr>
          <w:sz w:val="25"/>
          <w:szCs w:val="25"/>
        </w:rPr>
        <w:t xml:space="preserve"> </w:t>
      </w:r>
      <w:r w:rsidRPr="005D61A5">
        <w:rPr>
          <w:sz w:val="25"/>
          <w:szCs w:val="25"/>
        </w:rPr>
        <w:t>This the Constitution forbids.”</w:t>
      </w:r>
      <w:r>
        <w:rPr>
          <w:sz w:val="25"/>
          <w:szCs w:val="25"/>
        </w:rPr>
        <w:t xml:space="preserve"> </w:t>
      </w:r>
      <w:r w:rsidRPr="005D61A5">
        <w:rPr>
          <w:sz w:val="25"/>
          <w:szCs w:val="25"/>
        </w:rPr>
        <w:t xml:space="preserve">The specific admissions system used by </w:t>
      </w:r>
      <w:r>
        <w:rPr>
          <w:sz w:val="25"/>
          <w:szCs w:val="25"/>
        </w:rPr>
        <w:t>the University of California</w:t>
      </w:r>
      <w:r w:rsidRPr="005D61A5">
        <w:rPr>
          <w:sz w:val="25"/>
          <w:szCs w:val="25"/>
        </w:rPr>
        <w:t xml:space="preserve"> was determined to be unconstitutional because it used racial quotas.</w:t>
      </w:r>
      <w:r>
        <w:rPr>
          <w:sz w:val="25"/>
          <w:szCs w:val="25"/>
        </w:rPr>
        <w:t xml:space="preserve"> </w:t>
      </w:r>
    </w:p>
    <w:p w14:paraId="2B39FD57" w14:textId="77777777" w:rsidR="0010718F" w:rsidRPr="005D61A5" w:rsidRDefault="0010718F" w:rsidP="0010718F">
      <w:pPr>
        <w:pStyle w:val="BasiccopyLMC"/>
        <w:spacing w:after="120" w:line="276" w:lineRule="auto"/>
        <w:rPr>
          <w:sz w:val="25"/>
          <w:szCs w:val="25"/>
        </w:rPr>
      </w:pPr>
      <w:r w:rsidRPr="005D61A5">
        <w:rPr>
          <w:sz w:val="25"/>
          <w:szCs w:val="25"/>
        </w:rPr>
        <w:t>Justice Powell further concluded that even though admissions systems relying solely on racial quotas violate the Constitution, the Constitution does not prohibit any consideration of race in admissions decisions.</w:t>
      </w:r>
      <w:r>
        <w:rPr>
          <w:sz w:val="25"/>
          <w:szCs w:val="25"/>
        </w:rPr>
        <w:t xml:space="preserve"> </w:t>
      </w:r>
      <w:r w:rsidRPr="005D61A5">
        <w:rPr>
          <w:sz w:val="25"/>
          <w:szCs w:val="25"/>
        </w:rPr>
        <w:t>He acknowledged that a state may have legitimate interests in considering the race of an applicant during the admissions process.</w:t>
      </w:r>
      <w:r>
        <w:rPr>
          <w:sz w:val="25"/>
          <w:szCs w:val="25"/>
        </w:rPr>
        <w:t xml:space="preserve"> </w:t>
      </w:r>
      <w:r w:rsidRPr="005D61A5">
        <w:rPr>
          <w:sz w:val="25"/>
          <w:szCs w:val="25"/>
        </w:rPr>
        <w:t xml:space="preserve">These interests included increasing the racial diversity of the student body to increase the proportion of </w:t>
      </w:r>
      <w:r>
        <w:rPr>
          <w:sz w:val="25"/>
          <w:szCs w:val="25"/>
        </w:rPr>
        <w:t>people of color</w:t>
      </w:r>
      <w:r w:rsidRPr="005D61A5">
        <w:rPr>
          <w:sz w:val="25"/>
          <w:szCs w:val="25"/>
        </w:rPr>
        <w:t xml:space="preserve"> in medical schools and in medical professions, to “counter the effects of societal discrimination,” to “increase the number of physicians who will practice in communities currently underserved,” and to “obtain the educational benefits that flow from an ethnically diverse student body.”</w:t>
      </w:r>
      <w:r>
        <w:rPr>
          <w:sz w:val="25"/>
          <w:szCs w:val="25"/>
        </w:rPr>
        <w:t xml:space="preserve"> </w:t>
      </w:r>
    </w:p>
    <w:p w14:paraId="6AB8B1FE" w14:textId="77777777" w:rsidR="0010718F" w:rsidRPr="005D61A5" w:rsidRDefault="0010718F" w:rsidP="0010718F">
      <w:pPr>
        <w:pStyle w:val="BasiccopyLMC"/>
        <w:spacing w:after="120" w:line="276" w:lineRule="auto"/>
        <w:rPr>
          <w:sz w:val="25"/>
          <w:szCs w:val="25"/>
        </w:rPr>
      </w:pPr>
      <w:r w:rsidRPr="005D61A5">
        <w:rPr>
          <w:sz w:val="25"/>
          <w:szCs w:val="25"/>
        </w:rPr>
        <w:t>In order to use race as an element in making admissions decisions, a state university must be able to justify the use under the standard of strict scrutiny.</w:t>
      </w:r>
      <w:r>
        <w:rPr>
          <w:sz w:val="25"/>
          <w:szCs w:val="25"/>
        </w:rPr>
        <w:t xml:space="preserve"> </w:t>
      </w:r>
      <w:r w:rsidRPr="005D61A5">
        <w:rPr>
          <w:sz w:val="25"/>
          <w:szCs w:val="25"/>
        </w:rPr>
        <w:t>This means that admissions programs that consider race must be narrowly tailored to advance a compelling government interest in order to be constitutional.</w:t>
      </w:r>
      <w:r>
        <w:rPr>
          <w:sz w:val="25"/>
          <w:szCs w:val="25"/>
        </w:rPr>
        <w:t xml:space="preserve">  </w:t>
      </w:r>
    </w:p>
    <w:p w14:paraId="4A9150BD" w14:textId="77777777" w:rsidR="0010718F" w:rsidRPr="005D61A5" w:rsidRDefault="0010718F" w:rsidP="0010718F">
      <w:pPr>
        <w:pStyle w:val="BasiccopyLMC"/>
        <w:spacing w:after="120" w:line="276" w:lineRule="auto"/>
        <w:rPr>
          <w:sz w:val="25"/>
          <w:szCs w:val="25"/>
        </w:rPr>
      </w:pPr>
      <w:r w:rsidRPr="005D61A5">
        <w:rPr>
          <w:sz w:val="25"/>
          <w:szCs w:val="25"/>
        </w:rPr>
        <w:t>The Court found that</w:t>
      </w:r>
      <w:r>
        <w:rPr>
          <w:sz w:val="25"/>
          <w:szCs w:val="25"/>
        </w:rPr>
        <w:t xml:space="preserve"> the University of California’s</w:t>
      </w:r>
      <w:r w:rsidRPr="005D61A5">
        <w:rPr>
          <w:sz w:val="25"/>
          <w:szCs w:val="25"/>
        </w:rPr>
        <w:t xml:space="preserve"> admissions policy was not narrowly tailored to a compelling government interest.</w:t>
      </w:r>
      <w:r>
        <w:rPr>
          <w:sz w:val="25"/>
          <w:szCs w:val="25"/>
        </w:rPr>
        <w:t xml:space="preserve"> </w:t>
      </w:r>
      <w:r w:rsidRPr="005D61A5">
        <w:rPr>
          <w:sz w:val="25"/>
          <w:szCs w:val="25"/>
        </w:rPr>
        <w:t>Basing admissions decisions solely on race, as in UC Davis’ quota system, was not an effective way of furthering their interest in a diverse student body.</w:t>
      </w:r>
      <w:r>
        <w:rPr>
          <w:sz w:val="25"/>
          <w:szCs w:val="25"/>
        </w:rPr>
        <w:t xml:space="preserve"> </w:t>
      </w:r>
      <w:r w:rsidRPr="005D61A5">
        <w:rPr>
          <w:sz w:val="25"/>
          <w:szCs w:val="25"/>
        </w:rPr>
        <w:t xml:space="preserve">The majority opinion </w:t>
      </w:r>
      <w:proofErr w:type="gramStart"/>
      <w:r w:rsidRPr="005D61A5">
        <w:rPr>
          <w:sz w:val="25"/>
          <w:szCs w:val="25"/>
        </w:rPr>
        <w:t>said</w:t>
      </w:r>
      <w:proofErr w:type="gramEnd"/>
      <w:r w:rsidRPr="005D61A5">
        <w:rPr>
          <w:sz w:val="25"/>
          <w:szCs w:val="25"/>
        </w:rPr>
        <w:t xml:space="preserve"> “the diversity that furthers a compelling state interest encompasses a far broader array of qualifications and characteristics of which racial or ethnic origin is but a single … element.”</w:t>
      </w:r>
      <w:r>
        <w:rPr>
          <w:sz w:val="25"/>
          <w:szCs w:val="25"/>
        </w:rPr>
        <w:t xml:space="preserve"> </w:t>
      </w:r>
      <w:r w:rsidRPr="005D61A5">
        <w:rPr>
          <w:sz w:val="25"/>
          <w:szCs w:val="25"/>
        </w:rPr>
        <w:t xml:space="preserve">Other elements include “exceptional personal talents, unique work or service </w:t>
      </w:r>
      <w:r w:rsidRPr="005D61A5">
        <w:rPr>
          <w:sz w:val="25"/>
          <w:szCs w:val="25"/>
        </w:rPr>
        <w:lastRenderedPageBreak/>
        <w:t>experience, leadership potential, maturity, demonstrated compassion, [and] a history of overcoming disadvantage,” among others.</w:t>
      </w:r>
      <w:r>
        <w:rPr>
          <w:sz w:val="25"/>
          <w:szCs w:val="25"/>
        </w:rPr>
        <w:t xml:space="preserve"> </w:t>
      </w:r>
      <w:r w:rsidRPr="005D61A5">
        <w:rPr>
          <w:sz w:val="25"/>
          <w:szCs w:val="25"/>
        </w:rPr>
        <w:t>Race can only be considered a “plus factor” in a particular applicant’s file, along with these other factors.</w:t>
      </w:r>
      <w:r>
        <w:rPr>
          <w:sz w:val="25"/>
          <w:szCs w:val="25"/>
        </w:rPr>
        <w:t xml:space="preserve"> </w:t>
      </w:r>
      <w:r w:rsidRPr="005D61A5">
        <w:rPr>
          <w:sz w:val="25"/>
          <w:szCs w:val="25"/>
        </w:rPr>
        <w:t>Only then would an admissions program be deemed narrowly tailored to the compelling state interest of achieving diversity in the admitted class.</w:t>
      </w:r>
    </w:p>
    <w:p w14:paraId="3771297B" w14:textId="5AAC245C" w:rsidR="0010718F" w:rsidRPr="00557D50" w:rsidRDefault="0010718F" w:rsidP="0010718F">
      <w:pPr>
        <w:pStyle w:val="BasiccopyLMC"/>
        <w:spacing w:after="120" w:line="276" w:lineRule="auto"/>
      </w:pPr>
      <w:r w:rsidRPr="005D61A5">
        <w:rPr>
          <w:sz w:val="25"/>
          <w:szCs w:val="25"/>
        </w:rPr>
        <w:t xml:space="preserve">Because UC Davis’ admissions program relied solely on racial quotas, a majority of the Court ruled that it violated both the Civil Rights Act of 1964 and the Equal Protection Clause of the </w:t>
      </w:r>
      <w:r>
        <w:rPr>
          <w:sz w:val="25"/>
          <w:szCs w:val="25"/>
        </w:rPr>
        <w:t>14</w:t>
      </w:r>
      <w:r w:rsidRPr="00884943">
        <w:rPr>
          <w:sz w:val="25"/>
          <w:szCs w:val="25"/>
          <w:vertAlign w:val="superscript"/>
        </w:rPr>
        <w:t>th</w:t>
      </w:r>
      <w:r w:rsidRPr="005D61A5">
        <w:rPr>
          <w:sz w:val="25"/>
          <w:szCs w:val="25"/>
        </w:rPr>
        <w:t xml:space="preserve"> Amendment.</w:t>
      </w:r>
      <w:r>
        <w:rPr>
          <w:sz w:val="25"/>
          <w:szCs w:val="25"/>
        </w:rPr>
        <w:t xml:space="preserve"> </w:t>
      </w:r>
      <w:r w:rsidRPr="005D61A5">
        <w:rPr>
          <w:sz w:val="25"/>
          <w:szCs w:val="25"/>
        </w:rPr>
        <w:t>A majority of the Court also agreed, however, that race could be considered in admissions decisions, but only as a “plus factor” among other factors, rather than as the determinative element.</w:t>
      </w:r>
      <w:r>
        <w:rPr>
          <w:sz w:val="25"/>
          <w:szCs w:val="25"/>
        </w:rPr>
        <w:t xml:space="preserve"> </w:t>
      </w:r>
      <w:r w:rsidRPr="005D61A5">
        <w:rPr>
          <w:sz w:val="25"/>
          <w:szCs w:val="25"/>
        </w:rPr>
        <w:t>The Court thus ruled that Bakke must be admitted to medical school at UC Davis.</w:t>
      </w:r>
    </w:p>
    <w:sectPr w:rsidR="0010718F" w:rsidRPr="00557D50" w:rsidSect="00236E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CD55C" w14:textId="77777777" w:rsidR="009B190E" w:rsidRDefault="009B190E" w:rsidP="0078549D">
      <w:pPr>
        <w:spacing w:after="0" w:line="240" w:lineRule="auto"/>
      </w:pPr>
      <w:r>
        <w:separator/>
      </w:r>
    </w:p>
  </w:endnote>
  <w:endnote w:type="continuationSeparator" w:id="0">
    <w:p w14:paraId="5AA2A928" w14:textId="77777777" w:rsidR="009B190E" w:rsidRDefault="009B190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4EABF02A" w14:textId="774F803C" w:rsidR="001D0F02" w:rsidRPr="00C3519B" w:rsidRDefault="00C3519B" w:rsidP="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2</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87B1" w14:textId="6178543A" w:rsidR="00C3519B" w:rsidRPr="00C3519B" w:rsidRDefault="009B190E">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C3519B" w:rsidRPr="00987C93">
          <w:rPr>
            <w:rStyle w:val="BasiccopyslChar"/>
            <w:sz w:val="22"/>
            <w:szCs w:val="22"/>
          </w:rPr>
          <w:t>© 2020 Street Law, Inc.</w:t>
        </w:r>
        <w:r w:rsidR="00C3519B" w:rsidRPr="00987C93">
          <w:rPr>
            <w:rStyle w:val="BasiccopyslChar"/>
            <w:sz w:val="22"/>
            <w:szCs w:val="22"/>
          </w:rPr>
          <w:tab/>
        </w:r>
        <w:r w:rsidR="00C3519B" w:rsidRPr="00987C93">
          <w:rPr>
            <w:rStyle w:val="BasiccopyslChar"/>
            <w:sz w:val="22"/>
            <w:szCs w:val="22"/>
          </w:rPr>
          <w:tab/>
          <w:t xml:space="preserve"> Last updated: </w:t>
        </w:r>
      </w:sdtContent>
    </w:sdt>
    <w:r w:rsidR="00E92BE9">
      <w:rPr>
        <w:rStyle w:val="BasiccopyslChar"/>
      </w:rPr>
      <w:t>08/18/2020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18E3" w14:textId="77777777" w:rsidR="0010718F" w:rsidRPr="00C3519B" w:rsidRDefault="0010718F">
    <w:pPr>
      <w:pStyle w:val="Footer"/>
      <w:rPr>
        <w:rFonts w:ascii="Garamond" w:eastAsia="Garamond" w:hAnsi="Garamond" w:cs="Garamond"/>
      </w:rPr>
    </w:pPr>
    <w:sdt>
      <w:sdtPr>
        <w:rPr>
          <w:rFonts w:ascii="Garamond" w:hAnsi="Garamond"/>
        </w:rPr>
        <w:id w:val="-264074379"/>
        <w:docPartObj>
          <w:docPartGallery w:val="Page Numbers (Bottom of Page)"/>
          <w:docPartUnique/>
        </w:docPartObj>
      </w:sdtPr>
      <w:sdtEndPr>
        <w:rPr>
          <w:rStyle w:val="BasiccopyslChar"/>
          <w:rFonts w:eastAsia="Garamond" w:cs="Garamond"/>
          <w:sz w:val="25"/>
          <w:szCs w:val="25"/>
        </w:rPr>
      </w:sdtEndPr>
      <w:sdtContent>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sdtContent>
    </w:sdt>
    <w:r>
      <w:rPr>
        <w:rStyle w:val="BasiccopyslChar"/>
      </w:rPr>
      <w:t>08/18/2020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CA16" w14:textId="77777777" w:rsidR="009B190E" w:rsidRDefault="009B190E" w:rsidP="0078549D">
      <w:pPr>
        <w:spacing w:after="0" w:line="240" w:lineRule="auto"/>
      </w:pPr>
      <w:r>
        <w:separator/>
      </w:r>
    </w:p>
  </w:footnote>
  <w:footnote w:type="continuationSeparator" w:id="0">
    <w:p w14:paraId="60A782AD" w14:textId="77777777" w:rsidR="009B190E" w:rsidRDefault="009B190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C8D89" w14:textId="14F9C7F1" w:rsidR="006432C6" w:rsidRPr="006432C6" w:rsidRDefault="006432C6" w:rsidP="006432C6">
    <w:pPr>
      <w:pStyle w:val="Basiccopysl"/>
      <w:spacing w:after="0"/>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Regents of UC v. Bakke </w:t>
    </w:r>
    <w:r w:rsidRPr="00D95D1F">
      <w:rPr>
        <w:sz w:val="22"/>
        <w:szCs w:val="22"/>
      </w:rPr>
      <w:t>/ The Michigan Affirmative Action Cases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0724" w14:textId="3D678516" w:rsidR="00047FD5" w:rsidRPr="00047FD5" w:rsidRDefault="00047FD5" w:rsidP="00C3519B">
    <w:pPr>
      <w:pStyle w:val="Basiccopysl"/>
      <w:spacing w:after="0"/>
    </w:pPr>
    <w:bookmarkStart w:id="0" w:name="_Hlk48680272"/>
    <w:bookmarkStart w:id="1" w:name="_Hlk48680273"/>
    <w:r w:rsidRPr="00987C93">
      <w:rPr>
        <w:sz w:val="22"/>
        <w:szCs w:val="22"/>
      </w:rPr>
      <w:t>LandmarkCases.org</w:t>
    </w:r>
    <w:r w:rsidRPr="00987C93">
      <w:rPr>
        <w:sz w:val="22"/>
        <w:szCs w:val="22"/>
      </w:rPr>
      <w:tab/>
    </w:r>
    <w:r w:rsidRPr="00987C93">
      <w:rPr>
        <w:sz w:val="22"/>
        <w:szCs w:val="22"/>
      </w:rPr>
      <w:tab/>
    </w:r>
    <w:r w:rsidRPr="00987C93">
      <w:rPr>
        <w:sz w:val="22"/>
        <w:szCs w:val="22"/>
      </w:rPr>
      <w:tab/>
    </w:r>
    <w:r w:rsidR="00D95D1F">
      <w:rPr>
        <w:sz w:val="22"/>
        <w:szCs w:val="22"/>
      </w:rPr>
      <w:t xml:space="preserve">     </w:t>
    </w:r>
    <w:r w:rsidR="00F219A5">
      <w:rPr>
        <w:i/>
        <w:iCs/>
        <w:sz w:val="22"/>
        <w:szCs w:val="22"/>
      </w:rPr>
      <w:t xml:space="preserve">Regents of </w:t>
    </w:r>
    <w:r w:rsidR="00D95D1F">
      <w:rPr>
        <w:i/>
        <w:iCs/>
        <w:sz w:val="22"/>
        <w:szCs w:val="22"/>
      </w:rPr>
      <w:t xml:space="preserve">UC v. Bakke </w:t>
    </w:r>
    <w:r w:rsidR="00D95D1F" w:rsidRPr="00D95D1F">
      <w:rPr>
        <w:sz w:val="22"/>
        <w:szCs w:val="22"/>
      </w:rPr>
      <w:t>/ The Michigan Affirmative Action Cases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02D46"/>
    <w:multiLevelType w:val="multilevel"/>
    <w:tmpl w:val="04AA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743B2"/>
    <w:multiLevelType w:val="multilevel"/>
    <w:tmpl w:val="76007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196598"/>
    <w:multiLevelType w:val="hybridMultilevel"/>
    <w:tmpl w:val="7A30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7"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B50794"/>
    <w:multiLevelType w:val="multilevel"/>
    <w:tmpl w:val="E94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32E0B"/>
    <w:multiLevelType w:val="hybridMultilevel"/>
    <w:tmpl w:val="A59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22"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217D1"/>
    <w:multiLevelType w:val="multilevel"/>
    <w:tmpl w:val="BC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D5E24"/>
    <w:multiLevelType w:val="multilevel"/>
    <w:tmpl w:val="ABE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2"/>
  </w:num>
  <w:num w:numId="4">
    <w:abstractNumId w:val="5"/>
  </w:num>
  <w:num w:numId="5">
    <w:abstractNumId w:val="14"/>
  </w:num>
  <w:num w:numId="6">
    <w:abstractNumId w:val="8"/>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4"/>
  </w:num>
  <w:num w:numId="12">
    <w:abstractNumId w:val="25"/>
  </w:num>
  <w:num w:numId="13">
    <w:abstractNumId w:val="3"/>
  </w:num>
  <w:num w:numId="14">
    <w:abstractNumId w:val="3"/>
  </w:num>
  <w:num w:numId="15">
    <w:abstractNumId w:val="3"/>
  </w:num>
  <w:num w:numId="16">
    <w:abstractNumId w:val="3"/>
  </w:num>
  <w:num w:numId="17">
    <w:abstractNumId w:val="11"/>
  </w:num>
  <w:num w:numId="18">
    <w:abstractNumId w:val="21"/>
  </w:num>
  <w:num w:numId="19">
    <w:abstractNumId w:val="16"/>
  </w:num>
  <w:num w:numId="20">
    <w:abstractNumId w:val="7"/>
  </w:num>
  <w:num w:numId="21">
    <w:abstractNumId w:val="13"/>
  </w:num>
  <w:num w:numId="22">
    <w:abstractNumId w:val="3"/>
  </w:num>
  <w:num w:numId="23">
    <w:abstractNumId w:val="10"/>
  </w:num>
  <w:num w:numId="24">
    <w:abstractNumId w:val="3"/>
  </w:num>
  <w:num w:numId="25">
    <w:abstractNumId w:val="10"/>
  </w:num>
  <w:num w:numId="26">
    <w:abstractNumId w:val="3"/>
  </w:num>
  <w:num w:numId="27">
    <w:abstractNumId w:val="3"/>
  </w:num>
  <w:num w:numId="28">
    <w:abstractNumId w:val="10"/>
  </w:num>
  <w:num w:numId="29">
    <w:abstractNumId w:val="22"/>
  </w:num>
  <w:num w:numId="30">
    <w:abstractNumId w:val="23"/>
  </w:num>
  <w:num w:numId="31">
    <w:abstractNumId w:val="17"/>
  </w:num>
  <w:num w:numId="32">
    <w:abstractNumId w:val="15"/>
  </w:num>
  <w:num w:numId="33">
    <w:abstractNumId w:val="6"/>
  </w:num>
  <w:num w:numId="34">
    <w:abstractNumId w:val="27"/>
  </w:num>
  <w:num w:numId="35">
    <w:abstractNumId w:val="18"/>
  </w:num>
  <w:num w:numId="36">
    <w:abstractNumId w:val="0"/>
  </w:num>
  <w:num w:numId="37">
    <w:abstractNumId w:val="24"/>
  </w:num>
  <w:num w:numId="38">
    <w:abstractNumId w:val="26"/>
  </w:num>
  <w:num w:numId="39">
    <w:abstractNumId w:val="20"/>
  </w:num>
  <w:num w:numId="40">
    <w:abstractNumId w:val="9"/>
  </w:num>
  <w:num w:numId="41">
    <w:abstractNumId w:val="1"/>
  </w:num>
  <w:num w:numId="42">
    <w:abstractNumId w:val="1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F35"/>
    <w:rsid w:val="000356BB"/>
    <w:rsid w:val="00036A5C"/>
    <w:rsid w:val="00047FD5"/>
    <w:rsid w:val="00082157"/>
    <w:rsid w:val="000A3823"/>
    <w:rsid w:val="000D1EC3"/>
    <w:rsid w:val="000E239D"/>
    <w:rsid w:val="001056C3"/>
    <w:rsid w:val="0010718F"/>
    <w:rsid w:val="00107287"/>
    <w:rsid w:val="00110FE2"/>
    <w:rsid w:val="00112B95"/>
    <w:rsid w:val="00116A1D"/>
    <w:rsid w:val="001246CC"/>
    <w:rsid w:val="001505AB"/>
    <w:rsid w:val="00170B98"/>
    <w:rsid w:val="001A7476"/>
    <w:rsid w:val="001B3E05"/>
    <w:rsid w:val="001C0EDD"/>
    <w:rsid w:val="001D0F02"/>
    <w:rsid w:val="001D5A8C"/>
    <w:rsid w:val="001E04E6"/>
    <w:rsid w:val="0021030F"/>
    <w:rsid w:val="0022377B"/>
    <w:rsid w:val="00236E65"/>
    <w:rsid w:val="0025076D"/>
    <w:rsid w:val="00253838"/>
    <w:rsid w:val="002768EB"/>
    <w:rsid w:val="00277B6B"/>
    <w:rsid w:val="00282C1F"/>
    <w:rsid w:val="00290061"/>
    <w:rsid w:val="00293947"/>
    <w:rsid w:val="002A40B8"/>
    <w:rsid w:val="002B03AB"/>
    <w:rsid w:val="002B4D38"/>
    <w:rsid w:val="002C3E14"/>
    <w:rsid w:val="002C68A3"/>
    <w:rsid w:val="002D2203"/>
    <w:rsid w:val="002E34AE"/>
    <w:rsid w:val="002E5E7F"/>
    <w:rsid w:val="00302608"/>
    <w:rsid w:val="00317735"/>
    <w:rsid w:val="0032015A"/>
    <w:rsid w:val="00332A26"/>
    <w:rsid w:val="0035621A"/>
    <w:rsid w:val="00375090"/>
    <w:rsid w:val="00387D3D"/>
    <w:rsid w:val="00396AEB"/>
    <w:rsid w:val="003C09D2"/>
    <w:rsid w:val="003C6F20"/>
    <w:rsid w:val="003E36D4"/>
    <w:rsid w:val="00400A63"/>
    <w:rsid w:val="00425F44"/>
    <w:rsid w:val="0044156B"/>
    <w:rsid w:val="00462053"/>
    <w:rsid w:val="004632BE"/>
    <w:rsid w:val="004B560A"/>
    <w:rsid w:val="004B73F9"/>
    <w:rsid w:val="004C0E34"/>
    <w:rsid w:val="004E7457"/>
    <w:rsid w:val="004F5195"/>
    <w:rsid w:val="004F77FB"/>
    <w:rsid w:val="0050324E"/>
    <w:rsid w:val="00522361"/>
    <w:rsid w:val="005311FB"/>
    <w:rsid w:val="00542363"/>
    <w:rsid w:val="00557D50"/>
    <w:rsid w:val="00564916"/>
    <w:rsid w:val="00577830"/>
    <w:rsid w:val="0058179B"/>
    <w:rsid w:val="005A0330"/>
    <w:rsid w:val="005A4A01"/>
    <w:rsid w:val="005A4E3D"/>
    <w:rsid w:val="005B0E1C"/>
    <w:rsid w:val="006135E5"/>
    <w:rsid w:val="00613F2B"/>
    <w:rsid w:val="006432C6"/>
    <w:rsid w:val="0064423C"/>
    <w:rsid w:val="00657FDE"/>
    <w:rsid w:val="006759CF"/>
    <w:rsid w:val="00682ABA"/>
    <w:rsid w:val="00687010"/>
    <w:rsid w:val="006A375D"/>
    <w:rsid w:val="006B1204"/>
    <w:rsid w:val="006C3E71"/>
    <w:rsid w:val="006C5164"/>
    <w:rsid w:val="006D387C"/>
    <w:rsid w:val="006E09C9"/>
    <w:rsid w:val="006E3717"/>
    <w:rsid w:val="007007CB"/>
    <w:rsid w:val="0070193B"/>
    <w:rsid w:val="007047D5"/>
    <w:rsid w:val="0077018C"/>
    <w:rsid w:val="00780E65"/>
    <w:rsid w:val="00782455"/>
    <w:rsid w:val="0078549D"/>
    <w:rsid w:val="007B1CC4"/>
    <w:rsid w:val="007D66A5"/>
    <w:rsid w:val="007F0333"/>
    <w:rsid w:val="007F700D"/>
    <w:rsid w:val="00807FF7"/>
    <w:rsid w:val="00814E3E"/>
    <w:rsid w:val="00815CB0"/>
    <w:rsid w:val="0081706F"/>
    <w:rsid w:val="00841657"/>
    <w:rsid w:val="00870642"/>
    <w:rsid w:val="008738CD"/>
    <w:rsid w:val="008A4875"/>
    <w:rsid w:val="008B6FE8"/>
    <w:rsid w:val="008B731D"/>
    <w:rsid w:val="008D5C6D"/>
    <w:rsid w:val="008E1C2F"/>
    <w:rsid w:val="00956BA2"/>
    <w:rsid w:val="0096254D"/>
    <w:rsid w:val="00987C93"/>
    <w:rsid w:val="009A36EC"/>
    <w:rsid w:val="009B190E"/>
    <w:rsid w:val="009D6B03"/>
    <w:rsid w:val="009E0FC2"/>
    <w:rsid w:val="009E2749"/>
    <w:rsid w:val="009E68A7"/>
    <w:rsid w:val="009F114F"/>
    <w:rsid w:val="009F1E93"/>
    <w:rsid w:val="00A07A82"/>
    <w:rsid w:val="00A34563"/>
    <w:rsid w:val="00A67847"/>
    <w:rsid w:val="00A72EFB"/>
    <w:rsid w:val="00A740A5"/>
    <w:rsid w:val="00A8305B"/>
    <w:rsid w:val="00AC14C1"/>
    <w:rsid w:val="00AE0C77"/>
    <w:rsid w:val="00B17D50"/>
    <w:rsid w:val="00B46860"/>
    <w:rsid w:val="00B535F7"/>
    <w:rsid w:val="00B62487"/>
    <w:rsid w:val="00B71D70"/>
    <w:rsid w:val="00B83484"/>
    <w:rsid w:val="00BB4120"/>
    <w:rsid w:val="00BD395E"/>
    <w:rsid w:val="00C023DC"/>
    <w:rsid w:val="00C05B0A"/>
    <w:rsid w:val="00C07514"/>
    <w:rsid w:val="00C15DAC"/>
    <w:rsid w:val="00C3519B"/>
    <w:rsid w:val="00C4652C"/>
    <w:rsid w:val="00C609F5"/>
    <w:rsid w:val="00C86C66"/>
    <w:rsid w:val="00CB09BD"/>
    <w:rsid w:val="00CE6844"/>
    <w:rsid w:val="00D03064"/>
    <w:rsid w:val="00D03297"/>
    <w:rsid w:val="00D366F4"/>
    <w:rsid w:val="00D372A0"/>
    <w:rsid w:val="00D47444"/>
    <w:rsid w:val="00D7277C"/>
    <w:rsid w:val="00D74F8B"/>
    <w:rsid w:val="00D95D1F"/>
    <w:rsid w:val="00DB553E"/>
    <w:rsid w:val="00DB70E7"/>
    <w:rsid w:val="00DC1E0E"/>
    <w:rsid w:val="00DE3D18"/>
    <w:rsid w:val="00E20FE6"/>
    <w:rsid w:val="00E3555A"/>
    <w:rsid w:val="00E64542"/>
    <w:rsid w:val="00E92BE9"/>
    <w:rsid w:val="00EB20C0"/>
    <w:rsid w:val="00EB7F75"/>
    <w:rsid w:val="00ED10CA"/>
    <w:rsid w:val="00ED4B89"/>
    <w:rsid w:val="00EE7358"/>
    <w:rsid w:val="00EE774C"/>
    <w:rsid w:val="00EF7C97"/>
    <w:rsid w:val="00F20410"/>
    <w:rsid w:val="00F219A5"/>
    <w:rsid w:val="00F64E56"/>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 w:type="paragraph" w:customStyle="1" w:styleId="BasiccopyLMC">
    <w:name w:val="Basic copy_LMC"/>
    <w:basedOn w:val="Normal"/>
    <w:link w:val="BasiccopyLMCChar"/>
    <w:qFormat/>
    <w:rsid w:val="008A4875"/>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8A4875"/>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267039991">
      <w:bodyDiv w:val="1"/>
      <w:marLeft w:val="0"/>
      <w:marRight w:val="0"/>
      <w:marTop w:val="0"/>
      <w:marBottom w:val="0"/>
      <w:divBdr>
        <w:top w:val="none" w:sz="0" w:space="0" w:color="auto"/>
        <w:left w:val="none" w:sz="0" w:space="0" w:color="auto"/>
        <w:bottom w:val="none" w:sz="0" w:space="0" w:color="auto"/>
        <w:right w:val="none" w:sz="0" w:space="0" w:color="auto"/>
      </w:divBdr>
    </w:div>
    <w:div w:id="1369330917">
      <w:bodyDiv w:val="1"/>
      <w:marLeft w:val="0"/>
      <w:marRight w:val="0"/>
      <w:marTop w:val="0"/>
      <w:marBottom w:val="0"/>
      <w:divBdr>
        <w:top w:val="none" w:sz="0" w:space="0" w:color="auto"/>
        <w:left w:val="none" w:sz="0" w:space="0" w:color="auto"/>
        <w:bottom w:val="none" w:sz="0" w:space="0" w:color="auto"/>
        <w:right w:val="none" w:sz="0" w:space="0" w:color="auto"/>
      </w:divBdr>
      <w:divsChild>
        <w:div w:id="845630801">
          <w:marLeft w:val="-225"/>
          <w:marRight w:val="-225"/>
          <w:marTop w:val="0"/>
          <w:marBottom w:val="0"/>
          <w:divBdr>
            <w:top w:val="none" w:sz="0" w:space="0" w:color="auto"/>
            <w:left w:val="none" w:sz="0" w:space="0" w:color="auto"/>
            <w:bottom w:val="none" w:sz="0" w:space="0" w:color="auto"/>
            <w:right w:val="none" w:sz="0" w:space="0" w:color="auto"/>
          </w:divBdr>
          <w:divsChild>
            <w:div w:id="1424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409907">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7D276E7C-0088-4958-BDF8-6E3EC1E6B373}"/>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82</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2020-08-19T00:48:00Z</dcterms:created>
  <dcterms:modified xsi:type="dcterms:W3CDTF">2020-08-19T02:21:00Z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