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group style="position:absolute;margin-left:83.208pt;margin-top:72.410004pt;width:289.95pt;height:324.55pt;mso-position-horizontal-relative:page;mso-position-vertical-relative:page;z-index:-251936768" coordorigin="1664,1448" coordsize="5799,6491">
            <v:line style="position:absolute" from="1671,1452" to="7463,1452" stroked="true" strokeweight=".36pt" strokecolor="#000000">
              <v:stroke dashstyle="solid"/>
            </v:line>
            <v:line style="position:absolute" from="1668,1448" to="1668,7939" stroked="true" strokeweight=".36pt" strokecolor="#000000">
              <v:stroke dashstyle="solid"/>
            </v:line>
            <v:line style="position:absolute" from="7459,1455" to="7459,7939" stroked="true" strokeweight=".35999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600;top:1550;width:3928;height:657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770" w:right="-19" w:hanging="771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NICS Firearm Background Checks Top 10 Highest Days</w:t>
                    </w:r>
                  </w:p>
                </w:txbxContent>
              </v:textbox>
              <w10:wrap type="none"/>
            </v:shape>
            <v:shape style="position:absolute;left:2946;top:2683;width:3252;height:248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November 30, 1998 - June 30, 2020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18.869995pt;margin-top:72.410004pt;width:289.95pt;height:324.55pt;mso-position-horizontal-relative:page;mso-position-vertical-relative:page;z-index:-251933696" coordorigin="8377,1448" coordsize="5799,6491">
            <v:line style="position:absolute" from="8381,1448" to="8381,7939" stroked="true" strokeweight=".35999pt" strokecolor="#000000">
              <v:stroke dashstyle="solid"/>
            </v:line>
            <v:line style="position:absolute" from="14173,1455" to="14173,7939" stroked="true" strokeweight=".35999pt" strokecolor="#000000">
              <v:stroke dashstyle="solid"/>
            </v:line>
            <v:line style="position:absolute" from="8385,1452" to="14176,1452" stroked="true" strokeweight=".36pt" strokecolor="#000000">
              <v:stroke dashstyle="solid"/>
            </v:line>
            <v:shape style="position:absolute;left:9314;top:1550;width:3928;height:657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677" w:right="-19" w:hanging="678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NICS Firearm Background Checks Top 10 Highest Weeks</w:t>
                    </w:r>
                  </w:p>
                </w:txbxContent>
              </v:textbox>
              <w10:wrap type="none"/>
            </v:shape>
            <v:shape style="position:absolute;left:9659;top:2683;width:3252;height:248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November 30, 1998 - June 30, 2020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pStyle w:val="BodyText"/>
        <w:tabs>
          <w:tab w:pos="6941" w:val="left" w:leader="none"/>
        </w:tabs>
        <w:ind w:left="227"/>
      </w:pPr>
      <w:r>
        <w:rPr/>
        <w:pict>
          <v:shape style="width:289.6pt;height:232.4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40"/>
                    <w:gridCol w:w="2771"/>
                    <w:gridCol w:w="2179"/>
                  </w:tblGrid>
                  <w:tr>
                    <w:trPr>
                      <w:trHeight w:val="319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left="190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Rank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left="1425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Date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right="185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Total Checks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spacing w:before="32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1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spacing w:before="32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Mar 20, 2020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spacing w:before="32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210,308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2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Nov 24, 2017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203,086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3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Nov 29, 2019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202,465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4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Sat, Mar 21, 2020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185,751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5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Thu, Mar 19, 2020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185,742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6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Nov 25, 2016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185,713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7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Nov 27, 2015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185,345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8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Fri, Nov 23, 2018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182,093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0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9</w:t>
                        </w:r>
                      </w:p>
                    </w:tc>
                    <w:tc>
                      <w:tcPr>
                        <w:tcW w:w="2771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Tue, Mar 17, 2020</w:t>
                        </w:r>
                      </w:p>
                    </w:tc>
                    <w:tc>
                      <w:tcPr>
                        <w:tcW w:w="2179" w:type="dxa"/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180,192</w:t>
                        </w:r>
                      </w:p>
                    </w:tc>
                  </w:tr>
                  <w:tr>
                    <w:trPr>
                      <w:trHeight w:val="649" w:hRule="atLeast"/>
                    </w:trPr>
                    <w:tc>
                      <w:tcPr>
                        <w:tcW w:w="840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10</w:t>
                        </w:r>
                      </w:p>
                    </w:tc>
                    <w:tc>
                      <w:tcPr>
                        <w:tcW w:w="277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14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Wed, Mar 18, 2020</w:t>
                        </w:r>
                      </w:p>
                    </w:tc>
                    <w:tc>
                      <w:tcPr>
                        <w:tcW w:w="2179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178,555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  <w:r>
        <w:rPr/>
        <w:tab/>
      </w:r>
      <w:r>
        <w:rPr/>
        <w:pict>
          <v:shape style="width:289.6pt;height:232.4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41"/>
                    <w:gridCol w:w="3041"/>
                    <w:gridCol w:w="1911"/>
                  </w:tblGrid>
                  <w:tr>
                    <w:trPr>
                      <w:trHeight w:val="319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left="190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Rank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left="1355" w:right="1076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Dates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spacing w:line="279" w:lineRule="exact" w:before="0"/>
                          <w:ind w:right="187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  <w:u w:val="single"/>
                          </w:rPr>
                          <w:t>Total Checks</w:t>
                        </w:r>
                      </w:p>
                    </w:tc>
                  </w:tr>
                  <w:tr>
                    <w:trPr>
                      <w:trHeight w:val="385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spacing w:before="32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1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spacing w:before="32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03/16/2020 - 03/22/2020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spacing w:before="32"/>
                          <w:ind w:right="225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1,197,788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2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06/01/2020 - 06/07/2020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5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1,004,798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3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12/17/2012 - 12/23/2012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953,613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4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06/15/2020 - 06/21/2020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902,452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5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06/08/2020 - 06/14/2020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897,845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6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06/22/2020 - 06/28/2020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873,385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7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12/14/2015 - 12/20/2015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839,109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8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03/09/2020 - 03/15/2020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839,075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841" w:type="dxa"/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w w:val="100"/>
                            <w:sz w:val="25"/>
                          </w:rPr>
                          <w:t>9</w:t>
                        </w:r>
                      </w:p>
                    </w:tc>
                    <w:tc>
                      <w:tcPr>
                        <w:tcW w:w="3041" w:type="dxa"/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02/24/2020 - 03/01/2020</w:t>
                        </w:r>
                      </w:p>
                    </w:tc>
                    <w:tc>
                      <w:tcPr>
                        <w:tcW w:w="1911" w:type="dxa"/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797,221</w:t>
                        </w:r>
                      </w:p>
                    </w:tc>
                  </w:tr>
                  <w:tr>
                    <w:trPr>
                      <w:trHeight w:val="649" w:hRule="atLeast"/>
                    </w:trPr>
                    <w:tc>
                      <w:tcPr>
                        <w:tcW w:w="84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21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10</w:t>
                        </w:r>
                      </w:p>
                    </w:tc>
                    <w:tc>
                      <w:tcPr>
                        <w:tcW w:w="304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left="113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12/07/2015 - 12/13/2015</w:t>
                        </w:r>
                      </w:p>
                    </w:tc>
                    <w:tc>
                      <w:tcPr>
                        <w:tcW w:w="1911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ind w:right="224"/>
                          <w:jc w:val="right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790,950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5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5"/>
        <w:gridCol w:w="11779"/>
      </w:tblGrid>
      <w:tr>
        <w:trPr>
          <w:trHeight w:val="816" w:hRule="atLeast"/>
        </w:trPr>
        <w:tc>
          <w:tcPr>
            <w:tcW w:w="955" w:type="dxa"/>
          </w:tcPr>
          <w:p>
            <w:pPr>
              <w:pStyle w:val="TableParagraph"/>
              <w:spacing w:line="246" w:lineRule="exact" w:before="0"/>
              <w:ind w:left="200"/>
              <w:rPr>
                <w:sz w:val="22"/>
              </w:rPr>
            </w:pPr>
            <w:r>
              <w:rPr>
                <w:sz w:val="22"/>
              </w:rPr>
              <w:t>NOTE:</w:t>
            </w:r>
          </w:p>
        </w:tc>
        <w:tc>
          <w:tcPr>
            <w:tcW w:w="11779" w:type="dxa"/>
          </w:tcPr>
          <w:p>
            <w:pPr>
              <w:pStyle w:val="TableParagraph"/>
              <w:spacing w:line="266" w:lineRule="auto" w:before="0"/>
              <w:ind w:left="102" w:right="231"/>
              <w:rPr>
                <w:sz w:val="22"/>
              </w:rPr>
            </w:pPr>
            <w:r>
              <w:rPr>
                <w:spacing w:val="-3"/>
                <w:sz w:val="22"/>
              </w:rPr>
              <w:t>These </w:t>
            </w:r>
            <w:r>
              <w:rPr>
                <w:sz w:val="22"/>
              </w:rPr>
              <w:t>statistics </w:t>
            </w:r>
            <w:r>
              <w:rPr>
                <w:spacing w:val="-3"/>
                <w:sz w:val="22"/>
              </w:rPr>
              <w:t>represent </w:t>
            </w:r>
            <w:r>
              <w:rPr>
                <w:sz w:val="22"/>
              </w:rPr>
              <w:t>the </w:t>
            </w:r>
            <w:r>
              <w:rPr>
                <w:spacing w:val="-4"/>
                <w:sz w:val="22"/>
              </w:rPr>
              <w:t>number </w:t>
            </w:r>
            <w:r>
              <w:rPr>
                <w:sz w:val="22"/>
              </w:rPr>
              <w:t>of firearm background  checks initiated  </w:t>
            </w:r>
            <w:r>
              <w:rPr>
                <w:spacing w:val="-3"/>
                <w:sz w:val="22"/>
              </w:rPr>
              <w:t>through </w:t>
            </w:r>
            <w:r>
              <w:rPr>
                <w:sz w:val="22"/>
              </w:rPr>
              <w:t>the </w:t>
            </w:r>
            <w:r>
              <w:rPr>
                <w:spacing w:val="-3"/>
                <w:sz w:val="22"/>
              </w:rPr>
              <w:t>NICS.  </w:t>
            </w:r>
            <w:r>
              <w:rPr>
                <w:sz w:val="22"/>
              </w:rPr>
              <w:t>They do </w:t>
            </w:r>
            <w:r>
              <w:rPr>
                <w:spacing w:val="-3"/>
                <w:sz w:val="22"/>
              </w:rPr>
              <w:t>not  represent  </w:t>
            </w:r>
            <w:r>
              <w:rPr>
                <w:sz w:val="22"/>
              </w:rPr>
              <w:t>the </w:t>
            </w:r>
            <w:r>
              <w:rPr>
                <w:spacing w:val="-4"/>
                <w:sz w:val="22"/>
              </w:rPr>
              <w:t>number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firearms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sold.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Based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varying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state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laws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9"/>
                <w:sz w:val="22"/>
              </w:rPr>
              <w:t> </w:t>
            </w:r>
            <w:r>
              <w:rPr>
                <w:spacing w:val="-3"/>
                <w:sz w:val="22"/>
              </w:rPr>
              <w:t>purchase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3"/>
                <w:sz w:val="22"/>
              </w:rPr>
              <w:t>scenarios,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3"/>
                <w:sz w:val="22"/>
              </w:rPr>
              <w:t>one-to-one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correlation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cannot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made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between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</w:p>
          <w:p>
            <w:pPr>
              <w:pStyle w:val="TableParagraph"/>
              <w:spacing w:line="234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firearm background check and a firearm sale.</w:t>
            </w:r>
          </w:p>
        </w:tc>
      </w:tr>
    </w:tbl>
    <w:sectPr>
      <w:type w:val="continuous"/>
      <w:pgSz w:w="15840" w:h="12240" w:orient="landscape"/>
      <w:pgMar w:top="1140" w:bottom="28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57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2020-07-01T14:45:43Z</dcterms:created>
  <dcterms:modified xsi:type="dcterms:W3CDTF">2020-07-01T14:45:43Z</dcterms:modified>
</cp:coreProperties>
</file>