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C8DE7" w14:textId="77777777" w:rsidR="00B534BB" w:rsidRDefault="00EB6033">
      <w:pPr>
        <w:jc w:val="center"/>
        <w:rPr>
          <w:rFonts w:ascii="Lato" w:eastAsia="Lato" w:hAnsi="Lato" w:cs="Lato"/>
          <w:b/>
          <w:bCs/>
          <w:sz w:val="32"/>
          <w:szCs w:val="32"/>
        </w:rPr>
      </w:pPr>
      <w:r>
        <w:rPr>
          <w:rFonts w:ascii="Lato" w:eastAsia="Lato" w:hAnsi="Lato" w:cs="Lato"/>
          <w:b/>
          <w:bCs/>
          <w:sz w:val="32"/>
          <w:szCs w:val="32"/>
        </w:rPr>
        <w:t>Secondary vs. Primary Sources Lesson Plan</w:t>
      </w:r>
    </w:p>
    <w:p w14:paraId="5EACAC8F" w14:textId="77777777" w:rsidR="00B534BB" w:rsidRDefault="00EB6033">
      <w:pPr>
        <w:rPr>
          <w:rFonts w:ascii="Lato" w:eastAsia="Lato" w:hAnsi="Lato" w:cs="Lato"/>
        </w:rPr>
      </w:pPr>
      <w:r>
        <w:rPr>
          <w:rFonts w:ascii="Lato" w:eastAsia="Lato" w:hAnsi="Lato" w:cs="Lato"/>
          <w:b/>
          <w:bCs/>
        </w:rPr>
        <w:t xml:space="preserve">Lesson Summary: </w:t>
      </w:r>
      <w:r>
        <w:rPr>
          <w:rFonts w:ascii="Lato" w:eastAsia="Lato" w:hAnsi="Lato" w:cs="Lato"/>
        </w:rPr>
        <w:t xml:space="preserve">Students will compare a secondary source to the primary sources that it utilizes and analyze how secondary sources can influence the interpretation of an event. </w:t>
      </w:r>
    </w:p>
    <w:p w14:paraId="2164DB65" w14:textId="77777777" w:rsidR="00B534BB" w:rsidRDefault="00EB6033">
      <w:pPr>
        <w:rPr>
          <w:rFonts w:ascii="Lato" w:eastAsia="Lato" w:hAnsi="Lato" w:cs="Lato"/>
        </w:rPr>
      </w:pPr>
      <w:r>
        <w:rPr>
          <w:rFonts w:ascii="Lato" w:eastAsia="Lato" w:hAnsi="Lato" w:cs="Lato"/>
          <w:b/>
          <w:bCs/>
        </w:rPr>
        <w:t xml:space="preserve">Grade Level: </w:t>
      </w:r>
      <w:r>
        <w:rPr>
          <w:rFonts w:ascii="Lato" w:eastAsia="Lato" w:hAnsi="Lato" w:cs="Lato"/>
        </w:rPr>
        <w:t>9-12</w:t>
      </w:r>
    </w:p>
    <w:p w14:paraId="35416551" w14:textId="77777777" w:rsidR="00B534BB" w:rsidRDefault="00EB6033">
      <w:pPr>
        <w:rPr>
          <w:rFonts w:ascii="Lato" w:eastAsia="Lato" w:hAnsi="Lato" w:cs="Lato"/>
        </w:rPr>
      </w:pPr>
      <w:r>
        <w:rPr>
          <w:rFonts w:ascii="Lato" w:eastAsia="Lato" w:hAnsi="Lato" w:cs="Lato"/>
          <w:b/>
          <w:bCs/>
        </w:rPr>
        <w:t xml:space="preserve">Duration: </w:t>
      </w:r>
      <w:r>
        <w:rPr>
          <w:rFonts w:ascii="Lato" w:eastAsia="Lato" w:hAnsi="Lato" w:cs="Lato"/>
        </w:rPr>
        <w:t>1 hour</w:t>
      </w:r>
    </w:p>
    <w:p w14:paraId="28D8B409" w14:textId="77777777" w:rsidR="00B534BB" w:rsidRDefault="00EB6033">
      <w:pPr>
        <w:rPr>
          <w:rFonts w:ascii="Lato" w:eastAsia="Lato" w:hAnsi="Lato" w:cs="Lato"/>
          <w:b/>
          <w:bCs/>
        </w:rPr>
      </w:pPr>
      <w:r>
        <w:rPr>
          <w:rFonts w:ascii="Lato" w:eastAsia="Lato" w:hAnsi="Lato" w:cs="Lato"/>
          <w:b/>
          <w:bCs/>
        </w:rPr>
        <w:t xml:space="preserve">Common Core Objectives, History/Social Studies: </w:t>
      </w:r>
    </w:p>
    <w:bookmarkStart w:id="0" w:name="bookmark=id.h7ol4o8f5e7l" w:colFirst="0" w:colLast="0"/>
    <w:bookmarkEnd w:id="0"/>
    <w:p w14:paraId="1C7F8E6B" w14:textId="77777777" w:rsidR="00B534BB" w:rsidRDefault="00EB6033">
      <w:pPr>
        <w:rPr>
          <w:rFonts w:ascii="Lato" w:eastAsia="Lato" w:hAnsi="Lato" w:cs="Lato"/>
        </w:rPr>
      </w:pPr>
      <w:r>
        <w:fldChar w:fldCharType="begin"/>
      </w:r>
      <w:r>
        <w:instrText>HYPERLINK "https://www.thecorestandards.org/ELA-Literacy/RH/9-10/1/" \h</w:instrText>
      </w:r>
      <w:r>
        <w:fldChar w:fldCharType="separate"/>
      </w:r>
      <w:r>
        <w:rPr>
          <w:rFonts w:ascii="Lato" w:eastAsia="Lato" w:hAnsi="Lato" w:cs="Lato"/>
          <w:color w:val="467886"/>
          <w:u w:val="single"/>
        </w:rPr>
        <w:t>CCSS.ELA-Literacy.RH.9-10.1</w:t>
      </w:r>
      <w:r>
        <w:fldChar w:fldCharType="end"/>
      </w:r>
      <w:r>
        <w:rPr>
          <w:rFonts w:ascii="Lato" w:eastAsia="Lato" w:hAnsi="Lato" w:cs="Lato"/>
        </w:rPr>
        <w:br/>
        <w:t>Cite specific textual evidence to support analysis of primary and secondary sources, attending to such features as the date and origin of the information.</w:t>
      </w:r>
    </w:p>
    <w:bookmarkStart w:id="1" w:name="bookmark=id.myiayx69izrs" w:colFirst="0" w:colLast="0"/>
    <w:bookmarkEnd w:id="1"/>
    <w:p w14:paraId="64876DD8" w14:textId="77777777" w:rsidR="00B534BB" w:rsidRDefault="00EB6033">
      <w:pPr>
        <w:rPr>
          <w:rFonts w:ascii="Lato" w:eastAsia="Lato" w:hAnsi="Lato" w:cs="Lato"/>
        </w:rPr>
      </w:pPr>
      <w:r>
        <w:fldChar w:fldCharType="begin"/>
      </w:r>
      <w:r>
        <w:instrText>HYPERLINK "https://www.thecorestandards.org/ELA-Literacy/RH/9-10/2/" \h</w:instrText>
      </w:r>
      <w:r>
        <w:fldChar w:fldCharType="separate"/>
      </w:r>
      <w:r>
        <w:rPr>
          <w:rFonts w:ascii="Lato" w:eastAsia="Lato" w:hAnsi="Lato" w:cs="Lato"/>
          <w:color w:val="467886"/>
          <w:u w:val="single"/>
        </w:rPr>
        <w:t>CCSS.ELA-Literacy.RH.9-10.2</w:t>
      </w:r>
      <w:r>
        <w:fldChar w:fldCharType="end"/>
      </w:r>
      <w:r>
        <w:rPr>
          <w:rFonts w:ascii="Lato" w:eastAsia="Lato" w:hAnsi="Lato" w:cs="Lato"/>
        </w:rPr>
        <w:br/>
        <w:t>Determine the central ideas or information of a primary or secondary source; provide an accurate summary of how key events or ideas develop over the course of the text.</w:t>
      </w:r>
    </w:p>
    <w:bookmarkStart w:id="2" w:name="bookmark=id.z74727knzsuo" w:colFirst="0" w:colLast="0"/>
    <w:bookmarkEnd w:id="2"/>
    <w:p w14:paraId="3A8DE28B" w14:textId="77777777" w:rsidR="00B534BB" w:rsidRDefault="00EB6033">
      <w:pPr>
        <w:rPr>
          <w:rFonts w:ascii="Lato" w:eastAsia="Lato" w:hAnsi="Lato" w:cs="Lato"/>
        </w:rPr>
      </w:pPr>
      <w:r>
        <w:fldChar w:fldCharType="begin"/>
      </w:r>
      <w:r>
        <w:instrText>HYPERLINK "https://www.thecorestandards.org/ELA-Literacy/RH/9-10/6/" \h</w:instrText>
      </w:r>
      <w:r>
        <w:fldChar w:fldCharType="separate"/>
      </w:r>
      <w:r>
        <w:rPr>
          <w:rFonts w:ascii="Lato" w:eastAsia="Lato" w:hAnsi="Lato" w:cs="Lato"/>
          <w:color w:val="467886"/>
          <w:u w:val="single"/>
        </w:rPr>
        <w:t>CCSS.ELA-Literacy.RH.9-10.6</w:t>
      </w:r>
      <w:r>
        <w:fldChar w:fldCharType="end"/>
      </w:r>
      <w:r>
        <w:rPr>
          <w:rFonts w:ascii="Lato" w:eastAsia="Lato" w:hAnsi="Lato" w:cs="Lato"/>
        </w:rPr>
        <w:br/>
        <w:t>Compare the point of view of two or more authors for how they treat the same or similar topics, including which details they include and emphasize in their respective accounts.</w:t>
      </w:r>
    </w:p>
    <w:bookmarkStart w:id="3" w:name="bookmark=id.bz4pcg2emeob" w:colFirst="0" w:colLast="0"/>
    <w:bookmarkEnd w:id="3"/>
    <w:p w14:paraId="7038B7A0" w14:textId="77777777" w:rsidR="00B534BB" w:rsidRDefault="00EB6033">
      <w:pPr>
        <w:rPr>
          <w:rFonts w:ascii="Lato" w:eastAsia="Lato" w:hAnsi="Lato" w:cs="Lato"/>
        </w:rPr>
      </w:pPr>
      <w:r>
        <w:fldChar w:fldCharType="begin"/>
      </w:r>
      <w:r>
        <w:instrText>HYPERLINK "https://www.thecorestandards.org/ELA-Literacy/RH/11-12/1/" \h</w:instrText>
      </w:r>
      <w:r>
        <w:fldChar w:fldCharType="separate"/>
      </w:r>
      <w:r>
        <w:rPr>
          <w:rFonts w:ascii="Lato" w:eastAsia="Lato" w:hAnsi="Lato" w:cs="Lato"/>
          <w:color w:val="467886"/>
          <w:u w:val="single"/>
        </w:rPr>
        <w:t>CCSS.ELA-Literacy.RH.11-12.1</w:t>
      </w:r>
      <w:r>
        <w:fldChar w:fldCharType="end"/>
      </w:r>
      <w:r>
        <w:rPr>
          <w:rFonts w:ascii="Lato" w:eastAsia="Lato" w:hAnsi="Lato" w:cs="Lato"/>
        </w:rPr>
        <w:br/>
        <w:t>Cite specific textual evidence to support analysis of primary and secondary sources, connecting insights gained from specific details to an understanding of the text as a whole.</w:t>
      </w:r>
    </w:p>
    <w:bookmarkStart w:id="4" w:name="bookmark=id.wblv3y51eo7" w:colFirst="0" w:colLast="0"/>
    <w:bookmarkEnd w:id="4"/>
    <w:p w14:paraId="4AE959C1" w14:textId="77777777" w:rsidR="00B534BB" w:rsidRDefault="00EB6033">
      <w:pPr>
        <w:rPr>
          <w:rFonts w:ascii="Lato" w:eastAsia="Lato" w:hAnsi="Lato" w:cs="Lato"/>
        </w:rPr>
      </w:pPr>
      <w:r>
        <w:fldChar w:fldCharType="begin"/>
      </w:r>
      <w:r>
        <w:instrText>HYPERLINK "https://www.thecorestandards.org/ELA-Literacy/RH/11-12/2/" \h</w:instrText>
      </w:r>
      <w:r>
        <w:fldChar w:fldCharType="separate"/>
      </w:r>
      <w:r>
        <w:rPr>
          <w:rFonts w:ascii="Lato" w:eastAsia="Lato" w:hAnsi="Lato" w:cs="Lato"/>
          <w:color w:val="467886"/>
          <w:u w:val="single"/>
        </w:rPr>
        <w:t>CCSS.ELA-Literacy.RH.11-12.2</w:t>
      </w:r>
      <w:r>
        <w:fldChar w:fldCharType="end"/>
      </w:r>
      <w:r>
        <w:rPr>
          <w:rFonts w:ascii="Lato" w:eastAsia="Lato" w:hAnsi="Lato" w:cs="Lato"/>
        </w:rPr>
        <w:br/>
        <w:t>Determine the central ideas or information of a primary or secondary source; provide an accurate summary that makes clear the relationships among the key details and ideas.</w:t>
      </w:r>
    </w:p>
    <w:p w14:paraId="752518DA" w14:textId="77777777" w:rsidR="00B534BB" w:rsidRDefault="00EB6033">
      <w:pPr>
        <w:rPr>
          <w:rFonts w:ascii="Lato" w:eastAsia="Lato" w:hAnsi="Lato" w:cs="Lato"/>
          <w:b/>
          <w:bCs/>
        </w:rPr>
      </w:pPr>
      <w:r>
        <w:rPr>
          <w:rFonts w:ascii="Lato" w:eastAsia="Lato" w:hAnsi="Lato" w:cs="Lato"/>
          <w:b/>
          <w:bCs/>
        </w:rPr>
        <w:t xml:space="preserve">Missouri State Standards, Social Studies, Grades 9-12: </w:t>
      </w:r>
    </w:p>
    <w:p w14:paraId="2B3757EF" w14:textId="77777777" w:rsidR="00B534BB" w:rsidRDefault="00EB6033">
      <w:pPr>
        <w:rPr>
          <w:rFonts w:ascii="Lato" w:eastAsia="Lato" w:hAnsi="Lato" w:cs="Lato"/>
        </w:rPr>
      </w:pPr>
      <w:hyperlink r:id="rId9">
        <w:r>
          <w:rPr>
            <w:rFonts w:ascii="Lato" w:eastAsia="Lato" w:hAnsi="Lato" w:cs="Lato"/>
            <w:color w:val="467886"/>
            <w:u w:val="single"/>
          </w:rPr>
          <w:t>1.5.C.</w:t>
        </w:r>
      </w:hyperlink>
    </w:p>
    <w:p w14:paraId="053545AB" w14:textId="77777777" w:rsidR="00B534BB" w:rsidRDefault="00EB6033">
      <w:pPr>
        <w:rPr>
          <w:rFonts w:ascii="Lato" w:eastAsia="Lato" w:hAnsi="Lato" w:cs="Lato"/>
          <w:b/>
          <w:bCs/>
        </w:rPr>
      </w:pPr>
      <w:r>
        <w:rPr>
          <w:rFonts w:ascii="Lato" w:eastAsia="Lato" w:hAnsi="Lato" w:cs="Lato"/>
        </w:rPr>
        <w:t>Trace changes in military strategies and technologies as a response to the challenges of the Cold War.</w:t>
      </w:r>
    </w:p>
    <w:p w14:paraId="67BE5C6D" w14:textId="77777777" w:rsidR="00B534BB" w:rsidRDefault="00EB6033">
      <w:pPr>
        <w:rPr>
          <w:rFonts w:ascii="Lato" w:eastAsia="Lato" w:hAnsi="Lato" w:cs="Lato"/>
        </w:rPr>
      </w:pPr>
      <w:r>
        <w:br w:type="page"/>
      </w:r>
    </w:p>
    <w:p w14:paraId="0CECC15B" w14:textId="77777777" w:rsidR="00B534BB" w:rsidRDefault="00EB6033">
      <w:pPr>
        <w:rPr>
          <w:rFonts w:ascii="Lato" w:eastAsia="Lato" w:hAnsi="Lato" w:cs="Lato"/>
          <w:b/>
          <w:bCs/>
        </w:rPr>
      </w:pPr>
      <w:r>
        <w:rPr>
          <w:rFonts w:ascii="Lato" w:eastAsia="Lato" w:hAnsi="Lato" w:cs="Lato"/>
          <w:b/>
          <w:bCs/>
        </w:rPr>
        <w:lastRenderedPageBreak/>
        <w:t>Activities</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534BB" w14:paraId="3514C43E" w14:textId="77777777">
        <w:tc>
          <w:tcPr>
            <w:tcW w:w="9360" w:type="dxa"/>
            <w:tcMar>
              <w:top w:w="100" w:type="dxa"/>
              <w:left w:w="100" w:type="dxa"/>
              <w:bottom w:w="100" w:type="dxa"/>
              <w:right w:w="100" w:type="dxa"/>
            </w:tcMar>
          </w:tcPr>
          <w:p w14:paraId="6F671B7C" w14:textId="77777777" w:rsidR="00EF5744" w:rsidRDefault="00EF5744" w:rsidP="00EF5744">
            <w:pPr>
              <w:widowControl w:val="0"/>
              <w:numPr>
                <w:ilvl w:val="0"/>
                <w:numId w:val="3"/>
              </w:numPr>
              <w:pBdr>
                <w:top w:val="nil"/>
                <w:left w:val="nil"/>
                <w:bottom w:val="nil"/>
                <w:right w:val="nil"/>
                <w:between w:val="nil"/>
              </w:pBdr>
              <w:spacing w:after="0" w:line="240" w:lineRule="auto"/>
              <w:rPr>
                <w:rFonts w:ascii="Lato" w:eastAsia="Lato" w:hAnsi="Lato" w:cs="Lato"/>
              </w:rPr>
            </w:pPr>
            <w:r>
              <w:rPr>
                <w:rFonts w:ascii="Lato" w:eastAsia="Lato" w:hAnsi="Lato" w:cs="Lato"/>
              </w:rPr>
              <w:t xml:space="preserve">Journal (5 minutes) Students will write one paragraph (5-7 sentences) telling a story about something that happened to them in the last year. Would someone else tell the story differently? </w:t>
            </w:r>
          </w:p>
          <w:p w14:paraId="619649CC" w14:textId="77777777" w:rsidR="00EF5744" w:rsidRDefault="00EF5744" w:rsidP="00EF5744">
            <w:pPr>
              <w:widowControl w:val="0"/>
              <w:numPr>
                <w:ilvl w:val="0"/>
                <w:numId w:val="3"/>
              </w:numPr>
              <w:pBdr>
                <w:top w:val="nil"/>
                <w:left w:val="nil"/>
                <w:bottom w:val="nil"/>
                <w:right w:val="nil"/>
                <w:between w:val="nil"/>
              </w:pBdr>
              <w:spacing w:after="0" w:line="240" w:lineRule="auto"/>
              <w:rPr>
                <w:rFonts w:ascii="Lato" w:eastAsia="Lato" w:hAnsi="Lato" w:cs="Lato"/>
              </w:rPr>
            </w:pPr>
            <w:r>
              <w:rPr>
                <w:rFonts w:ascii="Lato" w:eastAsia="Lato" w:hAnsi="Lato" w:cs="Lato"/>
              </w:rPr>
              <w:t xml:space="preserve">Think-Pair-Share (5 minutes) Have students talk to a seat partner about what they think the difference is between primary and secondary sources. End with providing a definition of primary and secondary sources for the class for review. </w:t>
            </w:r>
          </w:p>
          <w:p w14:paraId="5D9A0AB9" w14:textId="77777777" w:rsidR="00EF5744" w:rsidRDefault="00EF5744" w:rsidP="00EF5744">
            <w:pPr>
              <w:widowControl w:val="0"/>
              <w:numPr>
                <w:ilvl w:val="0"/>
                <w:numId w:val="3"/>
              </w:numPr>
              <w:pBdr>
                <w:top w:val="nil"/>
                <w:left w:val="nil"/>
                <w:bottom w:val="nil"/>
                <w:right w:val="nil"/>
                <w:between w:val="nil"/>
              </w:pBdr>
              <w:spacing w:after="0" w:line="240" w:lineRule="auto"/>
              <w:rPr>
                <w:rFonts w:ascii="Lato" w:eastAsia="Lato" w:hAnsi="Lato" w:cs="Lato"/>
              </w:rPr>
            </w:pPr>
            <w:r>
              <w:rPr>
                <w:rFonts w:ascii="Lato" w:eastAsia="Lato" w:hAnsi="Lato" w:cs="Lato"/>
              </w:rPr>
              <w:t xml:space="preserve">Annotation (15 minutes) Pass out the Primary vs. Secondary Source Worksheet and Handout A. Handout A is an excerpt of a secondary source on the papers of Missouri Congressman, William J. Randall. Students will annotate the excerpt. </w:t>
            </w:r>
          </w:p>
          <w:p w14:paraId="4D8C65CC" w14:textId="77777777" w:rsidR="00397796" w:rsidRDefault="00EF5744" w:rsidP="00397796">
            <w:pPr>
              <w:pStyle w:val="ListParagraph"/>
              <w:widowControl w:val="0"/>
              <w:numPr>
                <w:ilvl w:val="0"/>
                <w:numId w:val="3"/>
              </w:numPr>
              <w:pBdr>
                <w:top w:val="nil"/>
                <w:left w:val="nil"/>
                <w:bottom w:val="nil"/>
                <w:right w:val="nil"/>
                <w:between w:val="nil"/>
              </w:pBdr>
              <w:spacing w:after="0" w:line="240" w:lineRule="auto"/>
              <w:rPr>
                <w:rFonts w:ascii="Lato" w:eastAsia="Lato" w:hAnsi="Lato" w:cs="Lato"/>
              </w:rPr>
            </w:pPr>
            <w:r>
              <w:rPr>
                <w:rFonts w:ascii="Lato" w:eastAsia="Lato" w:hAnsi="Lato" w:cs="Lato"/>
              </w:rPr>
              <w:t xml:space="preserve">Comparison and Analysis (30 minutes) Pass out Handout B. This is one of the primary sources referenced in Handout A. Once they’ve read this primary source, they will write a paragraph analyzing the two sources and how a secondary source can influence a primary </w:t>
            </w:r>
            <w:proofErr w:type="spellStart"/>
            <w:r>
              <w:rPr>
                <w:rFonts w:ascii="Lato" w:eastAsia="Lato" w:hAnsi="Lato" w:cs="Lato"/>
              </w:rPr>
              <w:t>source.</w:t>
            </w:r>
            <w:proofErr w:type="spellEnd"/>
          </w:p>
          <w:p w14:paraId="1FF5D5B8" w14:textId="5AE91BA9" w:rsidR="00EF5744" w:rsidRPr="00397796" w:rsidRDefault="00EF5744" w:rsidP="00397796">
            <w:pPr>
              <w:pStyle w:val="ListParagraph"/>
              <w:widowControl w:val="0"/>
              <w:numPr>
                <w:ilvl w:val="0"/>
                <w:numId w:val="5"/>
              </w:numPr>
              <w:pBdr>
                <w:top w:val="nil"/>
                <w:left w:val="nil"/>
                <w:bottom w:val="nil"/>
                <w:right w:val="nil"/>
                <w:between w:val="nil"/>
              </w:pBdr>
              <w:spacing w:after="0" w:line="240" w:lineRule="auto"/>
              <w:rPr>
                <w:rFonts w:ascii="Lato" w:eastAsia="Lato" w:hAnsi="Lato" w:cs="Lato"/>
              </w:rPr>
            </w:pPr>
            <w:r w:rsidRPr="00397796">
              <w:rPr>
                <w:rFonts w:ascii="Lato" w:eastAsia="Lato" w:hAnsi="Lato" w:cs="Lato"/>
              </w:rPr>
              <w:t>NOTE- Handout B is a PDF and must be downloaded separately. You will find the file below the link for “Compare and Contrast Primary vs. Secondary Sources”</w:t>
            </w:r>
            <w:r w:rsidR="00397796" w:rsidRPr="00397796">
              <w:rPr>
                <w:rFonts w:ascii="Lato" w:eastAsia="Lato" w:hAnsi="Lato" w:cs="Lato"/>
              </w:rPr>
              <w:t xml:space="preserve"> </w:t>
            </w:r>
          </w:p>
        </w:tc>
      </w:tr>
    </w:tbl>
    <w:p w14:paraId="78B9548A" w14:textId="17FFCC2E" w:rsidR="00A74C67" w:rsidRDefault="00A74C67">
      <w:pPr>
        <w:rPr>
          <w:rFonts w:ascii="Lato" w:eastAsia="Lato" w:hAnsi="Lato" w:cs="Lato"/>
          <w:b/>
          <w:bCs/>
        </w:rPr>
      </w:pPr>
    </w:p>
    <w:p w14:paraId="4B48C725" w14:textId="77777777" w:rsidR="00A74C67" w:rsidRDefault="00A74C67">
      <w:pPr>
        <w:rPr>
          <w:rFonts w:ascii="Lato" w:eastAsia="Lato" w:hAnsi="Lato" w:cs="Lato"/>
          <w:b/>
          <w:bCs/>
        </w:rPr>
      </w:pPr>
      <w:r>
        <w:rPr>
          <w:rFonts w:ascii="Lato" w:eastAsia="Lato" w:hAnsi="Lato" w:cs="Lato"/>
          <w:b/>
          <w:bCs/>
        </w:rPr>
        <w:br w:type="page"/>
      </w:r>
    </w:p>
    <w:p w14:paraId="1033AFA6" w14:textId="02554BC1" w:rsidR="00515EBC" w:rsidRDefault="00515EBC" w:rsidP="00515EBC">
      <w:pPr>
        <w:contextualSpacing/>
        <w:rPr>
          <w:rFonts w:ascii="Lato" w:hAnsi="Lato"/>
        </w:rPr>
      </w:pPr>
      <w:r>
        <w:rPr>
          <w:rFonts w:ascii="Lato" w:hAnsi="Lato"/>
        </w:rPr>
        <w:lastRenderedPageBreak/>
        <w:t xml:space="preserve">Name: </w:t>
      </w:r>
    </w:p>
    <w:p w14:paraId="697DD52A" w14:textId="22A160BA" w:rsidR="00515EBC" w:rsidRPr="00515EBC" w:rsidRDefault="00515EBC" w:rsidP="00515EBC">
      <w:pPr>
        <w:contextualSpacing/>
        <w:rPr>
          <w:rFonts w:ascii="Lato" w:hAnsi="Lato"/>
        </w:rPr>
      </w:pPr>
      <w:r>
        <w:rPr>
          <w:rFonts w:ascii="Lato" w:hAnsi="Lato"/>
        </w:rPr>
        <w:t xml:space="preserve">Class Period: </w:t>
      </w:r>
      <w:r>
        <w:rPr>
          <w:rFonts w:ascii="Lato" w:hAnsi="Lato"/>
        </w:rPr>
        <w:br/>
        <w:t>Teacher:</w:t>
      </w:r>
    </w:p>
    <w:p w14:paraId="760BAD5B" w14:textId="762BFA71" w:rsidR="00A74C67" w:rsidRPr="0064636E" w:rsidRDefault="00A74C67" w:rsidP="00D41189">
      <w:pPr>
        <w:jc w:val="center"/>
        <w:rPr>
          <w:rFonts w:ascii="Lato" w:hAnsi="Lato"/>
          <w:b/>
          <w:bCs/>
          <w:sz w:val="32"/>
          <w:szCs w:val="32"/>
          <w:u w:val="single"/>
        </w:rPr>
      </w:pPr>
      <w:r w:rsidRPr="0064636E">
        <w:rPr>
          <w:rFonts w:ascii="Lato" w:hAnsi="Lato"/>
          <w:b/>
          <w:bCs/>
          <w:sz w:val="32"/>
          <w:szCs w:val="32"/>
          <w:u w:val="single"/>
        </w:rPr>
        <w:t>Primary vs. Secondary Sources</w:t>
      </w:r>
    </w:p>
    <w:p w14:paraId="48868BE9" w14:textId="77777777" w:rsidR="00A74C67" w:rsidRPr="0064636E" w:rsidRDefault="00A74C67" w:rsidP="00D41189">
      <w:pPr>
        <w:rPr>
          <w:rFonts w:ascii="Lato" w:hAnsi="Lato"/>
          <w:b/>
          <w:bCs/>
          <w:u w:val="single"/>
        </w:rPr>
      </w:pPr>
      <w:r w:rsidRPr="0064636E">
        <w:rPr>
          <w:rFonts w:ascii="Lato" w:hAnsi="Lato"/>
          <w:b/>
          <w:bCs/>
          <w:u w:val="single"/>
        </w:rPr>
        <w:t xml:space="preserve">Annotate: </w:t>
      </w:r>
    </w:p>
    <w:p w14:paraId="6CB25564" w14:textId="77777777" w:rsidR="00A74C67" w:rsidRPr="0042061F" w:rsidRDefault="00A74C67" w:rsidP="00A74C67">
      <w:pPr>
        <w:pStyle w:val="ListParagraph"/>
        <w:numPr>
          <w:ilvl w:val="0"/>
          <w:numId w:val="2"/>
        </w:numPr>
        <w:rPr>
          <w:rFonts w:ascii="Lato" w:hAnsi="Lato"/>
        </w:rPr>
      </w:pPr>
      <w:r w:rsidRPr="0042061F">
        <w:rPr>
          <w:rFonts w:ascii="Lato" w:hAnsi="Lato"/>
        </w:rPr>
        <w:t xml:space="preserve">Read </w:t>
      </w:r>
      <w:r w:rsidRPr="0042061F">
        <w:rPr>
          <w:rFonts w:ascii="Lato" w:hAnsi="Lato"/>
          <w:b/>
          <w:bCs/>
        </w:rPr>
        <w:t>Handout A</w:t>
      </w:r>
      <w:r w:rsidRPr="0042061F">
        <w:rPr>
          <w:rFonts w:ascii="Lato" w:hAnsi="Lato"/>
        </w:rPr>
        <w:t xml:space="preserve"> and Annotate. </w:t>
      </w:r>
    </w:p>
    <w:p w14:paraId="1082BED0" w14:textId="77777777" w:rsidR="00A74C67" w:rsidRPr="0042061F" w:rsidRDefault="00A74C67" w:rsidP="00A74C67">
      <w:pPr>
        <w:pStyle w:val="ListParagraph"/>
        <w:numPr>
          <w:ilvl w:val="0"/>
          <w:numId w:val="2"/>
        </w:numPr>
        <w:rPr>
          <w:rFonts w:ascii="Lato" w:hAnsi="Lato"/>
        </w:rPr>
      </w:pPr>
      <w:r>
        <w:rPr>
          <w:rFonts w:ascii="Lato" w:hAnsi="Lato"/>
          <w:noProof/>
        </w:rPr>
        <mc:AlternateContent>
          <mc:Choice Requires="wps">
            <w:drawing>
              <wp:anchor distT="0" distB="0" distL="114300" distR="114300" simplePos="0" relativeHeight="251659264" behindDoc="1" locked="0" layoutInCell="1" allowOverlap="1" wp14:anchorId="789B3F91" wp14:editId="76E2A78A">
                <wp:simplePos x="0" y="0"/>
                <wp:positionH relativeFrom="column">
                  <wp:posOffset>400050</wp:posOffset>
                </wp:positionH>
                <wp:positionV relativeFrom="paragraph">
                  <wp:posOffset>205105</wp:posOffset>
                </wp:positionV>
                <wp:extent cx="485775" cy="228600"/>
                <wp:effectExtent l="0" t="0" r="28575" b="19050"/>
                <wp:wrapNone/>
                <wp:docPr id="444962420" name="Oval 1"/>
                <wp:cNvGraphicFramePr/>
                <a:graphic xmlns:a="http://schemas.openxmlformats.org/drawingml/2006/main">
                  <a:graphicData uri="http://schemas.microsoft.com/office/word/2010/wordprocessingShape">
                    <wps:wsp>
                      <wps:cNvSpPr/>
                      <wps:spPr>
                        <a:xfrm>
                          <a:off x="0" y="0"/>
                          <a:ext cx="485775" cy="22860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C2A89C" id="Oval 1" o:spid="_x0000_s1026" style="position:absolute;margin-left:31.5pt;margin-top:16.15pt;width:38.2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" fillcolor="white [3201]" strokecolor="#4f81bd [3204]" strokeweight="2pt"/>
            </w:pict>
          </mc:Fallback>
        </mc:AlternateContent>
      </w:r>
      <w:r w:rsidRPr="00C04C00">
        <w:rPr>
          <w:rFonts w:ascii="Lato" w:hAnsi="Lato"/>
          <w:u w:val="single"/>
        </w:rPr>
        <w:t>Underline the main points</w:t>
      </w:r>
      <w:r w:rsidRPr="0042061F">
        <w:rPr>
          <w:rFonts w:ascii="Lato" w:hAnsi="Lato"/>
        </w:rPr>
        <w:t xml:space="preserve"> the author is trying to make. </w:t>
      </w:r>
    </w:p>
    <w:p w14:paraId="02DEF12E" w14:textId="77777777" w:rsidR="00A74C67" w:rsidRPr="0042061F" w:rsidRDefault="00A74C67" w:rsidP="00A74C67">
      <w:pPr>
        <w:pStyle w:val="ListParagraph"/>
        <w:numPr>
          <w:ilvl w:val="0"/>
          <w:numId w:val="2"/>
        </w:numPr>
        <w:rPr>
          <w:rFonts w:ascii="Lato" w:hAnsi="Lato"/>
        </w:rPr>
      </w:pPr>
      <w:r w:rsidRPr="0042061F">
        <w:rPr>
          <w:rFonts w:ascii="Lato" w:hAnsi="Lato"/>
        </w:rPr>
        <w:t xml:space="preserve">Circle the quotes used from primary sources. </w:t>
      </w:r>
    </w:p>
    <w:p w14:paraId="3DD72D5B" w14:textId="77777777" w:rsidR="00A74C67" w:rsidRPr="0042061F" w:rsidRDefault="00A74C67" w:rsidP="00A74C67">
      <w:pPr>
        <w:pStyle w:val="ListParagraph"/>
        <w:numPr>
          <w:ilvl w:val="0"/>
          <w:numId w:val="2"/>
        </w:numPr>
        <w:rPr>
          <w:rFonts w:ascii="Lato" w:hAnsi="Lato"/>
        </w:rPr>
      </w:pPr>
      <w:r w:rsidRPr="00C04C00">
        <w:rPr>
          <w:rFonts w:ascii="Lato" w:hAnsi="Lato"/>
          <w:highlight w:val="yellow"/>
        </w:rPr>
        <w:t>Highlight</w:t>
      </w:r>
      <w:r w:rsidRPr="0042061F">
        <w:rPr>
          <w:rFonts w:ascii="Lato" w:hAnsi="Lato"/>
        </w:rPr>
        <w:t xml:space="preserve"> sentences where the author is interpreting or explaining the quotes</w:t>
      </w:r>
    </w:p>
    <w:p w14:paraId="02F3C605" w14:textId="77777777" w:rsidR="00A74C67" w:rsidRPr="0042061F" w:rsidRDefault="00A74C67" w:rsidP="00A74C67">
      <w:pPr>
        <w:pStyle w:val="ListParagraph"/>
        <w:numPr>
          <w:ilvl w:val="0"/>
          <w:numId w:val="2"/>
        </w:numPr>
        <w:rPr>
          <w:rFonts w:ascii="Lato" w:hAnsi="Lato"/>
        </w:rPr>
      </w:pPr>
      <w:r w:rsidRPr="0042061F">
        <w:rPr>
          <w:rFonts w:ascii="Lato" w:hAnsi="Lato"/>
        </w:rPr>
        <w:t>Write 1-2 sentences at the bottom of the excerpt summarizing it.</w:t>
      </w:r>
    </w:p>
    <w:p w14:paraId="5D005CA5" w14:textId="77777777" w:rsidR="00A74C67" w:rsidRDefault="00A74C67" w:rsidP="00D41189">
      <w:pPr>
        <w:rPr>
          <w:rFonts w:ascii="Lato" w:hAnsi="Lato"/>
        </w:rPr>
      </w:pPr>
    </w:p>
    <w:p w14:paraId="71EF13F0" w14:textId="77777777" w:rsidR="00A74C67" w:rsidRPr="0064636E" w:rsidRDefault="00A74C67" w:rsidP="00D41189">
      <w:pPr>
        <w:rPr>
          <w:rFonts w:ascii="Lato" w:hAnsi="Lato"/>
          <w:b/>
          <w:bCs/>
          <w:u w:val="single"/>
        </w:rPr>
      </w:pPr>
      <w:r w:rsidRPr="0064636E">
        <w:rPr>
          <w:rFonts w:ascii="Lato" w:hAnsi="Lato"/>
          <w:b/>
          <w:bCs/>
          <w:u w:val="single"/>
        </w:rPr>
        <w:t>Compare and Analyze:</w:t>
      </w:r>
    </w:p>
    <w:p w14:paraId="7BDCC18A" w14:textId="77777777" w:rsidR="00A74C67" w:rsidRDefault="00A74C67" w:rsidP="00D41189">
      <w:pPr>
        <w:rPr>
          <w:rFonts w:ascii="Lato" w:hAnsi="Lato"/>
        </w:rPr>
      </w:pPr>
      <w:r>
        <w:rPr>
          <w:rFonts w:ascii="Lato" w:hAnsi="Lato"/>
        </w:rPr>
        <w:t xml:space="preserve">Read </w:t>
      </w:r>
      <w:r w:rsidRPr="0064636E">
        <w:rPr>
          <w:rFonts w:ascii="Lato" w:hAnsi="Lato"/>
          <w:b/>
          <w:bCs/>
        </w:rPr>
        <w:t>Handout B</w:t>
      </w:r>
      <w:r>
        <w:rPr>
          <w:rFonts w:ascii="Lato" w:hAnsi="Lato"/>
        </w:rPr>
        <w:t xml:space="preserve">. This is one of the primary sources used for the excerpt you just annotated. After reading this source, write 5-7 sentences on why you think the author of Handout A chose that quote and how you think authors of secondary sources can influence how people view historical events.  What was excluded from the speech in Handout B? What was included? Use 1-2 quotes from the text in your response. </w:t>
      </w:r>
    </w:p>
    <w:tbl>
      <w:tblPr>
        <w:tblStyle w:val="TableGrid"/>
        <w:tblW w:w="0" w:type="auto"/>
        <w:tblLook w:val="04A0" w:firstRow="1" w:lastRow="0" w:firstColumn="1" w:lastColumn="0" w:noHBand="0" w:noVBand="1"/>
      </w:tblPr>
      <w:tblGrid>
        <w:gridCol w:w="9350"/>
      </w:tblGrid>
      <w:tr w:rsidR="00A74C67" w14:paraId="2F2B7D4D" w14:textId="77777777" w:rsidTr="001E6D9E">
        <w:trPr>
          <w:trHeight w:val="5273"/>
        </w:trPr>
        <w:tc>
          <w:tcPr>
            <w:tcW w:w="9350" w:type="dxa"/>
          </w:tcPr>
          <w:p w14:paraId="5EF9C5F0" w14:textId="77777777" w:rsidR="00A74C67" w:rsidRDefault="00A74C67" w:rsidP="00D41189">
            <w:pPr>
              <w:rPr>
                <w:rFonts w:ascii="Lato" w:hAnsi="Lato"/>
              </w:rPr>
            </w:pPr>
          </w:p>
        </w:tc>
      </w:tr>
    </w:tbl>
    <w:p w14:paraId="129E7D47" w14:textId="64407372" w:rsidR="00A74C67" w:rsidRDefault="00A74C67" w:rsidP="00A74C67">
      <w:pPr>
        <w:jc w:val="center"/>
        <w:rPr>
          <w:rFonts w:ascii="Lato" w:hAnsi="Lato" w:cs="Times New Roman"/>
        </w:rPr>
      </w:pPr>
      <w:r>
        <w:rPr>
          <w:rFonts w:ascii="Lato" w:hAnsi="Lato"/>
          <w:b/>
          <w:bCs/>
          <w:sz w:val="32"/>
          <w:szCs w:val="32"/>
          <w:u w:val="single"/>
        </w:rPr>
        <w:lastRenderedPageBreak/>
        <w:t>Handout A</w:t>
      </w:r>
    </w:p>
    <w:p w14:paraId="49B2B1A7" w14:textId="19D81B5D" w:rsidR="00A74C67" w:rsidRPr="00E55E5F" w:rsidRDefault="00A74C67">
      <w:pPr>
        <w:rPr>
          <w:rFonts w:ascii="Lato" w:hAnsi="Lato" w:cs="Times New Roman"/>
        </w:rPr>
      </w:pPr>
      <w:r w:rsidRPr="00E55E5F">
        <w:rPr>
          <w:rFonts w:ascii="Lato" w:hAnsi="Lato" w:cs="Times New Roman"/>
        </w:rPr>
        <w:t>Excerpt from “From the Stacks: The Congressional Papers of William J. “Bill” Randall by Syd Stoll, Summer 2025</w:t>
      </w:r>
    </w:p>
    <w:p w14:paraId="6756302A" w14:textId="77777777" w:rsidR="00A74C67" w:rsidRPr="00E55E5F" w:rsidRDefault="00A74C67">
      <w:pPr>
        <w:rPr>
          <w:rFonts w:ascii="Lato" w:hAnsi="Lato"/>
        </w:rPr>
      </w:pPr>
    </w:p>
    <w:p w14:paraId="7082B158" w14:textId="77777777" w:rsidR="00A74C67" w:rsidRPr="00E55E5F" w:rsidRDefault="00A74C67" w:rsidP="00CE610E">
      <w:pPr>
        <w:spacing w:line="480" w:lineRule="auto"/>
        <w:ind w:firstLine="720"/>
        <w:rPr>
          <w:rFonts w:ascii="Lato" w:eastAsia="Times New Roman" w:hAnsi="Lato" w:cs="Times New Roman"/>
        </w:rPr>
      </w:pPr>
      <w:r w:rsidRPr="00E55E5F">
        <w:rPr>
          <w:rFonts w:ascii="Lato" w:eastAsia="Times New Roman" w:hAnsi="Lato" w:cs="Times New Roman"/>
        </w:rPr>
        <w:t>As a congressman, Randall considered the needs and desires of his constituents to be his highest priority. He was well known for his personal attention to the voters of the Fourth District. His many personal letters, notes of congratulation, and birthday wishes to constituents make up a significant portion of his papers. Randall was not taken to using form letters either. The vast majority of the correspondence shows comments tailored to the constituent’s situation and meant to make them feel personally valued by their congressman. The letters they wrote back to him touched on this, and some noted rereading correspondence from him again and again. In one such letter to a constituent he wrote, “Dear Mr. Heid: We heard from our mutual friend Mrs. Hilda Hendrickson that you recently celebrated your 85th birthday.”</w:t>
      </w:r>
      <w:r w:rsidRPr="00E55E5F">
        <w:rPr>
          <w:rFonts w:ascii="Lato" w:eastAsia="Times New Roman" w:hAnsi="Lato" w:cs="Times New Roman"/>
          <w:vertAlign w:val="superscript"/>
        </w:rPr>
        <w:endnoteReference w:id="1"/>
      </w:r>
      <w:r w:rsidRPr="00E55E5F">
        <w:rPr>
          <w:rFonts w:ascii="Lato" w:eastAsia="Times New Roman" w:hAnsi="Lato" w:cs="Times New Roman"/>
        </w:rPr>
        <w:t xml:space="preserve"> It was remarked that Randall seemed to be on a first-name basis with many of his voters. But of course his legacy was not simply that he was friendly with his constituents; he also was expected to fight on their behalf. </w:t>
      </w:r>
    </w:p>
    <w:p w14:paraId="032EAE24" w14:textId="01AEEC8B" w:rsidR="00B534BB" w:rsidRPr="00A74C67" w:rsidRDefault="00A74C67" w:rsidP="00A74C67">
      <w:pPr>
        <w:spacing w:line="480" w:lineRule="auto"/>
        <w:rPr>
          <w:rFonts w:ascii="Lato" w:eastAsia="Times New Roman" w:hAnsi="Lato" w:cs="Times New Roman"/>
        </w:rPr>
      </w:pPr>
      <w:r w:rsidRPr="00E55E5F">
        <w:rPr>
          <w:rFonts w:ascii="Lato" w:eastAsia="Times New Roman" w:hAnsi="Lato" w:cs="Times New Roman"/>
        </w:rPr>
        <w:tab/>
        <w:t>Agricultural issues became one of Randall’s chief concerns while in office. For his rural constituents especially, agricultural action at the federal level was crucial. In one of his early speeches, Randall noted, “Since being in Washington, I find that the real trouble is that most farmers aren’t getting their money’s worth . . . The federal program is lagging at least 10–15 years behind what’s really going on in agriculture.”</w:t>
      </w:r>
      <w:r w:rsidRPr="00E55E5F">
        <w:rPr>
          <w:rFonts w:ascii="Lato" w:eastAsia="Times New Roman" w:hAnsi="Lato" w:cs="Times New Roman"/>
          <w:vertAlign w:val="superscript"/>
        </w:rPr>
        <w:endnoteReference w:id="2"/>
      </w:r>
      <w:r w:rsidRPr="00E55E5F">
        <w:rPr>
          <w:rFonts w:ascii="Lato" w:eastAsia="Times New Roman" w:hAnsi="Lato" w:cs="Times New Roman"/>
        </w:rPr>
        <w:t xml:space="preserve"> In his first year in office, he worked to improve how the federal government’s resources were directed to </w:t>
      </w:r>
      <w:r w:rsidRPr="00E55E5F">
        <w:rPr>
          <w:rFonts w:ascii="Lato" w:eastAsia="Times New Roman" w:hAnsi="Lato" w:cs="Times New Roman"/>
        </w:rPr>
        <w:lastRenderedPageBreak/>
        <w:t xml:space="preserve">meet the needs of Missouri’s Fourth District. Bills he sponsored while in Congress were focused on agricultural measures that affected his district.   </w:t>
      </w:r>
    </w:p>
    <w:sectPr w:rsidR="00B534BB" w:rsidRPr="00A74C67">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D9066" w14:textId="77777777" w:rsidR="00EE6C86" w:rsidRDefault="00EE6C86">
      <w:pPr>
        <w:spacing w:after="0" w:line="240" w:lineRule="auto"/>
      </w:pPr>
      <w:r>
        <w:separator/>
      </w:r>
    </w:p>
  </w:endnote>
  <w:endnote w:type="continuationSeparator" w:id="0">
    <w:p w14:paraId="178139DF" w14:textId="77777777" w:rsidR="00EE6C86" w:rsidRDefault="00EE6C86">
      <w:pPr>
        <w:spacing w:after="0" w:line="240" w:lineRule="auto"/>
      </w:pPr>
      <w:r>
        <w:continuationSeparator/>
      </w:r>
    </w:p>
  </w:endnote>
  <w:endnote w:id="1">
    <w:p w14:paraId="7835A966" w14:textId="77777777" w:rsidR="00A74C67" w:rsidRPr="00E55E5F" w:rsidRDefault="00A74C67" w:rsidP="00CE610E">
      <w:pPr>
        <w:spacing w:line="240" w:lineRule="auto"/>
        <w:ind w:firstLine="720"/>
        <w:rPr>
          <w:rFonts w:ascii="Lato" w:hAnsi="Lato" w:cs="Times New Roman"/>
        </w:rPr>
      </w:pPr>
      <w:r w:rsidRPr="00E55E5F">
        <w:rPr>
          <w:rFonts w:ascii="Lato" w:hAnsi="Lato" w:cs="Times New Roman"/>
        </w:rPr>
        <w:endnoteRef/>
      </w:r>
      <w:r w:rsidRPr="00E55E5F">
        <w:rPr>
          <w:rFonts w:ascii="Lato" w:hAnsi="Lato" w:cs="Times New Roman"/>
        </w:rPr>
        <w:t>. William R. Randall to Mr. Heid, 1966,</w:t>
      </w:r>
      <w:r w:rsidRPr="00E55E5F">
        <w:rPr>
          <w:rFonts w:ascii="Lato" w:hAnsi="Lato" w:cs="Times New Roman"/>
          <w:iCs/>
        </w:rPr>
        <w:t xml:space="preserve"> William J. Randall Papers (K0791),</w:t>
      </w:r>
      <w:r w:rsidRPr="00E55E5F">
        <w:rPr>
          <w:rFonts w:ascii="Lato" w:hAnsi="Lato" w:cs="Times New Roman"/>
        </w:rPr>
        <w:t xml:space="preserve"> State Historical Society of Missouri Research Center–Kansas City.</w:t>
      </w:r>
    </w:p>
    <w:p w14:paraId="3DB0AB1C" w14:textId="77777777" w:rsidR="00A74C67" w:rsidRPr="00E55E5F" w:rsidRDefault="00A74C67" w:rsidP="00CE610E">
      <w:pPr>
        <w:spacing w:line="240" w:lineRule="auto"/>
        <w:rPr>
          <w:rFonts w:ascii="Lato" w:hAnsi="Lato" w:cs="Times New Roman"/>
        </w:rPr>
      </w:pPr>
      <w:r w:rsidRPr="00E55E5F">
        <w:rPr>
          <w:rFonts w:ascii="Lato" w:hAnsi="Lato" w:cs="Times New Roman"/>
          <w:i/>
        </w:rPr>
        <w:t xml:space="preserve"> </w:t>
      </w:r>
    </w:p>
  </w:endnote>
  <w:endnote w:id="2">
    <w:p w14:paraId="3DA13128" w14:textId="77777777" w:rsidR="00A74C67" w:rsidRPr="00E55E5F" w:rsidRDefault="00A74C67" w:rsidP="00CE610E">
      <w:pPr>
        <w:spacing w:line="240" w:lineRule="auto"/>
        <w:ind w:firstLine="720"/>
        <w:rPr>
          <w:rFonts w:ascii="Lato" w:hAnsi="Lato" w:cs="Times New Roman"/>
        </w:rPr>
      </w:pPr>
      <w:r w:rsidRPr="00E55E5F">
        <w:rPr>
          <w:rFonts w:ascii="Lato" w:hAnsi="Lato" w:cs="Times New Roman"/>
        </w:rPr>
        <w:endnoteRef/>
      </w:r>
      <w:r w:rsidRPr="00E55E5F">
        <w:rPr>
          <w:rFonts w:ascii="Lato" w:hAnsi="Lato" w:cs="Times New Roman"/>
        </w:rPr>
        <w:t>. “Your Money’s Worth” Farm Speech, 1959, Randall Papers.</w:t>
      </w:r>
      <w:r w:rsidRPr="00E55E5F">
        <w:rPr>
          <w:rFonts w:ascii="Lato" w:hAnsi="Lato" w:cs="Times New Roman"/>
          <w:i/>
        </w:rPr>
        <w:t xml:space="preserve"> </w:t>
      </w:r>
    </w:p>
    <w:p w14:paraId="6BE79928" w14:textId="3EBE489B" w:rsidR="00A74C67" w:rsidRDefault="00A74C67" w:rsidP="00CE610E">
      <w:pPr>
        <w:spacing w:line="240" w:lineRule="auto"/>
        <w:rPr>
          <w:rFonts w:ascii="Times New Roman" w:hAnsi="Times New Roman" w:cs="Times New Roman"/>
        </w:rPr>
      </w:pPr>
    </w:p>
    <w:p w14:paraId="4833715D" w14:textId="77777777" w:rsidR="00B64B2E" w:rsidRDefault="00B64B2E" w:rsidP="00CE610E">
      <w:pPr>
        <w:spacing w:line="240" w:lineRule="auto"/>
        <w:rPr>
          <w:rFonts w:ascii="Times New Roman" w:hAnsi="Times New Roman" w:cs="Times New Roman"/>
        </w:rPr>
      </w:pPr>
    </w:p>
    <w:p w14:paraId="6A8BC702" w14:textId="77777777" w:rsidR="00B64B2E" w:rsidRDefault="00B64B2E" w:rsidP="00CE610E">
      <w:pPr>
        <w:spacing w:line="240" w:lineRule="auto"/>
        <w:rPr>
          <w:rFonts w:ascii="Times New Roman" w:hAnsi="Times New Roman" w:cs="Times New Roman"/>
        </w:rPr>
      </w:pPr>
    </w:p>
    <w:p w14:paraId="35C19324" w14:textId="77777777" w:rsidR="00B64B2E" w:rsidRDefault="00B64B2E" w:rsidP="00CE610E">
      <w:pPr>
        <w:spacing w:line="240" w:lineRule="auto"/>
        <w:rPr>
          <w:rFonts w:ascii="Times New Roman" w:hAnsi="Times New Roman" w:cs="Times New Roman"/>
        </w:rPr>
      </w:pPr>
    </w:p>
    <w:p w14:paraId="7090C52A" w14:textId="77777777" w:rsidR="00B64B2E" w:rsidRDefault="00B64B2E" w:rsidP="00CE610E">
      <w:pPr>
        <w:spacing w:line="240" w:lineRule="auto"/>
        <w:rPr>
          <w:rFonts w:ascii="Times New Roman" w:hAnsi="Times New Roman" w:cs="Times New Roman"/>
        </w:rPr>
      </w:pPr>
    </w:p>
    <w:p w14:paraId="07EC1FD5" w14:textId="77777777" w:rsidR="00B64B2E" w:rsidRDefault="00B64B2E" w:rsidP="00CE610E">
      <w:pPr>
        <w:spacing w:line="240" w:lineRule="auto"/>
        <w:rPr>
          <w:rFonts w:ascii="Times New Roman" w:hAnsi="Times New Roman" w:cs="Times New Roman"/>
        </w:rPr>
      </w:pPr>
    </w:p>
    <w:p w14:paraId="4474F35F" w14:textId="77777777" w:rsidR="00B64B2E" w:rsidRPr="000F631E" w:rsidRDefault="00B64B2E" w:rsidP="00CE610E">
      <w:pPr>
        <w:spacing w:line="240" w:lineRule="auto"/>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9E25019E-514C-45A3-8BE9-723A87B21701}"/>
    <w:embedBold r:id="rId2" w:fontKey="{DE10D74A-31EA-4AD8-91B7-8764F102DDB6}"/>
    <w:embedItalic r:id="rId3" w:fontKey="{508B594F-B9C6-4CC4-AA6D-C08F42397790}"/>
  </w:font>
  <w:font w:name="Play">
    <w:charset w:val="00"/>
    <w:family w:val="auto"/>
    <w:pitch w:val="default"/>
    <w:embedRegular r:id="rId4" w:fontKey="{E47DABD8-AE04-4F84-B9F3-925DD2A6BEB9}"/>
  </w:font>
  <w:font w:name="Cambria">
    <w:panose1 w:val="02040503050406030204"/>
    <w:charset w:val="00"/>
    <w:family w:val="roman"/>
    <w:pitch w:val="variable"/>
    <w:sig w:usb0="E00006FF" w:usb1="420024FF" w:usb2="02000000" w:usb3="00000000" w:csb0="0000019F" w:csb1="00000000"/>
    <w:embedRegular r:id="rId5" w:fontKey="{55A443ED-32E4-4D3F-B442-A4F84AE57344}"/>
    <w:embedBold r:id="rId6" w:fontKey="{492DD49C-476A-4CF7-BC9B-5381B5A15FE1}"/>
  </w:font>
  <w:font w:name="Lato">
    <w:charset w:val="00"/>
    <w:family w:val="swiss"/>
    <w:pitch w:val="variable"/>
    <w:sig w:usb0="E10002FF" w:usb1="5000ECFF" w:usb2="00000021" w:usb3="00000000" w:csb0="0000019F" w:csb1="00000000"/>
    <w:embedRegular r:id="rId7" w:fontKey="{CD3DF0E1-A667-4985-9CAA-6A4463594923}"/>
    <w:embedBold r:id="rId8" w:fontKey="{BF69E786-A50C-4674-BD92-038015C8A466}"/>
    <w:embedItalic r:id="rId9" w:fontKey="{2BADE24C-02AA-4860-87E6-2EE94179F86A}"/>
  </w:font>
  <w:font w:name="Calibri">
    <w:panose1 w:val="020F0502020204030204"/>
    <w:charset w:val="00"/>
    <w:family w:val="swiss"/>
    <w:pitch w:val="variable"/>
    <w:sig w:usb0="E4002EFF" w:usb1="C200247B" w:usb2="00000009" w:usb3="00000000" w:csb0="000001FF" w:csb1="00000000"/>
    <w:embedRegular r:id="rId10" w:fontKey="{55791EF3-141C-4575-9EBD-4D23AB48E1E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5A7EA" w14:textId="77777777" w:rsidR="00EE6C86" w:rsidRDefault="00EE6C86">
      <w:pPr>
        <w:spacing w:after="0" w:line="240" w:lineRule="auto"/>
      </w:pPr>
      <w:r>
        <w:separator/>
      </w:r>
    </w:p>
  </w:footnote>
  <w:footnote w:type="continuationSeparator" w:id="0">
    <w:p w14:paraId="62C08C32" w14:textId="77777777" w:rsidR="00EE6C86" w:rsidRDefault="00EE6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A763" w14:textId="4EB73744" w:rsidR="00B534BB" w:rsidRDefault="00515EBC">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65D00025" wp14:editId="130A0F7C">
          <wp:extent cx="5943600" cy="741045"/>
          <wp:effectExtent l="0" t="0" r="0" b="1905"/>
          <wp:docPr id="9584249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424908" name="Picture 958424908"/>
                  <pic:cNvPicPr/>
                </pic:nvPicPr>
                <pic:blipFill>
                  <a:blip r:embed="rId1">
                    <a:extLst>
                      <a:ext uri="{28A0092B-C50C-407E-A947-70E740481C1C}">
                        <a14:useLocalDpi xmlns:a14="http://schemas.microsoft.com/office/drawing/2010/main" val="0"/>
                      </a:ext>
                    </a:extLst>
                  </a:blip>
                  <a:stretch>
                    <a:fillRect/>
                  </a:stretch>
                </pic:blipFill>
                <pic:spPr>
                  <a:xfrm>
                    <a:off x="0" y="0"/>
                    <a:ext cx="5943600" cy="741045"/>
                  </a:xfrm>
                  <a:prstGeom prst="rect">
                    <a:avLst/>
                  </a:prstGeom>
                </pic:spPr>
              </pic:pic>
            </a:graphicData>
          </a:graphic>
        </wp:inline>
      </w:drawing>
    </w:r>
  </w:p>
  <w:p w14:paraId="590C6EE2" w14:textId="77777777" w:rsidR="00B534BB" w:rsidRDefault="00B534BB">
    <w:pPr>
      <w:pBdr>
        <w:top w:val="nil"/>
        <w:left w:val="nil"/>
        <w:bottom w:val="nil"/>
        <w:right w:val="nil"/>
        <w:between w:val="nil"/>
      </w:pBdr>
      <w:tabs>
        <w:tab w:val="center" w:pos="4680"/>
        <w:tab w:val="right" w:pos="9360"/>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15981"/>
    <w:multiLevelType w:val="multilevel"/>
    <w:tmpl w:val="A2CAA1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CA273E2"/>
    <w:multiLevelType w:val="hybridMultilevel"/>
    <w:tmpl w:val="008A21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960F04"/>
    <w:multiLevelType w:val="hybridMultilevel"/>
    <w:tmpl w:val="6262CEDC"/>
    <w:lvl w:ilvl="0" w:tplc="09A8EB2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4AC82C40"/>
    <w:multiLevelType w:val="hybridMultilevel"/>
    <w:tmpl w:val="9A04F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F63A94"/>
    <w:multiLevelType w:val="hybridMultilevel"/>
    <w:tmpl w:val="94147056"/>
    <w:lvl w:ilvl="0" w:tplc="BE28B33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66472392">
    <w:abstractNumId w:val="0"/>
  </w:num>
  <w:num w:numId="2" w16cid:durableId="1561593042">
    <w:abstractNumId w:val="1"/>
  </w:num>
  <w:num w:numId="3" w16cid:durableId="2104102177">
    <w:abstractNumId w:val="3"/>
  </w:num>
  <w:num w:numId="4" w16cid:durableId="1477258863">
    <w:abstractNumId w:val="2"/>
  </w:num>
  <w:num w:numId="5" w16cid:durableId="3555397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4BB"/>
    <w:rsid w:val="00397796"/>
    <w:rsid w:val="003E12A3"/>
    <w:rsid w:val="003F361B"/>
    <w:rsid w:val="004E2E14"/>
    <w:rsid w:val="00515EBC"/>
    <w:rsid w:val="009640DB"/>
    <w:rsid w:val="009C442B"/>
    <w:rsid w:val="00A74C67"/>
    <w:rsid w:val="00B534BB"/>
    <w:rsid w:val="00B64B2E"/>
    <w:rsid w:val="00C83188"/>
    <w:rsid w:val="00EB6033"/>
    <w:rsid w:val="00EE6C86"/>
    <w:rsid w:val="00EF5744"/>
    <w:rsid w:val="00F51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E6FC3"/>
  <w15:docId w15:val="{B9B19EEE-A3D3-4A0B-8B97-108FCCE2A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Pr>
  </w:style>
  <w:style w:type="paragraph" w:styleId="ListParagraph">
    <w:name w:val="List Paragraph"/>
    <w:basedOn w:val="Normal"/>
    <w:uiPriority w:val="34"/>
    <w:qFormat/>
    <w:rsid w:val="00A74C67"/>
    <w:pPr>
      <w:ind w:left="720"/>
      <w:contextualSpacing/>
    </w:pPr>
    <w:rPr>
      <w:rFonts w:asciiTheme="minorHAnsi" w:eastAsiaTheme="minorHAnsi" w:hAnsiTheme="minorHAnsi" w:cstheme="minorBidi"/>
      <w:kern w:val="2"/>
      <w:lang w:val="en-US"/>
      <w14:ligatures w14:val="standardContextual"/>
    </w:rPr>
  </w:style>
  <w:style w:type="table" w:styleId="TableGrid">
    <w:name w:val="Table Grid"/>
    <w:basedOn w:val="TableNormal"/>
    <w:uiPriority w:val="39"/>
    <w:rsid w:val="00A74C67"/>
    <w:pPr>
      <w:spacing w:after="0" w:line="240" w:lineRule="auto"/>
    </w:pPr>
    <w:rPr>
      <w:rFonts w:asciiTheme="minorHAnsi" w:eastAsiaTheme="minorHAnsi" w:hAnsiTheme="minorHAnsi" w:cstheme="minorBid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5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EBC"/>
  </w:style>
  <w:style w:type="paragraph" w:styleId="Footer">
    <w:name w:val="footer"/>
    <w:basedOn w:val="Normal"/>
    <w:link w:val="FooterChar"/>
    <w:uiPriority w:val="99"/>
    <w:unhideWhenUsed/>
    <w:rsid w:val="00515E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dese.mo.gov/media/pdf/curr-mls-standards-ss-6-12-sboe-2016"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Pwmj4oEkjrjdTBN4PqFhjGn0mA==">CgMxLjAaHwoBMBIaChgICVIUChJ0YWJsZS54cmpja2pmc2M5ZHAyD2lkLmg3b2w0bzhmNWU3bDIPaWQubXlpYXl4NjlpenJzMg9pZC56NzQ3MjdrbnpzdW8yD2lkLmJ6NHBjZzJlbWVvYjIOaWQud2JsdjN5NTFlbzc4AHIhMXFDdFJyR2FOSjFYNjlTX0hFZFQzS253a2xhS0J6ckFr</go:docsCustomData>
</go:gDocsCustomXmlDataStorage>
</file>

<file path=customXml/itemProps1.xml><?xml version="1.0" encoding="utf-8"?>
<ds:datastoreItem xmlns:ds="http://schemas.openxmlformats.org/officeDocument/2006/customXml" ds:itemID="{AAA17AB0-9B24-46E9-ADD5-9D4FE1A3065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5</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Stoll, Syd</cp:lastModifiedBy>
  <cp:revision>5</cp:revision>
  <dcterms:created xsi:type="dcterms:W3CDTF">2026-06-24T19:46:00Z</dcterms:created>
  <dcterms:modified xsi:type="dcterms:W3CDTF">2026-07-09T18:58:00Z</dcterms:modified>
</cp:coreProperties>
</file>