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D825C6" w:rsidR="00150F6B" w:rsidP="00150F6B" w:rsidRDefault="00150F6B" w14:paraId="57A81BCD" w14:textId="77777777">
      <w:pPr>
        <w:rPr>
          <w:rFonts w:ascii="Calibri" w:hAnsi="Calibri"/>
          <w:b/>
          <w:sz w:val="28"/>
          <w:szCs w:val="28"/>
        </w:rPr>
      </w:pPr>
      <w:r>
        <w:rPr>
          <w:rFonts w:ascii="Calibri" w:hAnsi="Calibri"/>
          <w:b/>
          <w:noProof/>
          <w:sz w:val="28"/>
          <w:szCs w:val="28"/>
        </w:rPr>
        <w:drawing>
          <wp:inline distT="0" distB="0" distL="0" distR="0" wp14:anchorId="64042A88" wp14:editId="07777777">
            <wp:extent cx="2381250" cy="600075"/>
            <wp:effectExtent l="19050" t="0" r="0" b="0"/>
            <wp:docPr id="1" name="Picture 0" descr="logo_as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ascp.gif"/>
                    <pic:cNvPicPr>
                      <a:picLocks noChangeAspect="1" noChangeArrowheads="1"/>
                    </pic:cNvPicPr>
                  </pic:nvPicPr>
                  <pic:blipFill>
                    <a:blip r:embed="rId8"/>
                    <a:srcRect/>
                    <a:stretch>
                      <a:fillRect/>
                    </a:stretch>
                  </pic:blipFill>
                  <pic:spPr bwMode="auto">
                    <a:xfrm>
                      <a:off x="0" y="0"/>
                      <a:ext cx="2381250" cy="600075"/>
                    </a:xfrm>
                    <a:prstGeom prst="rect">
                      <a:avLst/>
                    </a:prstGeom>
                    <a:noFill/>
                    <a:ln w="9525">
                      <a:noFill/>
                      <a:miter lim="800000"/>
                      <a:headEnd/>
                      <a:tailEnd/>
                    </a:ln>
                  </pic:spPr>
                </pic:pic>
              </a:graphicData>
            </a:graphic>
          </wp:inline>
        </w:drawing>
      </w:r>
      <w:r w:rsidRPr="0CA13DC1" w:rsidR="00150F6B">
        <w:rPr>
          <w:rFonts w:ascii="Calibri" w:hAnsi="Calibri"/>
          <w:b w:val="1"/>
          <w:bCs w:val="1"/>
          <w:sz w:val="28"/>
          <w:szCs w:val="28"/>
        </w:rPr>
        <w:t>FACULTY/AUTHOR DISCLOSURE STATEMENT</w:t>
      </w:r>
    </w:p>
    <w:p w:rsidRPr="00D825C6" w:rsidR="00150F6B" w:rsidP="0CA13DC1" w:rsidRDefault="00150F6B" w14:paraId="419CB555" w14:textId="4F210ABB">
      <w:pPr>
        <w:ind w:left="-20" w:right="-20"/>
        <w:rPr>
          <w:rFonts w:ascii="Calibri" w:hAnsi="Calibri" w:eastAsia="Calibri" w:cs="Calibri"/>
          <w:b w:val="1"/>
          <w:bCs w:val="1"/>
          <w:noProof w:val="0"/>
          <w:sz w:val="28"/>
          <w:szCs w:val="28"/>
          <w:lang w:val="en-US"/>
        </w:rPr>
      </w:pPr>
    </w:p>
    <w:p w:rsidRPr="00D825C6" w:rsidR="00150F6B" w:rsidP="0CA13DC1" w:rsidRDefault="00150F6B" w14:paraId="468A5992" w14:textId="5B9A9EC9">
      <w:pPr>
        <w:ind w:left="-20" w:right="-20"/>
        <w:rPr>
          <w:rFonts w:ascii="Calibri" w:hAnsi="Calibri" w:eastAsia="Calibri" w:cs="Calibri"/>
          <w:b w:val="1"/>
          <w:bCs w:val="1"/>
          <w:noProof w:val="0"/>
          <w:sz w:val="28"/>
          <w:szCs w:val="28"/>
          <w:lang w:val="en-US"/>
        </w:rPr>
      </w:pPr>
    </w:p>
    <w:p w:rsidR="66FF7C9C" w:rsidP="4829C897" w:rsidRDefault="66FF7C9C" w14:paraId="302BE7E7" w14:textId="6A4F7FB1">
      <w:pPr>
        <w:ind w:left="-20" w:right="-20"/>
      </w:pPr>
      <w:r w:rsidRPr="4829C897" w:rsidR="66FF7C9C">
        <w:rPr>
          <w:rFonts w:ascii="Calibri" w:hAnsi="Calibri" w:eastAsia="Calibri" w:cs="Calibri"/>
          <w:b w:val="1"/>
          <w:bCs w:val="1"/>
          <w:noProof w:val="0"/>
          <w:sz w:val="28"/>
          <w:szCs w:val="28"/>
          <w:lang w:val="en-US"/>
        </w:rPr>
        <w:t>Name of Product:  202</w:t>
      </w:r>
      <w:r w:rsidRPr="4829C897" w:rsidR="419BB917">
        <w:rPr>
          <w:rFonts w:ascii="Calibri" w:hAnsi="Calibri" w:eastAsia="Calibri" w:cs="Calibri"/>
          <w:b w:val="1"/>
          <w:bCs w:val="1"/>
          <w:noProof w:val="0"/>
          <w:sz w:val="28"/>
          <w:szCs w:val="28"/>
          <w:lang w:val="en-US"/>
        </w:rPr>
        <w:t>5</w:t>
      </w:r>
      <w:r w:rsidRPr="4829C897" w:rsidR="66FF7C9C">
        <w:rPr>
          <w:rFonts w:ascii="Calibri" w:hAnsi="Calibri" w:eastAsia="Calibri" w:cs="Calibri"/>
          <w:b w:val="1"/>
          <w:bCs w:val="1"/>
          <w:noProof w:val="0"/>
          <w:sz w:val="28"/>
          <w:szCs w:val="28"/>
          <w:lang w:val="en-US"/>
        </w:rPr>
        <w:t xml:space="preserve"> ASCP Case Report; </w:t>
      </w:r>
      <w:r w:rsidRPr="4829C897" w:rsidR="2C90712A">
        <w:rPr>
          <w:rFonts w:ascii="Calibri" w:hAnsi="Calibri" w:eastAsia="Calibri" w:cs="Calibri"/>
          <w:b w:val="1"/>
          <w:bCs w:val="1"/>
          <w:noProof w:val="0"/>
          <w:sz w:val="28"/>
          <w:szCs w:val="28"/>
          <w:lang w:val="en-US"/>
        </w:rPr>
        <w:t>Clinical Chemistry</w:t>
      </w:r>
      <w:r w:rsidRPr="4829C897" w:rsidR="66FF7C9C">
        <w:rPr>
          <w:rFonts w:ascii="Calibri" w:hAnsi="Calibri" w:eastAsia="Calibri" w:cs="Calibri"/>
          <w:b w:val="1"/>
          <w:bCs w:val="1"/>
          <w:noProof w:val="0"/>
          <w:sz w:val="28"/>
          <w:szCs w:val="28"/>
          <w:lang w:val="en-US"/>
        </w:rPr>
        <w:t xml:space="preserve">: </w:t>
      </w:r>
      <w:r w:rsidRPr="4829C897" w:rsidR="707D57A9">
        <w:rPr>
          <w:rFonts w:ascii="Calibri" w:hAnsi="Calibri" w:eastAsia="Calibri" w:cs="Calibri"/>
          <w:b w:val="1"/>
          <w:bCs w:val="1"/>
          <w:noProof w:val="0"/>
          <w:sz w:val="28"/>
          <w:szCs w:val="28"/>
          <w:lang w:val="en-US"/>
        </w:rPr>
        <w:t xml:space="preserve">Diagnosis of Hemoglobinopathies and </w:t>
      </w:r>
      <w:r w:rsidRPr="4829C897" w:rsidR="707D57A9">
        <w:rPr>
          <w:rFonts w:ascii="Calibri" w:hAnsi="Calibri" w:eastAsia="Calibri" w:cs="Calibri"/>
          <w:b w:val="1"/>
          <w:bCs w:val="1"/>
          <w:noProof w:val="0"/>
          <w:sz w:val="28"/>
          <w:szCs w:val="28"/>
          <w:lang w:val="en-US"/>
        </w:rPr>
        <w:t>Thalassemias</w:t>
      </w:r>
      <w:r w:rsidRPr="4829C897" w:rsidR="707D57A9">
        <w:rPr>
          <w:rFonts w:ascii="Calibri" w:hAnsi="Calibri" w:eastAsia="Calibri" w:cs="Calibri"/>
          <w:b w:val="1"/>
          <w:bCs w:val="1"/>
          <w:noProof w:val="0"/>
          <w:sz w:val="28"/>
          <w:szCs w:val="28"/>
          <w:lang w:val="en-US"/>
        </w:rPr>
        <w:t xml:space="preserve"> (CSCC2506)</w:t>
      </w:r>
    </w:p>
    <w:p w:rsidRPr="00D825C6" w:rsidR="00150F6B" w:rsidP="0CA13DC1" w:rsidRDefault="00150F6B" w14:paraId="3AFE7883" w14:textId="08D2FBBD">
      <w:pPr>
        <w:ind w:left="-20" w:right="-20"/>
      </w:pPr>
      <w:r w:rsidRPr="0CA13DC1" w:rsidR="66FF7C9C">
        <w:rPr>
          <w:rFonts w:ascii="Calibri" w:hAnsi="Calibri" w:eastAsia="Calibri" w:cs="Calibri"/>
          <w:noProof w:val="0"/>
          <w:sz w:val="28"/>
          <w:szCs w:val="28"/>
          <w:lang w:val="en-US"/>
        </w:rPr>
        <w:t xml:space="preserve"> </w:t>
      </w:r>
    </w:p>
    <w:p w:rsidRPr="00D825C6" w:rsidR="00150F6B" w:rsidP="0CA13DC1" w:rsidRDefault="00150F6B" w14:paraId="74418EF3" w14:textId="00B94D67">
      <w:pPr>
        <w:ind w:left="-20" w:right="-20"/>
      </w:pPr>
      <w:r w:rsidRPr="0CA13DC1" w:rsidR="66FF7C9C">
        <w:rPr>
          <w:rFonts w:ascii="Calibri" w:hAnsi="Calibri" w:eastAsia="Calibri" w:cs="Calibri"/>
          <w:noProof w:val="0"/>
          <w:sz w:val="28"/>
          <w:szCs w:val="28"/>
          <w:lang w:val="en-US"/>
        </w:rPr>
        <w:t xml:space="preserve"> </w:t>
      </w:r>
    </w:p>
    <w:p w:rsidRPr="00D825C6" w:rsidR="00150F6B" w:rsidP="0CA13DC1" w:rsidRDefault="00150F6B" w14:paraId="084E797D" w14:textId="5D90C976">
      <w:pPr>
        <w:ind w:left="-20" w:right="-20"/>
      </w:pPr>
      <w:r w:rsidRPr="0CA13DC1" w:rsidR="66FF7C9C">
        <w:rPr>
          <w:rFonts w:ascii="Cambria" w:hAnsi="Cambria" w:eastAsia="Cambria" w:cs="Cambria"/>
          <w:noProof w:val="0"/>
          <w:color w:val="365F91" w:themeColor="accent1" w:themeTint="FF" w:themeShade="BF"/>
          <w:sz w:val="32"/>
          <w:szCs w:val="32"/>
          <w:lang w:val="en-US"/>
        </w:rPr>
        <w:t xml:space="preserve">The following ASCP Case Report Author has a relevant financial relationship(s) to disclose: </w:t>
      </w:r>
    </w:p>
    <w:p w:rsidRPr="00D825C6" w:rsidR="00150F6B" w:rsidP="0CA13DC1" w:rsidRDefault="00150F6B" w14:paraId="5BB176F7" w14:textId="492DF729">
      <w:pPr>
        <w:ind w:left="-20" w:right="-20"/>
      </w:pPr>
      <w:r w:rsidRPr="0CA13DC1" w:rsidR="66FF7C9C">
        <w:rPr>
          <w:rFonts w:ascii="Times New Roman" w:hAnsi="Times New Roman" w:eastAsia="Times New Roman" w:cs="Times New Roman"/>
          <w:noProof w:val="0"/>
          <w:sz w:val="24"/>
          <w:szCs w:val="24"/>
          <w:lang w:val="en-US"/>
        </w:rPr>
        <w:t xml:space="preserve"> </w:t>
      </w:r>
    </w:p>
    <w:p w:rsidRPr="00D825C6" w:rsidR="00150F6B" w:rsidP="0CA13DC1" w:rsidRDefault="00150F6B" w14:paraId="24BBD9F5" w14:textId="5B2CF930">
      <w:pPr>
        <w:ind w:left="-20" w:right="-20"/>
      </w:pPr>
      <w:r w:rsidRPr="0CA13DC1" w:rsidR="66FF7C9C">
        <w:rPr>
          <w:rFonts w:ascii="Times New Roman" w:hAnsi="Times New Roman" w:eastAsia="Times New Roman" w:cs="Times New Roman"/>
          <w:noProof w:val="0"/>
          <w:sz w:val="24"/>
          <w:szCs w:val="24"/>
          <w:lang w:val="en-US"/>
        </w:rPr>
        <w:t xml:space="preserve"> </w:t>
      </w:r>
    </w:p>
    <w:tbl>
      <w:tblPr>
        <w:tblStyle w:val="TableNormal"/>
        <w:tblW w:w="8985" w:type="dxa"/>
        <w:tblBorders>
          <w:top w:val="single" w:sz="6"/>
          <w:left w:val="single" w:sz="6"/>
          <w:bottom w:val="single" w:sz="6"/>
          <w:right w:val="single" w:sz="6"/>
        </w:tblBorders>
        <w:tblLayout w:type="fixed"/>
        <w:tblLook w:val="04A0" w:firstRow="1" w:lastRow="0" w:firstColumn="1" w:lastColumn="0" w:noHBand="0" w:noVBand="1"/>
      </w:tblPr>
      <w:tblGrid>
        <w:gridCol w:w="2280"/>
        <w:gridCol w:w="3735"/>
        <w:gridCol w:w="2970"/>
      </w:tblGrid>
      <w:tr w:rsidR="0CA13DC1" w:rsidTr="4829C897" w14:paraId="2E13A0EE">
        <w:trPr>
          <w:trHeight w:val="300"/>
        </w:trPr>
        <w:tc>
          <w:tcPr>
            <w:tcW w:w="2280" w:type="dxa"/>
            <w:tcBorders>
              <w:top w:val="single" w:sz="8"/>
              <w:left w:val="single" w:sz="8"/>
              <w:bottom w:val="single" w:sz="8"/>
              <w:right w:val="single" w:sz="8"/>
            </w:tcBorders>
            <w:tcMar/>
            <w:vAlign w:val="top"/>
          </w:tcPr>
          <w:p w:rsidR="0CA13DC1" w:rsidP="0CA13DC1" w:rsidRDefault="0CA13DC1" w14:paraId="477C8BA1" w14:textId="0B9BDD7E">
            <w:pPr>
              <w:spacing w:before="0" w:beforeAutospacing="off" w:after="0" w:afterAutospacing="off"/>
              <w:ind w:left="-20" w:right="-20"/>
              <w:jc w:val="center"/>
            </w:pPr>
            <w:r w:rsidRPr="0CA13DC1" w:rsidR="0CA13DC1">
              <w:rPr>
                <w:rFonts w:ascii="Calibri" w:hAnsi="Calibri" w:eastAsia="Calibri" w:cs="Calibri"/>
                <w:b w:val="1"/>
                <w:bCs w:val="1"/>
                <w:sz w:val="22"/>
                <w:szCs w:val="22"/>
              </w:rPr>
              <w:t>Author</w:t>
            </w:r>
            <w:r w:rsidRPr="0CA13DC1" w:rsidR="0CA13DC1">
              <w:rPr>
                <w:rFonts w:ascii="Calibri" w:hAnsi="Calibri" w:eastAsia="Calibri" w:cs="Calibri"/>
                <w:sz w:val="22"/>
                <w:szCs w:val="22"/>
              </w:rPr>
              <w:t xml:space="preserve"> </w:t>
            </w:r>
          </w:p>
        </w:tc>
        <w:tc>
          <w:tcPr>
            <w:tcW w:w="3735" w:type="dxa"/>
            <w:tcBorders>
              <w:top w:val="single" w:sz="8"/>
              <w:left w:val="single" w:sz="8"/>
              <w:bottom w:val="single" w:sz="8"/>
              <w:right w:val="single" w:sz="8"/>
            </w:tcBorders>
            <w:tcMar/>
            <w:vAlign w:val="top"/>
          </w:tcPr>
          <w:p w:rsidR="0CA13DC1" w:rsidP="0CA13DC1" w:rsidRDefault="0CA13DC1" w14:paraId="4EBF5C93" w14:textId="5C33245E">
            <w:pPr>
              <w:spacing w:before="0" w:beforeAutospacing="off" w:after="0" w:afterAutospacing="off"/>
              <w:ind w:left="-20" w:right="-20"/>
              <w:jc w:val="center"/>
            </w:pPr>
            <w:r w:rsidRPr="0CA13DC1" w:rsidR="0CA13DC1">
              <w:rPr>
                <w:rFonts w:ascii="Calibri" w:hAnsi="Calibri" w:eastAsia="Calibri" w:cs="Calibri"/>
                <w:b w:val="1"/>
                <w:bCs w:val="1"/>
                <w:sz w:val="22"/>
                <w:szCs w:val="22"/>
              </w:rPr>
              <w:t>Ineligible Company</w:t>
            </w:r>
            <w:r w:rsidRPr="0CA13DC1" w:rsidR="0CA13DC1">
              <w:rPr>
                <w:rFonts w:ascii="Calibri" w:hAnsi="Calibri" w:eastAsia="Calibri" w:cs="Calibri"/>
                <w:sz w:val="22"/>
                <w:szCs w:val="22"/>
              </w:rPr>
              <w:t xml:space="preserve"> </w:t>
            </w:r>
          </w:p>
        </w:tc>
        <w:tc>
          <w:tcPr>
            <w:tcW w:w="2970" w:type="dxa"/>
            <w:tcBorders>
              <w:top w:val="single" w:sz="8"/>
              <w:left w:val="single" w:sz="8"/>
              <w:bottom w:val="single" w:sz="8"/>
              <w:right w:val="single" w:sz="8"/>
            </w:tcBorders>
            <w:tcMar/>
            <w:vAlign w:val="top"/>
          </w:tcPr>
          <w:p w:rsidR="0CA13DC1" w:rsidP="0CA13DC1" w:rsidRDefault="0CA13DC1" w14:paraId="0DC65035" w14:textId="09A01424">
            <w:pPr>
              <w:spacing w:before="0" w:beforeAutospacing="off" w:after="0" w:afterAutospacing="off"/>
              <w:ind w:left="-20" w:right="-20"/>
              <w:jc w:val="center"/>
            </w:pPr>
            <w:r w:rsidRPr="0CA13DC1" w:rsidR="0CA13DC1">
              <w:rPr>
                <w:rFonts w:ascii="Calibri" w:hAnsi="Calibri" w:eastAsia="Calibri" w:cs="Calibri"/>
                <w:b w:val="1"/>
                <w:bCs w:val="1"/>
                <w:sz w:val="22"/>
                <w:szCs w:val="22"/>
              </w:rPr>
              <w:t>For What Role?</w:t>
            </w:r>
            <w:r w:rsidRPr="0CA13DC1" w:rsidR="0CA13DC1">
              <w:rPr>
                <w:rFonts w:ascii="Calibri" w:hAnsi="Calibri" w:eastAsia="Calibri" w:cs="Calibri"/>
                <w:sz w:val="22"/>
                <w:szCs w:val="22"/>
              </w:rPr>
              <w:t xml:space="preserve"> </w:t>
            </w:r>
          </w:p>
        </w:tc>
      </w:tr>
      <w:tr w:rsidR="0CA13DC1" w:rsidTr="4829C897" w14:paraId="470C5C64">
        <w:trPr>
          <w:trHeight w:val="300"/>
        </w:trPr>
        <w:tc>
          <w:tcPr>
            <w:tcW w:w="2280" w:type="dxa"/>
            <w:tcBorders>
              <w:top w:val="single" w:sz="8"/>
              <w:left w:val="single" w:sz="8"/>
              <w:bottom w:val="nil"/>
              <w:right w:val="single" w:sz="8"/>
            </w:tcBorders>
            <w:tcMar/>
            <w:vAlign w:val="top"/>
          </w:tcPr>
          <w:p w:rsidR="0CA13DC1" w:rsidP="4829C897" w:rsidRDefault="0CA13DC1" w14:paraId="0E894B70" w14:textId="3D77A495">
            <w:pPr>
              <w:pStyle w:val="Normal"/>
              <w:suppressLineNumbers w:val="0"/>
              <w:bidi w:val="0"/>
              <w:spacing w:before="0" w:beforeAutospacing="off" w:after="0" w:afterAutospacing="off" w:line="240" w:lineRule="auto"/>
              <w:ind w:left="-20" w:right="-20"/>
              <w:jc w:val="center"/>
            </w:pPr>
            <w:r w:rsidRPr="4829C897" w:rsidR="7ED3FBB0">
              <w:rPr>
                <w:rFonts w:ascii="Calibri" w:hAnsi="Calibri" w:eastAsia="Calibri" w:cs="Calibri"/>
                <w:sz w:val="22"/>
                <w:szCs w:val="22"/>
              </w:rPr>
              <w:t>Sean T Campbell, PhD</w:t>
            </w:r>
          </w:p>
        </w:tc>
        <w:tc>
          <w:tcPr>
            <w:tcW w:w="3735" w:type="dxa"/>
            <w:tcBorders>
              <w:top w:val="single" w:sz="8"/>
              <w:left w:val="single" w:sz="8"/>
              <w:bottom w:val="nil"/>
              <w:right w:val="single" w:sz="8"/>
            </w:tcBorders>
            <w:tcMar/>
            <w:vAlign w:val="top"/>
          </w:tcPr>
          <w:p w:rsidR="0CA13DC1" w:rsidP="537D3D66" w:rsidRDefault="0CA13DC1" w14:paraId="5F26351D" w14:textId="5C138700">
            <w:pPr>
              <w:spacing w:before="0" w:beforeAutospacing="off" w:after="0" w:afterAutospacing="off"/>
              <w:ind w:left="-20" w:right="-20"/>
              <w:jc w:val="center"/>
              <w:rPr>
                <w:rFonts w:ascii="Calibri" w:hAnsi="Calibri" w:eastAsia="Calibri" w:cs="Calibri"/>
                <w:sz w:val="22"/>
                <w:szCs w:val="22"/>
              </w:rPr>
            </w:pPr>
            <w:r w:rsidRPr="4829C897" w:rsidR="7ED3FBB0">
              <w:rPr>
                <w:rFonts w:ascii="Calibri" w:hAnsi="Calibri" w:eastAsia="Calibri" w:cs="Calibri"/>
                <w:sz w:val="22"/>
                <w:szCs w:val="22"/>
              </w:rPr>
              <w:t>Coagulation Sciences</w:t>
            </w:r>
          </w:p>
          <w:p w:rsidR="6AE1E580" w:rsidP="4829C897" w:rsidRDefault="6AE1E580" w14:paraId="12C4AD53" w14:textId="2ACE08CA">
            <w:pPr>
              <w:pStyle w:val="Normal"/>
              <w:suppressLineNumbers w:val="0"/>
              <w:bidi w:val="0"/>
              <w:spacing w:before="0" w:beforeAutospacing="off" w:after="0" w:afterAutospacing="off" w:line="240" w:lineRule="auto"/>
              <w:ind w:left="-20" w:right="-20"/>
              <w:jc w:val="center"/>
            </w:pPr>
            <w:r w:rsidRPr="4829C897" w:rsidR="6AE1E580">
              <w:rPr>
                <w:rFonts w:ascii="Calibri" w:hAnsi="Calibri" w:eastAsia="Calibri" w:cs="Calibri"/>
                <w:sz w:val="22"/>
                <w:szCs w:val="22"/>
              </w:rPr>
              <w:t>Sebia, Inc</w:t>
            </w:r>
          </w:p>
          <w:p w:rsidR="73A483EE" w:rsidP="4829C897" w:rsidRDefault="73A483EE" w14:paraId="73BFA4EE" w14:textId="5DD5342D">
            <w:pPr>
              <w:pStyle w:val="Normal"/>
              <w:suppressLineNumbers w:val="0"/>
              <w:bidi w:val="0"/>
              <w:spacing w:before="0" w:beforeAutospacing="off" w:after="0" w:afterAutospacing="off" w:line="240" w:lineRule="auto"/>
              <w:ind w:left="-20" w:right="-20"/>
              <w:jc w:val="center"/>
            </w:pPr>
            <w:r w:rsidRPr="4829C897" w:rsidR="73A483EE">
              <w:rPr>
                <w:rFonts w:ascii="Calibri" w:hAnsi="Calibri" w:eastAsia="Calibri" w:cs="Calibri"/>
                <w:sz w:val="22"/>
                <w:szCs w:val="22"/>
              </w:rPr>
              <w:t>Pfizer, Inc</w:t>
            </w:r>
          </w:p>
          <w:p w:rsidR="149672D5" w:rsidP="4829C897" w:rsidRDefault="149672D5" w14:paraId="4B14C580" w14:textId="13A8C2FA">
            <w:pPr>
              <w:pStyle w:val="Normal"/>
              <w:suppressLineNumbers w:val="0"/>
              <w:bidi w:val="0"/>
              <w:spacing w:before="0" w:beforeAutospacing="off" w:after="0" w:afterAutospacing="off" w:line="240" w:lineRule="auto"/>
              <w:ind w:left="-20" w:right="-20"/>
              <w:jc w:val="center"/>
            </w:pPr>
            <w:r w:rsidRPr="4829C897" w:rsidR="149672D5">
              <w:rPr>
                <w:rFonts w:ascii="Calibri" w:hAnsi="Calibri" w:eastAsia="Calibri" w:cs="Calibri"/>
                <w:sz w:val="22"/>
                <w:szCs w:val="22"/>
              </w:rPr>
              <w:t>Stago Diagnostica</w:t>
            </w:r>
          </w:p>
          <w:p w:rsidR="0CA13DC1" w:rsidP="537D3D66" w:rsidRDefault="0CA13DC1" w14:paraId="22BC852A" w14:textId="2DE0D2AF">
            <w:pPr>
              <w:spacing w:before="0" w:beforeAutospacing="off" w:after="0" w:afterAutospacing="off"/>
              <w:ind w:left="-20" w:right="-20"/>
              <w:jc w:val="center"/>
              <w:rPr>
                <w:rFonts w:ascii="Calibri" w:hAnsi="Calibri" w:eastAsia="Calibri" w:cs="Calibri"/>
                <w:sz w:val="22"/>
                <w:szCs w:val="22"/>
              </w:rPr>
            </w:pPr>
          </w:p>
        </w:tc>
        <w:tc>
          <w:tcPr>
            <w:tcW w:w="2970" w:type="dxa"/>
            <w:tcBorders>
              <w:top w:val="single" w:sz="8"/>
              <w:left w:val="single" w:sz="8"/>
              <w:bottom w:val="nil"/>
              <w:right w:val="single" w:sz="8"/>
            </w:tcBorders>
            <w:tcMar/>
            <w:vAlign w:val="top"/>
          </w:tcPr>
          <w:p w:rsidR="0CA13DC1" w:rsidP="4829C897" w:rsidRDefault="0CA13DC1" w14:paraId="51F1B36E" w14:textId="12628E3D">
            <w:pPr>
              <w:pStyle w:val="Normal"/>
              <w:suppressLineNumbers w:val="0"/>
              <w:bidi w:val="0"/>
              <w:spacing w:before="0" w:beforeAutospacing="off" w:after="0" w:afterAutospacing="off" w:line="240" w:lineRule="auto"/>
              <w:ind w:left="-20" w:right="-20"/>
              <w:jc w:val="center"/>
            </w:pPr>
            <w:r w:rsidRPr="4829C897" w:rsidR="441A56D4">
              <w:rPr>
                <w:rFonts w:ascii="Calibri" w:hAnsi="Calibri" w:eastAsia="Calibri" w:cs="Calibri"/>
                <w:sz w:val="22"/>
                <w:szCs w:val="22"/>
              </w:rPr>
              <w:t>Clinical Advisor</w:t>
            </w:r>
          </w:p>
          <w:p w:rsidR="0CA13DC1" w:rsidP="4829C897" w:rsidRDefault="0CA13DC1" w14:paraId="6ABFEBCA" w14:textId="4F380163">
            <w:pPr>
              <w:pStyle w:val="Normal"/>
              <w:suppressLineNumbers w:val="0"/>
              <w:bidi w:val="0"/>
              <w:spacing w:before="0" w:beforeAutospacing="off" w:after="0" w:afterAutospacing="off" w:line="240" w:lineRule="auto"/>
              <w:ind w:left="-20" w:right="-20"/>
              <w:jc w:val="center"/>
            </w:pPr>
            <w:r w:rsidRPr="4829C897" w:rsidR="6FDAF8E0">
              <w:rPr>
                <w:rFonts w:ascii="Calibri" w:hAnsi="Calibri" w:eastAsia="Calibri" w:cs="Calibri"/>
                <w:sz w:val="22"/>
                <w:szCs w:val="22"/>
              </w:rPr>
              <w:t>Research Support</w:t>
            </w:r>
          </w:p>
          <w:p w:rsidR="0CA13DC1" w:rsidP="4829C897" w:rsidRDefault="0CA13DC1" w14:paraId="49C2D557" w14:textId="5D19B744">
            <w:pPr>
              <w:pStyle w:val="Normal"/>
              <w:suppressLineNumbers w:val="0"/>
              <w:bidi w:val="0"/>
              <w:spacing w:before="0" w:beforeAutospacing="off" w:after="0" w:afterAutospacing="off" w:line="240" w:lineRule="auto"/>
              <w:ind w:left="-20" w:right="-20"/>
              <w:jc w:val="center"/>
            </w:pPr>
            <w:r w:rsidRPr="4829C897" w:rsidR="7E9C673F">
              <w:rPr>
                <w:rFonts w:ascii="Calibri" w:hAnsi="Calibri" w:eastAsia="Calibri" w:cs="Calibri"/>
                <w:sz w:val="22"/>
                <w:szCs w:val="22"/>
              </w:rPr>
              <w:t>Research Support</w:t>
            </w:r>
          </w:p>
          <w:p w:rsidR="0CA13DC1" w:rsidP="4829C897" w:rsidRDefault="0CA13DC1" w14:paraId="1CA8A7D6" w14:textId="558F79D4">
            <w:pPr>
              <w:pStyle w:val="Normal"/>
              <w:suppressLineNumbers w:val="0"/>
              <w:bidi w:val="0"/>
              <w:spacing w:before="0" w:beforeAutospacing="off" w:after="0" w:afterAutospacing="off" w:line="240" w:lineRule="auto"/>
              <w:ind w:left="-20" w:right="-20"/>
              <w:jc w:val="center"/>
            </w:pPr>
            <w:r w:rsidRPr="4829C897" w:rsidR="0675AC3F">
              <w:rPr>
                <w:rFonts w:ascii="Calibri" w:hAnsi="Calibri" w:eastAsia="Calibri" w:cs="Calibri"/>
                <w:sz w:val="22"/>
                <w:szCs w:val="22"/>
              </w:rPr>
              <w:t>Honoraria</w:t>
            </w:r>
          </w:p>
        </w:tc>
      </w:tr>
      <w:tr w:rsidR="0CA13DC1" w:rsidTr="4829C897" w14:paraId="7D6B0F28">
        <w:trPr>
          <w:trHeight w:val="300"/>
        </w:trPr>
        <w:tc>
          <w:tcPr>
            <w:tcW w:w="2280" w:type="dxa"/>
            <w:tcBorders>
              <w:top w:val="nil"/>
              <w:left w:val="single" w:sz="8"/>
              <w:bottom w:val="nil"/>
              <w:right w:val="single" w:sz="8"/>
            </w:tcBorders>
            <w:tcMar/>
            <w:vAlign w:val="top"/>
          </w:tcPr>
          <w:p w:rsidR="0CA13DC1" w:rsidP="0CA13DC1" w:rsidRDefault="0CA13DC1" w14:paraId="56319387" w14:textId="01EE9A34">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3735" w:type="dxa"/>
            <w:tcBorders>
              <w:top w:val="nil"/>
              <w:left w:val="single" w:sz="8"/>
              <w:bottom w:val="nil"/>
              <w:right w:val="single" w:sz="8"/>
            </w:tcBorders>
            <w:tcMar/>
            <w:vAlign w:val="top"/>
          </w:tcPr>
          <w:p w:rsidR="0CA13DC1" w:rsidP="0CA13DC1" w:rsidRDefault="0CA13DC1" w14:paraId="050B61AE" w14:textId="2CE16DCE">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2970" w:type="dxa"/>
            <w:tcBorders>
              <w:top w:val="nil"/>
              <w:left w:val="single" w:sz="8"/>
              <w:bottom w:val="nil"/>
              <w:right w:val="single" w:sz="8"/>
            </w:tcBorders>
            <w:tcMar/>
            <w:vAlign w:val="top"/>
          </w:tcPr>
          <w:p w:rsidR="0CA13DC1" w:rsidP="0CA13DC1" w:rsidRDefault="0CA13DC1" w14:paraId="7A353B5F" w14:textId="5B595EA2">
            <w:pPr>
              <w:spacing w:before="0" w:beforeAutospacing="off" w:after="0" w:afterAutospacing="off"/>
              <w:ind w:left="-20" w:right="-20"/>
            </w:pPr>
            <w:r w:rsidRPr="0CA13DC1" w:rsidR="0CA13DC1">
              <w:rPr>
                <w:rFonts w:ascii="Calibri" w:hAnsi="Calibri" w:eastAsia="Calibri" w:cs="Calibri"/>
                <w:sz w:val="22"/>
                <w:szCs w:val="22"/>
              </w:rPr>
              <w:t xml:space="preserve"> </w:t>
            </w:r>
          </w:p>
        </w:tc>
      </w:tr>
      <w:tr w:rsidR="0CA13DC1" w:rsidTr="4829C897" w14:paraId="7FF1AF8B">
        <w:trPr>
          <w:trHeight w:val="300"/>
        </w:trPr>
        <w:tc>
          <w:tcPr>
            <w:tcW w:w="2280" w:type="dxa"/>
            <w:tcBorders>
              <w:top w:val="nil"/>
              <w:left w:val="single" w:sz="8"/>
              <w:bottom w:val="single" w:sz="8"/>
              <w:right w:val="single" w:sz="8"/>
            </w:tcBorders>
            <w:tcMar/>
            <w:vAlign w:val="top"/>
          </w:tcPr>
          <w:p w:rsidR="0CA13DC1" w:rsidP="0CA13DC1" w:rsidRDefault="0CA13DC1" w14:paraId="42231066" w14:textId="66E35A21">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3735" w:type="dxa"/>
            <w:tcBorders>
              <w:top w:val="nil"/>
              <w:left w:val="single" w:sz="8"/>
              <w:bottom w:val="single" w:sz="8"/>
              <w:right w:val="single" w:sz="8"/>
            </w:tcBorders>
            <w:tcMar/>
            <w:vAlign w:val="top"/>
          </w:tcPr>
          <w:p w:rsidR="0CA13DC1" w:rsidP="0CA13DC1" w:rsidRDefault="0CA13DC1" w14:paraId="18EA2905" w14:textId="4688201C">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c>
          <w:tcPr>
            <w:tcW w:w="2970" w:type="dxa"/>
            <w:tcBorders>
              <w:top w:val="nil"/>
              <w:left w:val="single" w:sz="8"/>
              <w:bottom w:val="single" w:sz="8"/>
              <w:right w:val="single" w:sz="8"/>
            </w:tcBorders>
            <w:tcMar/>
            <w:vAlign w:val="top"/>
          </w:tcPr>
          <w:p w:rsidR="0CA13DC1" w:rsidP="0CA13DC1" w:rsidRDefault="0CA13DC1" w14:paraId="2C9220FC" w14:textId="42A164EE">
            <w:pPr>
              <w:spacing w:before="0" w:beforeAutospacing="off" w:after="0" w:afterAutospacing="off"/>
              <w:ind w:left="-20" w:right="-20"/>
              <w:jc w:val="center"/>
            </w:pPr>
            <w:r w:rsidRPr="0CA13DC1" w:rsidR="0CA13DC1">
              <w:rPr>
                <w:rFonts w:ascii="Calibri" w:hAnsi="Calibri" w:eastAsia="Calibri" w:cs="Calibri"/>
                <w:sz w:val="22"/>
                <w:szCs w:val="22"/>
              </w:rPr>
              <w:t xml:space="preserve"> </w:t>
            </w:r>
          </w:p>
        </w:tc>
      </w:tr>
    </w:tbl>
    <w:p w:rsidRPr="00D825C6" w:rsidR="00150F6B" w:rsidP="0CA13DC1" w:rsidRDefault="00150F6B" w14:paraId="76F7DAF2" w14:textId="4F58FFD6">
      <w:pPr>
        <w:ind w:left="-20" w:right="-20"/>
        <w:rPr>
          <w:rFonts w:ascii="Times New Roman" w:hAnsi="Times New Roman" w:eastAsia="Times New Roman" w:cs="Times New Roman"/>
          <w:noProof w:val="0"/>
          <w:sz w:val="24"/>
          <w:szCs w:val="24"/>
          <w:lang w:val="en-US"/>
        </w:rPr>
      </w:pPr>
    </w:p>
    <w:p w:rsidRPr="00D825C6" w:rsidR="00150F6B" w:rsidP="0CA13DC1" w:rsidRDefault="00150F6B" w14:paraId="672A6659" w14:textId="17D539BD">
      <w:pPr>
        <w:pStyle w:val="Normal"/>
        <w:rPr>
          <w:rFonts w:ascii="Calibri" w:hAnsi="Calibri"/>
          <w:b w:val="1"/>
          <w:bCs w:val="1"/>
          <w:sz w:val="28"/>
          <w:szCs w:val="28"/>
        </w:rPr>
      </w:pPr>
    </w:p>
    <w:p w:rsidRPr="002308B7" w:rsidR="002308B7" w:rsidP="002308B7" w:rsidRDefault="002308B7" w14:paraId="4B94D5A5" w14:textId="77777777">
      <w:pPr>
        <w:rPr>
          <w:lang w:val="it-IT"/>
        </w:rPr>
      </w:pPr>
    </w:p>
    <w:p w:rsidRPr="00E32D28" w:rsidR="00C813D7" w:rsidP="009F4C43" w:rsidRDefault="00C813D7" w14:paraId="3DEEC669" w14:textId="77777777">
      <w:pPr>
        <w:ind w:left="720"/>
        <w:rPr>
          <w:rFonts w:asciiTheme="minorHAnsi" w:hAnsiTheme="minorHAnsi"/>
          <w:lang w:val="it-IT"/>
        </w:rPr>
      </w:pPr>
    </w:p>
    <w:p w:rsidRPr="00E32D28" w:rsidR="00150F6B" w:rsidP="00150F6B" w:rsidRDefault="00150F6B" w14:paraId="374DAACB" w14:textId="77777777">
      <w:pPr>
        <w:autoSpaceDE w:val="0"/>
        <w:autoSpaceDN w:val="0"/>
        <w:adjustRightInd w:val="0"/>
        <w:rPr>
          <w:rFonts w:asciiTheme="minorHAnsi" w:hAnsiTheme="minorHAnsi"/>
        </w:rPr>
      </w:pPr>
      <w:r w:rsidRPr="00E32D28">
        <w:rPr>
          <w:rFonts w:asciiTheme="minorHAnsi" w:hAnsiTheme="minorHAnsi"/>
          <w:b/>
          <w:bCs/>
        </w:rPr>
        <w:t xml:space="preserve">Credit Designation: </w:t>
      </w:r>
      <w:r w:rsidRPr="00E32D28">
        <w:rPr>
          <w:rFonts w:asciiTheme="minorHAnsi" w:hAnsiTheme="minorHAnsi"/>
        </w:rPr>
        <w:t>The ASCP designates this endu</w:t>
      </w:r>
      <w:r w:rsidRPr="00E32D28" w:rsidR="00EE2859">
        <w:rPr>
          <w:rFonts w:asciiTheme="minorHAnsi" w:hAnsiTheme="minorHAnsi"/>
        </w:rPr>
        <w:t>ring material for a maximum of 2</w:t>
      </w:r>
      <w:r w:rsidRPr="00E32D28">
        <w:rPr>
          <w:rFonts w:asciiTheme="minorHAnsi" w:hAnsiTheme="minorHAnsi"/>
        </w:rPr>
        <w:t xml:space="preserve"> </w:t>
      </w:r>
      <w:r w:rsidRPr="00E32D28" w:rsidR="00EE2859">
        <w:rPr>
          <w:rFonts w:asciiTheme="minorHAnsi" w:hAnsiTheme="minorHAnsi"/>
          <w:i/>
        </w:rPr>
        <w:t>AMA PRA Category 1</w:t>
      </w:r>
      <w:r w:rsidRPr="00E32D28">
        <w:rPr>
          <w:rFonts w:asciiTheme="minorHAnsi" w:hAnsiTheme="minorHAnsi"/>
          <w:i/>
        </w:rPr>
        <w:t xml:space="preserve"> Credits™</w:t>
      </w:r>
      <w:r w:rsidRPr="00E32D28">
        <w:rPr>
          <w:rFonts w:asciiTheme="minorHAnsi" w:hAnsiTheme="minorHAnsi"/>
        </w:rPr>
        <w:t>. Physicians should only claim credit commensurate with the extent of their participation in the activity.</w:t>
      </w:r>
    </w:p>
    <w:p w:rsidRPr="00E32D28" w:rsidR="00150F6B" w:rsidP="00150F6B" w:rsidRDefault="00150F6B" w14:paraId="3656B9AB" w14:textId="77777777">
      <w:pPr>
        <w:autoSpaceDE w:val="0"/>
        <w:autoSpaceDN w:val="0"/>
        <w:adjustRightInd w:val="0"/>
        <w:rPr>
          <w:rFonts w:asciiTheme="minorHAnsi" w:hAnsiTheme="minorHAnsi"/>
        </w:rPr>
      </w:pPr>
    </w:p>
    <w:p w:rsidRPr="00E32D28" w:rsidR="00150F6B" w:rsidP="00150F6B" w:rsidRDefault="00150F6B" w14:paraId="08273EFD" w14:textId="77777777">
      <w:pPr>
        <w:autoSpaceDE w:val="0"/>
        <w:autoSpaceDN w:val="0"/>
        <w:adjustRightInd w:val="0"/>
        <w:rPr>
          <w:rFonts w:asciiTheme="minorHAnsi" w:hAnsiTheme="minorHAnsi"/>
        </w:rPr>
      </w:pPr>
      <w:r w:rsidRPr="00E32D28">
        <w:rPr>
          <w:rFonts w:asciiTheme="minorHAnsi" w:hAnsiTheme="minorHAnsi"/>
        </w:rPr>
        <w:t xml:space="preserve">ASCP continuing education activities are accepted by California, Florida, and many other states for </w:t>
      </w:r>
      <w:proofErr w:type="spellStart"/>
      <w:r w:rsidRPr="00E32D28">
        <w:rPr>
          <w:rFonts w:asciiTheme="minorHAnsi" w:hAnsiTheme="minorHAnsi"/>
        </w:rPr>
        <w:t>relicensure</w:t>
      </w:r>
      <w:proofErr w:type="spellEnd"/>
      <w:r w:rsidRPr="00E32D28">
        <w:rPr>
          <w:rFonts w:asciiTheme="minorHAnsi" w:hAnsiTheme="minorHAnsi"/>
        </w:rPr>
        <w:t xml:space="preserve"> of clinical laboratory personnel. ASCP designates these activities for the indicated number of Continuing Medical Laboratory Education (CMLE) credit hours. ASCP CMLE credit hours are acceptable to meet the continuing education requirements for the ASCP Board of Registry Certification Maintenance Program. All ASCP CMLE programs are conducted at </w:t>
      </w:r>
      <w:proofErr w:type="gramStart"/>
      <w:r w:rsidRPr="00E32D28">
        <w:rPr>
          <w:rFonts w:asciiTheme="minorHAnsi" w:hAnsiTheme="minorHAnsi"/>
        </w:rPr>
        <w:t>intermediate</w:t>
      </w:r>
      <w:proofErr w:type="gramEnd"/>
    </w:p>
    <w:p w:rsidRPr="00E32D28" w:rsidR="00150F6B" w:rsidP="00150F6B" w:rsidRDefault="00150F6B" w14:paraId="75C97706" w14:textId="77777777">
      <w:pPr>
        <w:autoSpaceDE w:val="0"/>
        <w:autoSpaceDN w:val="0"/>
        <w:adjustRightInd w:val="0"/>
        <w:rPr>
          <w:rFonts w:asciiTheme="minorHAnsi" w:hAnsiTheme="minorHAnsi"/>
        </w:rPr>
      </w:pPr>
      <w:r w:rsidRPr="00E32D28">
        <w:rPr>
          <w:rFonts w:asciiTheme="minorHAnsi" w:hAnsiTheme="minorHAnsi"/>
        </w:rPr>
        <w:t>to advanced levels of learning.</w:t>
      </w:r>
    </w:p>
    <w:p w:rsidRPr="00E32D28" w:rsidR="00150F6B" w:rsidP="00150F6B" w:rsidRDefault="00150F6B" w14:paraId="45FB0818" w14:textId="77777777">
      <w:pPr>
        <w:autoSpaceDE w:val="0"/>
        <w:autoSpaceDN w:val="0"/>
        <w:adjustRightInd w:val="0"/>
        <w:rPr>
          <w:rFonts w:asciiTheme="minorHAnsi" w:hAnsiTheme="minorHAnsi"/>
        </w:rPr>
      </w:pPr>
    </w:p>
    <w:p w:rsidRPr="00E32D28" w:rsidR="00150F6B" w:rsidP="00150F6B" w:rsidRDefault="00150F6B" w14:paraId="36EED166" w14:textId="77777777">
      <w:pPr>
        <w:autoSpaceDE w:val="0"/>
        <w:autoSpaceDN w:val="0"/>
        <w:adjustRightInd w:val="0"/>
        <w:rPr>
          <w:rFonts w:asciiTheme="minorHAnsi" w:hAnsiTheme="minorHAnsi"/>
        </w:rPr>
      </w:pPr>
      <w:r w:rsidRPr="00E32D28">
        <w:rPr>
          <w:rFonts w:asciiTheme="minorHAnsi" w:hAnsiTheme="minorHAnsi"/>
        </w:rPr>
        <w:t>Continuing medical education (CME) activities offered by ASCP are acceptable for the American Board of Pathology’s Maintenance of Certification Program.</w:t>
      </w:r>
    </w:p>
    <w:p w:rsidRPr="00E32D28" w:rsidR="00150F6B" w:rsidP="00150F6B" w:rsidRDefault="00150F6B" w14:paraId="049F31CB" w14:textId="77777777">
      <w:pPr>
        <w:autoSpaceDE w:val="0"/>
        <w:autoSpaceDN w:val="0"/>
        <w:adjustRightInd w:val="0"/>
        <w:rPr>
          <w:rFonts w:asciiTheme="minorHAnsi" w:hAnsiTheme="minorHAnsi"/>
        </w:rPr>
      </w:pPr>
    </w:p>
    <w:p w:rsidRPr="00E32D28" w:rsidR="00150F6B" w:rsidP="00150F6B" w:rsidRDefault="00150F6B" w14:paraId="0CCDB319" w14:textId="77777777">
      <w:pPr>
        <w:autoSpaceDE w:val="0"/>
        <w:autoSpaceDN w:val="0"/>
        <w:adjustRightInd w:val="0"/>
        <w:rPr>
          <w:rFonts w:asciiTheme="minorHAnsi" w:hAnsiTheme="minorHAnsi"/>
        </w:rPr>
      </w:pPr>
      <w:r w:rsidRPr="00E32D28">
        <w:rPr>
          <w:rFonts w:asciiTheme="minorHAnsi" w:hAnsiTheme="minorHAnsi"/>
          <w:b/>
          <w:bCs/>
        </w:rPr>
        <w:t xml:space="preserve">Program Content and Disclosures: </w:t>
      </w:r>
      <w:r w:rsidRPr="00E32D28">
        <w:rPr>
          <w:rFonts w:asciiTheme="minorHAnsi" w:hAnsiTheme="minorHAnsi"/>
        </w:rPr>
        <w:t xml:space="preserve">The primary purpose of this activity is educational and the comments, opinions, and/or recommendations expressed by the faculty or authors are their own and not those of the ASCP. There may be, on occasion, changes in faculty and program content. In order to ensure balance, independence, objectivity, and scientific rigor in all its educational activities, and in accordance with ACCME Standards, the ASCP requires all individuals in positions to influence and/or control the content of ASCP CME activities to disclose whether they do or do not have any relevant financial relationships with proprietary entities producing health care goods or </w:t>
      </w:r>
      <w:r w:rsidRPr="00E32D28">
        <w:rPr>
          <w:rFonts w:asciiTheme="minorHAnsi" w:hAnsiTheme="minorHAnsi"/>
        </w:rPr>
        <w:lastRenderedPageBreak/>
        <w:t xml:space="preserve">services that are discussed in the CME activities, with the exemption of non-profit or government organizations and non-health care related companies. These relationships are </w:t>
      </w:r>
      <w:proofErr w:type="gramStart"/>
      <w:r w:rsidRPr="00E32D28">
        <w:rPr>
          <w:rFonts w:asciiTheme="minorHAnsi" w:hAnsiTheme="minorHAnsi"/>
        </w:rPr>
        <w:t>reviewed</w:t>
      </w:r>
      <w:proofErr w:type="gramEnd"/>
      <w:r w:rsidRPr="00E32D28">
        <w:rPr>
          <w:rFonts w:asciiTheme="minorHAnsi" w:hAnsiTheme="minorHAnsi"/>
        </w:rPr>
        <w:t xml:space="preserve"> and any identified conflicts of interest are resolved prior to the activity. Commission members have no relevant financial relationships to disclose.</w:t>
      </w:r>
    </w:p>
    <w:p w:rsidRPr="00E32D28" w:rsidR="00150F6B" w:rsidP="00150F6B" w:rsidRDefault="00150F6B" w14:paraId="53128261" w14:textId="77777777">
      <w:pPr>
        <w:autoSpaceDE w:val="0"/>
        <w:autoSpaceDN w:val="0"/>
        <w:adjustRightInd w:val="0"/>
        <w:rPr>
          <w:rFonts w:asciiTheme="minorHAnsi" w:hAnsiTheme="minorHAnsi"/>
        </w:rPr>
      </w:pPr>
    </w:p>
    <w:p w:rsidRPr="00E32D28" w:rsidR="00150F6B" w:rsidP="00150F6B" w:rsidRDefault="00150F6B" w14:paraId="11A6B5A4" w14:textId="77777777">
      <w:pPr>
        <w:autoSpaceDE w:val="0"/>
        <w:autoSpaceDN w:val="0"/>
        <w:adjustRightInd w:val="0"/>
        <w:rPr>
          <w:rFonts w:asciiTheme="minorHAnsi" w:hAnsiTheme="minorHAnsi"/>
        </w:rPr>
      </w:pPr>
      <w:r w:rsidRPr="00E32D28">
        <w:rPr>
          <w:rFonts w:asciiTheme="minorHAnsi" w:hAnsiTheme="minorHAnsi"/>
        </w:rPr>
        <w:t>Faculty are asked to use generic names in any discussion of therapeutic options, to base patient care recommendations on scientific evidence, and to base information regarding commercial products/services on scientific methods generally accepted by the medical community. All ASCP CME activities are evaluated by participants for the presence of any commercial bias and this input is utilized for subsequent CME planning decisions.</w:t>
      </w:r>
    </w:p>
    <w:p w:rsidRPr="00E32D28" w:rsidR="00150F6B" w:rsidP="00150F6B" w:rsidRDefault="00150F6B" w14:paraId="62486C05" w14:textId="77777777">
      <w:pPr>
        <w:autoSpaceDE w:val="0"/>
        <w:autoSpaceDN w:val="0"/>
        <w:adjustRightInd w:val="0"/>
        <w:rPr>
          <w:rFonts w:asciiTheme="minorHAnsi" w:hAnsiTheme="minorHAnsi"/>
          <w:b/>
          <w:bCs/>
        </w:rPr>
      </w:pPr>
    </w:p>
    <w:p w:rsidRPr="00E32D28" w:rsidR="00150F6B" w:rsidP="00150F6B" w:rsidRDefault="00150F6B" w14:paraId="4101652C" w14:textId="77777777">
      <w:pPr>
        <w:autoSpaceDE w:val="0"/>
        <w:autoSpaceDN w:val="0"/>
        <w:adjustRightInd w:val="0"/>
        <w:rPr>
          <w:rFonts w:asciiTheme="minorHAnsi" w:hAnsiTheme="minorHAnsi"/>
          <w:b/>
          <w:bCs/>
        </w:rPr>
      </w:pPr>
    </w:p>
    <w:p w:rsidRPr="00E32D28" w:rsidR="00150F6B" w:rsidP="00150F6B" w:rsidRDefault="00150F6B" w14:paraId="571B2A3A" w14:textId="77777777">
      <w:pPr>
        <w:autoSpaceDE w:val="0"/>
        <w:autoSpaceDN w:val="0"/>
        <w:adjustRightInd w:val="0"/>
        <w:rPr>
          <w:rFonts w:asciiTheme="minorHAnsi" w:hAnsiTheme="minorHAnsi"/>
        </w:rPr>
      </w:pPr>
      <w:r w:rsidRPr="00E32D28">
        <w:rPr>
          <w:rFonts w:asciiTheme="minorHAnsi" w:hAnsiTheme="minorHAnsi"/>
          <w:b/>
          <w:bCs/>
        </w:rPr>
        <w:t xml:space="preserve">This program is published by: </w:t>
      </w:r>
      <w:r w:rsidRPr="00E32D28">
        <w:rPr>
          <w:rFonts w:asciiTheme="minorHAnsi" w:hAnsiTheme="minorHAnsi"/>
        </w:rPr>
        <w:t>The American Society for Clinical Pathology, 33 West Monroe, Suite 1600, Chicago, Illinois 60603</w:t>
      </w:r>
    </w:p>
    <w:p w:rsidRPr="00E32D28" w:rsidR="00150F6B" w:rsidP="00150F6B" w:rsidRDefault="00150F6B" w14:paraId="4B99056E" w14:textId="77777777">
      <w:pPr>
        <w:rPr>
          <w:rFonts w:asciiTheme="minorHAnsi" w:hAnsiTheme="minorHAnsi"/>
        </w:rPr>
      </w:pPr>
    </w:p>
    <w:p w:rsidRPr="00E32D28" w:rsidR="00C304F3" w:rsidRDefault="00C304F3" w14:paraId="1299C43A" w14:textId="77777777">
      <w:pPr>
        <w:rPr>
          <w:rFonts w:asciiTheme="minorHAnsi" w:hAnsiTheme="minorHAnsi"/>
        </w:rPr>
      </w:pPr>
    </w:p>
    <w:sectPr w:rsidRPr="00E32D28" w:rsidR="00C304F3" w:rsidSect="00D738ED">
      <w:pgSz w:w="12240" w:h="15840" w:orient="portrait"/>
      <w:pgMar w:top="1440" w:right="1182" w:bottom="1440" w:left="13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0B"/>
    <w:multiLevelType w:val="hybridMultilevel"/>
    <w:tmpl w:val="F926BE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D5A49B1"/>
    <w:multiLevelType w:val="hybridMultilevel"/>
    <w:tmpl w:val="872C0C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840AB7"/>
    <w:multiLevelType w:val="hybridMultilevel"/>
    <w:tmpl w:val="9720129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9250997"/>
    <w:multiLevelType w:val="hybridMultilevel"/>
    <w:tmpl w:val="36CEE8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25801766">
    <w:abstractNumId w:val="3"/>
  </w:num>
  <w:num w:numId="2" w16cid:durableId="1366980682">
    <w:abstractNumId w:val="2"/>
  </w:num>
  <w:num w:numId="3" w16cid:durableId="102651117">
    <w:abstractNumId w:val="1"/>
  </w:num>
  <w:num w:numId="4" w16cid:durableId="199984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F6B"/>
    <w:rsid w:val="00010094"/>
    <w:rsid w:val="00063E48"/>
    <w:rsid w:val="00150F6B"/>
    <w:rsid w:val="00190500"/>
    <w:rsid w:val="001E3E87"/>
    <w:rsid w:val="002308B7"/>
    <w:rsid w:val="002B4E41"/>
    <w:rsid w:val="00342FD2"/>
    <w:rsid w:val="00402142"/>
    <w:rsid w:val="00405089"/>
    <w:rsid w:val="0049489B"/>
    <w:rsid w:val="00551643"/>
    <w:rsid w:val="005E1832"/>
    <w:rsid w:val="005F0FEF"/>
    <w:rsid w:val="00643602"/>
    <w:rsid w:val="007E77A7"/>
    <w:rsid w:val="00864805"/>
    <w:rsid w:val="008E7854"/>
    <w:rsid w:val="009952EA"/>
    <w:rsid w:val="009C0E23"/>
    <w:rsid w:val="009F4C43"/>
    <w:rsid w:val="00A66CEB"/>
    <w:rsid w:val="00B10AE7"/>
    <w:rsid w:val="00B17AB8"/>
    <w:rsid w:val="00B43675"/>
    <w:rsid w:val="00B7C115"/>
    <w:rsid w:val="00C10452"/>
    <w:rsid w:val="00C304F3"/>
    <w:rsid w:val="00C572B0"/>
    <w:rsid w:val="00C813D7"/>
    <w:rsid w:val="00C96204"/>
    <w:rsid w:val="00D738ED"/>
    <w:rsid w:val="00D850A4"/>
    <w:rsid w:val="00E25FBF"/>
    <w:rsid w:val="00E32D28"/>
    <w:rsid w:val="00E462A0"/>
    <w:rsid w:val="00EE2859"/>
    <w:rsid w:val="00F654AF"/>
    <w:rsid w:val="00FA21C9"/>
    <w:rsid w:val="00FD3A4F"/>
    <w:rsid w:val="0485832A"/>
    <w:rsid w:val="04E523A0"/>
    <w:rsid w:val="0675AC3F"/>
    <w:rsid w:val="0751DE02"/>
    <w:rsid w:val="096ED5D0"/>
    <w:rsid w:val="0B214D7A"/>
    <w:rsid w:val="0BED8178"/>
    <w:rsid w:val="0C16D253"/>
    <w:rsid w:val="0CA13DC1"/>
    <w:rsid w:val="0CE87600"/>
    <w:rsid w:val="0F8F0A7F"/>
    <w:rsid w:val="11B03390"/>
    <w:rsid w:val="125A2576"/>
    <w:rsid w:val="149672D5"/>
    <w:rsid w:val="15A4D5F4"/>
    <w:rsid w:val="16D17739"/>
    <w:rsid w:val="17354838"/>
    <w:rsid w:val="1748D87E"/>
    <w:rsid w:val="19EB7DD5"/>
    <w:rsid w:val="1C67DF07"/>
    <w:rsid w:val="1EFBF1EB"/>
    <w:rsid w:val="2278201D"/>
    <w:rsid w:val="229792A3"/>
    <w:rsid w:val="2417C1C6"/>
    <w:rsid w:val="250E3DCC"/>
    <w:rsid w:val="25B9AF84"/>
    <w:rsid w:val="25FE1392"/>
    <w:rsid w:val="26FB6A83"/>
    <w:rsid w:val="279D8E62"/>
    <w:rsid w:val="27E0A273"/>
    <w:rsid w:val="2804B975"/>
    <w:rsid w:val="2830A905"/>
    <w:rsid w:val="28B1D925"/>
    <w:rsid w:val="2960A720"/>
    <w:rsid w:val="2A3DE097"/>
    <w:rsid w:val="2C90712A"/>
    <w:rsid w:val="2D71C5C4"/>
    <w:rsid w:val="35D63877"/>
    <w:rsid w:val="36FF7FAD"/>
    <w:rsid w:val="374E07B9"/>
    <w:rsid w:val="38388453"/>
    <w:rsid w:val="3BAD1FDC"/>
    <w:rsid w:val="3D54528A"/>
    <w:rsid w:val="3E0FE1AA"/>
    <w:rsid w:val="3E920C49"/>
    <w:rsid w:val="3ECAD984"/>
    <w:rsid w:val="419BB917"/>
    <w:rsid w:val="4272FE9C"/>
    <w:rsid w:val="42E2F5E4"/>
    <w:rsid w:val="441A56D4"/>
    <w:rsid w:val="445EB6CD"/>
    <w:rsid w:val="46A69C51"/>
    <w:rsid w:val="4717DDDA"/>
    <w:rsid w:val="4829C897"/>
    <w:rsid w:val="48B9615E"/>
    <w:rsid w:val="4ECCD7E3"/>
    <w:rsid w:val="4F28A2E2"/>
    <w:rsid w:val="52471B47"/>
    <w:rsid w:val="537D3D66"/>
    <w:rsid w:val="542CE04D"/>
    <w:rsid w:val="54F3DBAB"/>
    <w:rsid w:val="5563E841"/>
    <w:rsid w:val="576A9C86"/>
    <w:rsid w:val="57C44F07"/>
    <w:rsid w:val="58D879C1"/>
    <w:rsid w:val="5B94D969"/>
    <w:rsid w:val="5BADB8FF"/>
    <w:rsid w:val="5FA04996"/>
    <w:rsid w:val="6311753B"/>
    <w:rsid w:val="63145C5C"/>
    <w:rsid w:val="634B91D2"/>
    <w:rsid w:val="654AE0BB"/>
    <w:rsid w:val="6663B1D4"/>
    <w:rsid w:val="66E39E54"/>
    <w:rsid w:val="66FF7C9C"/>
    <w:rsid w:val="68EB60BE"/>
    <w:rsid w:val="69163F53"/>
    <w:rsid w:val="6A524E89"/>
    <w:rsid w:val="6AE1E580"/>
    <w:rsid w:val="6C07E7E8"/>
    <w:rsid w:val="6EC480F3"/>
    <w:rsid w:val="6F8C14D1"/>
    <w:rsid w:val="6FDAF8E0"/>
    <w:rsid w:val="707D57A9"/>
    <w:rsid w:val="7394509A"/>
    <w:rsid w:val="73A483EE"/>
    <w:rsid w:val="74366372"/>
    <w:rsid w:val="78A1D323"/>
    <w:rsid w:val="7C78582C"/>
    <w:rsid w:val="7E9C673F"/>
    <w:rsid w:val="7ED3F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3410"/>
  <w15:docId w15:val="{40DC65A4-A475-47AF-8EDA-8CC6E2B8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0F6B"/>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C10452"/>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50F6B"/>
    <w:rPr>
      <w:rFonts w:ascii="Tahoma" w:hAnsi="Tahoma" w:cs="Tahoma"/>
      <w:sz w:val="16"/>
      <w:szCs w:val="16"/>
    </w:rPr>
  </w:style>
  <w:style w:type="character" w:styleId="BalloonTextChar" w:customStyle="1">
    <w:name w:val="Balloon Text Char"/>
    <w:basedOn w:val="DefaultParagraphFont"/>
    <w:link w:val="BalloonText"/>
    <w:uiPriority w:val="99"/>
    <w:semiHidden/>
    <w:rsid w:val="00150F6B"/>
    <w:rPr>
      <w:rFonts w:ascii="Tahoma" w:hAnsi="Tahoma" w:eastAsia="Times New Roman" w:cs="Tahoma"/>
      <w:sz w:val="16"/>
      <w:szCs w:val="16"/>
    </w:rPr>
  </w:style>
  <w:style w:type="paragraph" w:styleId="Default" w:customStyle="1">
    <w:name w:val="Default"/>
    <w:rsid w:val="009952E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0AE7"/>
    <w:pPr>
      <w:spacing w:after="200" w:line="276"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B10AE7"/>
    <w:pPr>
      <w:spacing w:after="0" w:line="240" w:lineRule="auto"/>
    </w:pPr>
    <w:rPr>
      <w:rFonts w:asciiTheme="minorHAnsi" w:hAns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308B7"/>
    <w:pPr>
      <w:spacing w:before="100" w:beforeAutospacing="1" w:after="100" w:afterAutospacing="1"/>
    </w:pPr>
  </w:style>
  <w:style w:type="character" w:styleId="Heading1Char" w:customStyle="1">
    <w:name w:val="Heading 1 Char"/>
    <w:basedOn w:val="DefaultParagraphFont"/>
    <w:link w:val="Heading1"/>
    <w:uiPriority w:val="9"/>
    <w:rsid w:val="00C10452"/>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E5C91B820A04DA702EDB8A7473C75" ma:contentTypeVersion="17" ma:contentTypeDescription="Create a new document." ma:contentTypeScope="" ma:versionID="ca33dc73c9a6cd3c5d448ae8963d0d91">
  <xsd:schema xmlns:xsd="http://www.w3.org/2001/XMLSchema" xmlns:xs="http://www.w3.org/2001/XMLSchema" xmlns:p="http://schemas.microsoft.com/office/2006/metadata/properties" xmlns:ns2="5e58fbcd-b30c-4990-bdcc-6d96cadf0965" xmlns:ns3="9d99a374-df40-4f2a-9b3d-37502b50c6e7" targetNamespace="http://schemas.microsoft.com/office/2006/metadata/properties" ma:root="true" ma:fieldsID="79dedcfb0dfcd5ee3d53a661677712a3" ns2:_="" ns3:_="">
    <xsd:import namespace="5e58fbcd-b30c-4990-bdcc-6d96cadf0965"/>
    <xsd:import namespace="9d99a374-df40-4f2a-9b3d-37502b50c6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fbcd-b30c-4990-bdcc-6d96cadf0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48d13f-cc16-440a-b209-a462631fa2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9a374-df40-4f2a-9b3d-37502b50c6e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07fca2-a802-4456-b667-e014d1a41aaa}" ma:internalName="TaxCatchAll" ma:showField="CatchAllData" ma:web="9d99a374-df40-4f2a-9b3d-37502b50c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99a374-df40-4f2a-9b3d-37502b50c6e7" xsi:nil="true"/>
    <lcf76f155ced4ddcb4097134ff3c332f xmlns="5e58fbcd-b30c-4990-bdcc-6d96cadf09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E2181-487F-42DD-B4D0-8BB32869DE55}"/>
</file>

<file path=customXml/itemProps2.xml><?xml version="1.0" encoding="utf-8"?>
<ds:datastoreItem xmlns:ds="http://schemas.openxmlformats.org/officeDocument/2006/customXml" ds:itemID="{87C8AAC8-4A70-4B93-B0D7-7BFD7E71022D}">
  <ds:schemaRefs>
    <ds:schemaRef ds:uri="http://schemas.microsoft.com/sharepoint/v3/contenttype/forms"/>
  </ds:schemaRefs>
</ds:datastoreItem>
</file>

<file path=customXml/itemProps3.xml><?xml version="1.0" encoding="utf-8"?>
<ds:datastoreItem xmlns:ds="http://schemas.openxmlformats.org/officeDocument/2006/customXml" ds:itemID="{7570AEF0-9BAB-4526-A103-A6B21ACB6DFE}">
  <ds:schemaRef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d99a374-df40-4f2a-9b3d-37502b50c6e7"/>
    <ds:schemaRef ds:uri="5e58fbcd-b30c-4990-bdcc-6d96cadf0965"/>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kandicek</dc:creator>
  <lastModifiedBy>Larry Lemon</lastModifiedBy>
  <revision>10</revision>
  <lastPrinted>2017-02-24T15:50:00.0000000Z</lastPrinted>
  <dcterms:created xsi:type="dcterms:W3CDTF">2023-06-28T13:08:00.0000000Z</dcterms:created>
  <dcterms:modified xsi:type="dcterms:W3CDTF">2025-12-17T16:37:03.4996124Z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0x010100A6BE5C91B820A04DA702EDB8A7473C75</vt:lpwstr>
  </property>
  <property fmtid="{D5CDD505-2E9C-101B-9397-08002B2CF9AE}" pid="3" name="MediaServiceImageTags">
    <vt:lpwstr/>
  </property>
</Properties>
</file>