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76493" w14:textId="07263469" w:rsidR="002153EA" w:rsidRDefault="002153EA" w:rsidP="002153EA">
      <w:r>
        <w:t>What is the link for the recorded session of the Euna Grants training?</w:t>
      </w:r>
    </w:p>
    <w:p w14:paraId="0D2B5B32" w14:textId="3C856B8E" w:rsidR="002153EA" w:rsidRPr="002153EA" w:rsidRDefault="002153EA" w:rsidP="002153EA">
      <w:hyperlink r:id="rId7" w:history="1">
        <w:r w:rsidRPr="002153EA">
          <w:rPr>
            <w:rStyle w:val="Hyperlink"/>
          </w:rPr>
          <w:t>https://rooms.vidyard.com/rooms/ysDb67ZUlcCdTAoRNosE7g?vy_player_uuid=WwvcavqbC78rJMBQeyQHLV</w:t>
        </w:r>
      </w:hyperlink>
    </w:p>
    <w:p w14:paraId="5AFE0E19" w14:textId="77777777" w:rsidR="002153EA" w:rsidRDefault="002153EA" w:rsidP="00333B71">
      <w:pPr>
        <w:jc w:val="center"/>
      </w:pPr>
    </w:p>
    <w:p w14:paraId="4F6F6BEB" w14:textId="3F0551DC" w:rsidR="00015ED3" w:rsidRDefault="00015ED3" w:rsidP="00641E16">
      <w:r>
        <w:t>Is there a recording for the bidder’s conference?</w:t>
      </w:r>
    </w:p>
    <w:p w14:paraId="1E501634" w14:textId="6867B436" w:rsidR="00015ED3" w:rsidRPr="00015ED3" w:rsidRDefault="00015ED3" w:rsidP="00015ED3">
      <w:pPr>
        <w:pStyle w:val="ListParagraph"/>
        <w:numPr>
          <w:ilvl w:val="0"/>
          <w:numId w:val="99"/>
        </w:numPr>
        <w:rPr>
          <w:color w:val="215E99" w:themeColor="text2" w:themeTint="BF"/>
        </w:rPr>
      </w:pPr>
      <w:r>
        <w:rPr>
          <w:color w:val="215E99" w:themeColor="text2" w:themeTint="BF"/>
        </w:rPr>
        <w:t>No, the bidder’s conference was not recorded.</w:t>
      </w:r>
    </w:p>
    <w:p w14:paraId="12B77D36" w14:textId="5D458796" w:rsidR="00762C39" w:rsidRDefault="00641E16" w:rsidP="00641E16">
      <w:r w:rsidRPr="00641E16">
        <w:t>Is there scoring criteri</w:t>
      </w:r>
      <w:r w:rsidR="007866A1">
        <w:t>on</w:t>
      </w:r>
      <w:r w:rsidRPr="00641E16">
        <w:t> for Title IIIB Supportive Services?  ie. Basic needs such as transportation scoring higher than others?</w:t>
      </w:r>
    </w:p>
    <w:p w14:paraId="45067EDE" w14:textId="23182DA7" w:rsidR="00C75107" w:rsidRPr="00C75107" w:rsidRDefault="00C75107" w:rsidP="00641E16">
      <w:pPr>
        <w:rPr>
          <w:color w:val="156082" w:themeColor="accent1"/>
        </w:rPr>
      </w:pPr>
      <w:r>
        <w:rPr>
          <w:color w:val="156082" w:themeColor="accent1"/>
        </w:rPr>
        <w:t xml:space="preserve">A: Prioritization of essential services is addressed in the scoring criteria. </w:t>
      </w:r>
    </w:p>
    <w:p w14:paraId="51BB695C" w14:textId="77777777" w:rsidR="00C75107" w:rsidRDefault="00C75107" w:rsidP="00641E16"/>
    <w:p w14:paraId="76A1114A" w14:textId="68592373" w:rsidR="00762C39" w:rsidRDefault="00762C39" w:rsidP="00641E16">
      <w:r w:rsidRPr="00762C39">
        <w:t>Will we be able to have a list in June of all the awardees and geographic area they will serve?</w:t>
      </w:r>
    </w:p>
    <w:p w14:paraId="0778FC06" w14:textId="2D2AEC5B" w:rsidR="00762C39" w:rsidRDefault="00C75107" w:rsidP="00641E16">
      <w:pPr>
        <w:rPr>
          <w:color w:val="156082" w:themeColor="accent1"/>
        </w:rPr>
      </w:pPr>
      <w:r w:rsidRPr="00C75107">
        <w:rPr>
          <w:color w:val="156082" w:themeColor="accent1"/>
        </w:rPr>
        <w:t xml:space="preserve">A: We do not plan to publish such a list. </w:t>
      </w:r>
      <w:r w:rsidR="007866A1">
        <w:rPr>
          <w:color w:val="156082" w:themeColor="accent1"/>
        </w:rPr>
        <w:t xml:space="preserve">However, the AOoA complies with public information request laws.  </w:t>
      </w:r>
    </w:p>
    <w:p w14:paraId="64767BE8" w14:textId="3CE74BC1" w:rsidR="00762C39" w:rsidRDefault="00762C39" w:rsidP="00762C39">
      <w:r w:rsidRPr="00762C39">
        <w:t xml:space="preserve">I would like to gain clarification </w:t>
      </w:r>
      <w:proofErr w:type="gramStart"/>
      <w:r w:rsidRPr="00762C39">
        <w:t>for</w:t>
      </w:r>
      <w:proofErr w:type="gramEnd"/>
      <w:r w:rsidRPr="00762C39">
        <w:t xml:space="preserve"> the requirement of being in business for 2 years. As a franchise structure, my local business and franchise purchase was as of June of 2025. So, my local entity and franchise </w:t>
      </w:r>
      <w:proofErr w:type="gramStart"/>
      <w:r w:rsidRPr="00762C39">
        <w:t>is</w:t>
      </w:r>
      <w:proofErr w:type="gramEnd"/>
      <w:r w:rsidRPr="00762C39">
        <w:t xml:space="preserve"> under the </w:t>
      </w:r>
      <w:proofErr w:type="gramStart"/>
      <w:r w:rsidRPr="00762C39">
        <w:t>2 year</w:t>
      </w:r>
      <w:proofErr w:type="gramEnd"/>
      <w:r w:rsidRPr="00762C39">
        <w:t xml:space="preserve"> requirement now and by the January 2027 start. However, the Franchisor, who I have purchased a territory from (yet they do not control my business) was founded in 2009</w:t>
      </w:r>
      <w:r>
        <w:t xml:space="preserve">. </w:t>
      </w:r>
      <w:r w:rsidRPr="00762C39">
        <w:t>Is the qualification based on my actual owned local business?</w:t>
      </w:r>
      <w:r>
        <w:t xml:space="preserve"> </w:t>
      </w:r>
      <w:r w:rsidRPr="00762C39">
        <w:t>If so, then may an application for participation be submitted once 2 years is achieved, hence June 2027?</w:t>
      </w:r>
    </w:p>
    <w:p w14:paraId="390A3E5C" w14:textId="0BB5B18F" w:rsidR="007866A1" w:rsidRDefault="007866A1" w:rsidP="007866A1">
      <w:pPr>
        <w:pStyle w:val="ListParagraph"/>
        <w:numPr>
          <w:ilvl w:val="0"/>
          <w:numId w:val="38"/>
        </w:numPr>
      </w:pPr>
      <w:r>
        <w:rPr>
          <w:color w:val="215E99" w:themeColor="text2" w:themeTint="BF"/>
        </w:rPr>
        <w:t xml:space="preserve">You would not be eligible to apply until June 2027.  The 2027-2030 Plan4Home/Caregiver Support application is a rolling application.  Therefore, you may </w:t>
      </w:r>
      <w:proofErr w:type="gramStart"/>
      <w:r>
        <w:rPr>
          <w:color w:val="215E99" w:themeColor="text2" w:themeTint="BF"/>
        </w:rPr>
        <w:t>submit an application</w:t>
      </w:r>
      <w:proofErr w:type="gramEnd"/>
      <w:r>
        <w:rPr>
          <w:color w:val="215E99" w:themeColor="text2" w:themeTint="BF"/>
        </w:rPr>
        <w:t xml:space="preserve"> in July 2027.</w:t>
      </w:r>
    </w:p>
    <w:p w14:paraId="265AA4CB" w14:textId="6D2C179A" w:rsidR="00762C39" w:rsidRDefault="009960B6" w:rsidP="00641E16">
      <w:r w:rsidRPr="009960B6">
        <w:t>Does the HDM reassessment have to be </w:t>
      </w:r>
      <w:proofErr w:type="gramStart"/>
      <w:r w:rsidR="007866A1" w:rsidRPr="009960B6">
        <w:t>in</w:t>
      </w:r>
      <w:proofErr w:type="gramEnd"/>
      <w:r w:rsidR="007866A1" w:rsidRPr="009960B6">
        <w:t xml:space="preserve"> home</w:t>
      </w:r>
      <w:r w:rsidRPr="009960B6">
        <w:t>?</w:t>
      </w:r>
    </w:p>
    <w:p w14:paraId="7BD6E3F6" w14:textId="06883626" w:rsidR="00EE3F56" w:rsidRPr="00EC63E8" w:rsidRDefault="00EC63E8" w:rsidP="00641E16">
      <w:pPr>
        <w:rPr>
          <w:color w:val="156082" w:themeColor="accent1"/>
        </w:rPr>
      </w:pPr>
      <w:r>
        <w:rPr>
          <w:color w:val="156082" w:themeColor="accent1"/>
        </w:rPr>
        <w:t xml:space="preserve">A: Yes, please reference page 24 of the overview and instructions. </w:t>
      </w:r>
    </w:p>
    <w:p w14:paraId="1E329B42" w14:textId="5F7AE42A" w:rsidR="00EE3F56" w:rsidRDefault="00EE3F56" w:rsidP="00641E16">
      <w:r w:rsidRPr="00EE3F56">
        <w:t>Did I hear correctly that people receiving Grab &amp; Go meals </w:t>
      </w:r>
      <w:proofErr w:type="gramStart"/>
      <w:r w:rsidRPr="00EE3F56">
        <w:t>have to</w:t>
      </w:r>
      <w:proofErr w:type="gramEnd"/>
      <w:r w:rsidRPr="00EE3F56">
        <w:t> be assessed also?</w:t>
      </w:r>
    </w:p>
    <w:p w14:paraId="5524246E" w14:textId="1499C2C0" w:rsidR="00EC63E8" w:rsidRDefault="009C403D" w:rsidP="00641E16">
      <w:pPr>
        <w:rPr>
          <w:color w:val="215E99" w:themeColor="text2" w:themeTint="BF"/>
        </w:rPr>
      </w:pPr>
      <w:r w:rsidRPr="009C403D">
        <w:rPr>
          <w:color w:val="215E99" w:themeColor="text2" w:themeTint="BF"/>
        </w:rPr>
        <w:t xml:space="preserve">A. </w:t>
      </w:r>
      <w:r>
        <w:rPr>
          <w:color w:val="215E99" w:themeColor="text2" w:themeTint="BF"/>
        </w:rPr>
        <w:t>Yes.  The updated Older Americans Act Regulations, 45 CFR 1321.87(a)(iii), stipulates carry-out meals may be provided:</w:t>
      </w:r>
    </w:p>
    <w:p w14:paraId="1379A26E" w14:textId="18EE1320" w:rsidR="009C403D" w:rsidRDefault="009C403D" w:rsidP="009C403D">
      <w:pPr>
        <w:pStyle w:val="ListParagraph"/>
        <w:numPr>
          <w:ilvl w:val="0"/>
          <w:numId w:val="73"/>
        </w:numPr>
        <w:rPr>
          <w:color w:val="215E99" w:themeColor="text2" w:themeTint="BF"/>
        </w:rPr>
      </w:pPr>
      <w:r>
        <w:rPr>
          <w:color w:val="215E99" w:themeColor="text2" w:themeTint="BF"/>
        </w:rPr>
        <w:t xml:space="preserve">During disaster or emergency situations affecting the provision of nutrition </w:t>
      </w:r>
      <w:proofErr w:type="gramStart"/>
      <w:r>
        <w:rPr>
          <w:color w:val="215E99" w:themeColor="text2" w:themeTint="BF"/>
        </w:rPr>
        <w:t>services;</w:t>
      </w:r>
      <w:proofErr w:type="gramEnd"/>
    </w:p>
    <w:p w14:paraId="0C5F4EF3" w14:textId="764F4694" w:rsidR="009C403D" w:rsidRDefault="009C403D" w:rsidP="009C403D">
      <w:pPr>
        <w:pStyle w:val="ListParagraph"/>
        <w:numPr>
          <w:ilvl w:val="0"/>
          <w:numId w:val="73"/>
        </w:numPr>
        <w:rPr>
          <w:color w:val="215E99" w:themeColor="text2" w:themeTint="BF"/>
        </w:rPr>
      </w:pPr>
      <w:r>
        <w:rPr>
          <w:color w:val="215E99" w:themeColor="text2" w:themeTint="BF"/>
        </w:rPr>
        <w:t>To older individuals who have an occasional need for such meal; and/or</w:t>
      </w:r>
    </w:p>
    <w:p w14:paraId="553FC314" w14:textId="7BBE165D" w:rsidR="009C403D" w:rsidRDefault="009C403D" w:rsidP="009C403D">
      <w:pPr>
        <w:pStyle w:val="ListParagraph"/>
        <w:numPr>
          <w:ilvl w:val="0"/>
          <w:numId w:val="73"/>
        </w:numPr>
        <w:rPr>
          <w:color w:val="215E99" w:themeColor="text2" w:themeTint="BF"/>
        </w:rPr>
      </w:pPr>
      <w:r>
        <w:rPr>
          <w:color w:val="215E99" w:themeColor="text2" w:themeTint="BF"/>
        </w:rPr>
        <w:t xml:space="preserve">To older individuals who have a regular need for such meal, based on an individualized assessment, when targeting services to those in greatest </w:t>
      </w:r>
      <w:proofErr w:type="gramStart"/>
      <w:r>
        <w:rPr>
          <w:color w:val="215E99" w:themeColor="text2" w:themeTint="BF"/>
        </w:rPr>
        <w:t>economic need</w:t>
      </w:r>
      <w:proofErr w:type="gramEnd"/>
      <w:r>
        <w:rPr>
          <w:color w:val="215E99" w:themeColor="text2" w:themeTint="BF"/>
        </w:rPr>
        <w:t xml:space="preserve"> and greatest social need.</w:t>
      </w:r>
    </w:p>
    <w:p w14:paraId="58BF9997" w14:textId="2371E122" w:rsidR="009C403D" w:rsidRPr="009C403D" w:rsidRDefault="009C403D" w:rsidP="009C403D">
      <w:pPr>
        <w:rPr>
          <w:color w:val="215E99" w:themeColor="text2" w:themeTint="BF"/>
        </w:rPr>
      </w:pPr>
      <w:r>
        <w:rPr>
          <w:color w:val="215E99" w:themeColor="text2" w:themeTint="BF"/>
        </w:rPr>
        <w:t>One of the activities included in our 2027-2030 Strategic Area Plan is to develop an assessment for Congregate nutrition providers to utilize when offering grab and go meals.</w:t>
      </w:r>
    </w:p>
    <w:p w14:paraId="330D5179" w14:textId="665B9D10" w:rsidR="00D61955" w:rsidRDefault="00D61955" w:rsidP="00641E16">
      <w:r w:rsidRPr="00D61955">
        <w:t>How can IIIC and IIIB Services be scored in the same Criteria?</w:t>
      </w:r>
    </w:p>
    <w:p w14:paraId="175DE4A4" w14:textId="00234FE9" w:rsidR="00C75107" w:rsidRPr="00C75107" w:rsidRDefault="00C75107" w:rsidP="00641E16">
      <w:pPr>
        <w:rPr>
          <w:color w:val="156082" w:themeColor="accent1"/>
        </w:rPr>
      </w:pPr>
      <w:r w:rsidRPr="00C75107">
        <w:rPr>
          <w:color w:val="156082" w:themeColor="accent1"/>
        </w:rPr>
        <w:lastRenderedPageBreak/>
        <w:t xml:space="preserve">A: The scoring scale used for all services is the same. However, services are funded </w:t>
      </w:r>
      <w:proofErr w:type="gramStart"/>
      <w:r w:rsidRPr="00C75107">
        <w:rPr>
          <w:color w:val="156082" w:themeColor="accent1"/>
        </w:rPr>
        <w:t>differently</w:t>
      </w:r>
      <w:proofErr w:type="gramEnd"/>
      <w:r w:rsidRPr="00C75107">
        <w:rPr>
          <w:color w:val="156082" w:themeColor="accent1"/>
        </w:rPr>
        <w:t xml:space="preserve"> and we cannot use funding designated for Title III-C to fund Title III-B services or vice versa. </w:t>
      </w:r>
      <w:r>
        <w:rPr>
          <w:color w:val="156082" w:themeColor="accent1"/>
        </w:rPr>
        <w:t>Funding decisions ultimately belong to the board of directors.</w:t>
      </w:r>
    </w:p>
    <w:p w14:paraId="10E6FAA5" w14:textId="65BD547D" w:rsidR="00D61955" w:rsidRDefault="00D61955" w:rsidP="00641E16"/>
    <w:p w14:paraId="01805FB1" w14:textId="3E4983C0" w:rsidR="00C75107" w:rsidRDefault="00C75107" w:rsidP="00641E16">
      <w:pPr>
        <w:rPr>
          <w:noProof/>
        </w:rPr>
      </w:pPr>
      <w:r>
        <w:rPr>
          <w:noProof/>
        </w:rPr>
        <w:t>Is there a ceiling or floor for funding amounts?</w:t>
      </w:r>
    </w:p>
    <w:p w14:paraId="100A8EEA" w14:textId="1CD3A7E1" w:rsidR="00C75107" w:rsidRPr="00C75107" w:rsidRDefault="00C75107" w:rsidP="00C75107">
      <w:pPr>
        <w:pStyle w:val="ListParagraph"/>
        <w:numPr>
          <w:ilvl w:val="0"/>
          <w:numId w:val="1"/>
        </w:numPr>
        <w:rPr>
          <w:noProof/>
          <w:color w:val="156082" w:themeColor="accent1"/>
        </w:rPr>
      </w:pPr>
      <w:r>
        <w:rPr>
          <w:noProof/>
          <w:color w:val="156082" w:themeColor="accent1"/>
        </w:rPr>
        <w:t xml:space="preserve">No, the instruction document lists estimated total funds we are looking to contract for based on our best guess at the funding we will receive from state, local, and federal sources. </w:t>
      </w:r>
    </w:p>
    <w:p w14:paraId="4A05205D" w14:textId="77777777" w:rsidR="006A7401" w:rsidRDefault="006A7401" w:rsidP="00641E16"/>
    <w:p w14:paraId="34E30AB8" w14:textId="169C15DF" w:rsidR="006A7401" w:rsidRDefault="00C75107" w:rsidP="00641E16">
      <w:pPr>
        <w:rPr>
          <w:noProof/>
        </w:rPr>
      </w:pPr>
      <w:r>
        <w:rPr>
          <w:noProof/>
        </w:rPr>
        <w:t xml:space="preserve">Are electronic signatures acceptable on the Acknowledgements and Certifications? </w:t>
      </w:r>
    </w:p>
    <w:p w14:paraId="7EC8BD62" w14:textId="69602C4C" w:rsidR="00C75107" w:rsidRPr="00C75107" w:rsidRDefault="00C75107" w:rsidP="00C75107">
      <w:pPr>
        <w:pStyle w:val="ListParagraph"/>
        <w:numPr>
          <w:ilvl w:val="0"/>
          <w:numId w:val="2"/>
        </w:numPr>
        <w:rPr>
          <w:color w:val="156082" w:themeColor="accent1"/>
        </w:rPr>
      </w:pPr>
      <w:r w:rsidRPr="00C75107">
        <w:rPr>
          <w:color w:val="156082" w:themeColor="accent1"/>
        </w:rPr>
        <w:t>Yes</w:t>
      </w:r>
    </w:p>
    <w:p w14:paraId="133B97D6" w14:textId="40486AF9" w:rsidR="00C75107" w:rsidRDefault="00C75107" w:rsidP="00C75107">
      <w:r>
        <w:t xml:space="preserve">Am I correct that this </w:t>
      </w:r>
      <w:proofErr w:type="gramStart"/>
      <w:r>
        <w:t>is would be</w:t>
      </w:r>
      <w:proofErr w:type="gramEnd"/>
      <w:r>
        <w:t xml:space="preserve"> multi-year funding at the AOAs discretion on continuing after Y1? </w:t>
      </w:r>
    </w:p>
    <w:p w14:paraId="67900297" w14:textId="6ABBBDA0" w:rsidR="00C75107" w:rsidRPr="00C75107" w:rsidRDefault="00C75107" w:rsidP="00C75107">
      <w:pPr>
        <w:pStyle w:val="ListParagraph"/>
        <w:numPr>
          <w:ilvl w:val="0"/>
          <w:numId w:val="4"/>
        </w:numPr>
        <w:rPr>
          <w:color w:val="156082" w:themeColor="accent1"/>
        </w:rPr>
      </w:pPr>
      <w:r w:rsidRPr="00C75107">
        <w:rPr>
          <w:color w:val="156082" w:themeColor="accent1"/>
        </w:rPr>
        <w:t xml:space="preserve">Yes, the contract period is 2027-2030 but is renewed annually. </w:t>
      </w:r>
    </w:p>
    <w:p w14:paraId="765DEA6A" w14:textId="6D012153" w:rsidR="006A7401" w:rsidRDefault="006A7401" w:rsidP="00641E16"/>
    <w:p w14:paraId="19C9AB88" w14:textId="486DC3DD" w:rsidR="006A7401" w:rsidRDefault="00C75107" w:rsidP="00641E16">
      <w:pPr>
        <w:rPr>
          <w:noProof/>
        </w:rPr>
      </w:pPr>
      <w:r>
        <w:rPr>
          <w:noProof/>
        </w:rPr>
        <w:t xml:space="preserve">Are we required to purchase Wellsky Aging and Disability user license in order to bid? </w:t>
      </w:r>
    </w:p>
    <w:p w14:paraId="3019030D" w14:textId="5660379B" w:rsidR="00C75107" w:rsidRDefault="00C75107" w:rsidP="00C75107">
      <w:pPr>
        <w:pStyle w:val="ListParagraph"/>
        <w:numPr>
          <w:ilvl w:val="0"/>
          <w:numId w:val="5"/>
        </w:numPr>
        <w:rPr>
          <w:noProof/>
          <w:color w:val="156082" w:themeColor="accent1"/>
        </w:rPr>
      </w:pPr>
      <w:r w:rsidRPr="00C75107">
        <w:rPr>
          <w:noProof/>
          <w:color w:val="156082" w:themeColor="accent1"/>
        </w:rPr>
        <w:t xml:space="preserve">No, a license would not be needed until a contract/NGA is awarded. Our organization providers 1 license free of charge to all contracted providers. </w:t>
      </w:r>
    </w:p>
    <w:p w14:paraId="472CCD3D" w14:textId="77777777" w:rsidR="00BF1EA8" w:rsidRDefault="00BF1EA8" w:rsidP="00BF1EA8">
      <w:pPr>
        <w:pStyle w:val="ListParagraph"/>
        <w:rPr>
          <w:noProof/>
          <w:color w:val="156082" w:themeColor="accent1"/>
        </w:rPr>
      </w:pPr>
    </w:p>
    <w:p w14:paraId="0A11AF95" w14:textId="351F824C" w:rsidR="00BF1EA8" w:rsidRDefault="00BF1EA8" w:rsidP="00BF1EA8">
      <w:pPr>
        <w:rPr>
          <w:noProof/>
        </w:rPr>
      </w:pPr>
      <w:r>
        <w:rPr>
          <w:noProof/>
        </w:rPr>
        <w:t xml:space="preserve">My orgnization is applying for matching funds for the Foster Grandparent Program but this service is not listed. How should I indicate this on the application? </w:t>
      </w:r>
    </w:p>
    <w:p w14:paraId="0249CD1C" w14:textId="7479225F" w:rsidR="00BF1EA8" w:rsidRDefault="00BF1EA8" w:rsidP="00BF1EA8">
      <w:pPr>
        <w:pStyle w:val="ListParagraph"/>
        <w:numPr>
          <w:ilvl w:val="0"/>
          <w:numId w:val="7"/>
        </w:numPr>
        <w:rPr>
          <w:noProof/>
          <w:color w:val="156082" w:themeColor="accent1"/>
        </w:rPr>
      </w:pPr>
      <w:r w:rsidRPr="00BF1EA8">
        <w:rPr>
          <w:noProof/>
          <w:color w:val="156082" w:themeColor="accent1"/>
        </w:rPr>
        <w:t xml:space="preserve">List this as a supportive service and clearly indicate in the service description that this is for the Foster Grandparent program. </w:t>
      </w:r>
    </w:p>
    <w:p w14:paraId="7C714D21" w14:textId="22BB55BD" w:rsidR="00BF1EA8" w:rsidRPr="00BF1EA8" w:rsidRDefault="00BF1EA8" w:rsidP="00BF1EA8">
      <w:pPr>
        <w:rPr>
          <w:noProof/>
        </w:rPr>
      </w:pPr>
      <w:r w:rsidRPr="00BF1EA8">
        <w:rPr>
          <w:noProof/>
        </w:rPr>
        <w:t>I’m applying to renew our Caregiver Support relationship, and I’m not sure what to put under the first question of Award Requested, because everything we do is based on bids. Should I just put a dollar or something?</w:t>
      </w:r>
    </w:p>
    <w:p w14:paraId="11FE09FD" w14:textId="686D3F42" w:rsidR="00BF1EA8" w:rsidRDefault="00BF1EA8" w:rsidP="00BF1EA8">
      <w:pPr>
        <w:pStyle w:val="ListParagraph"/>
        <w:numPr>
          <w:ilvl w:val="0"/>
          <w:numId w:val="8"/>
        </w:numPr>
        <w:rPr>
          <w:noProof/>
          <w:color w:val="156082" w:themeColor="accent1"/>
        </w:rPr>
      </w:pPr>
      <w:r>
        <w:rPr>
          <w:noProof/>
          <w:color w:val="156082" w:themeColor="accent1"/>
        </w:rPr>
        <w:t xml:space="preserve">Yes, this is approporiate for bid-based services. </w:t>
      </w:r>
    </w:p>
    <w:p w14:paraId="6417D974" w14:textId="77777777" w:rsidR="00BF1EA8" w:rsidRDefault="00BF1EA8" w:rsidP="00BF1EA8">
      <w:pPr>
        <w:rPr>
          <w:noProof/>
          <w:color w:val="156082" w:themeColor="accent1"/>
        </w:rPr>
      </w:pPr>
      <w:r w:rsidRPr="00BF1EA8">
        <w:rPr>
          <w:noProof/>
        </w:rPr>
        <w:t xml:space="preserve">I wanted to confirm, if an organization is not applying/intending to receive funds to start the program up, and wanted to go directly into questions, where would you recommend, we start as far as these documents? What would be not applicable? </w:t>
      </w:r>
      <w:r w:rsidRPr="00BF1EA8">
        <w:rPr>
          <w:noProof/>
          <w:color w:val="156082" w:themeColor="accent1"/>
        </w:rPr>
        <w:br/>
      </w:r>
    </w:p>
    <w:p w14:paraId="3DBC95EA" w14:textId="77777777" w:rsidR="00BF1EA8" w:rsidRDefault="00BF1EA8" w:rsidP="00BF1EA8">
      <w:pPr>
        <w:pStyle w:val="ListParagraph"/>
        <w:numPr>
          <w:ilvl w:val="0"/>
          <w:numId w:val="9"/>
        </w:numPr>
        <w:rPr>
          <w:noProof/>
          <w:color w:val="156082" w:themeColor="accent1"/>
        </w:rPr>
      </w:pPr>
      <w:r>
        <w:rPr>
          <w:noProof/>
          <w:color w:val="156082" w:themeColor="accent1"/>
        </w:rPr>
        <w:t xml:space="preserve">If this is referring to an OAA HCBS application, a total requested amount must be entered. If this is referring to any of the other applications, a placeholder amount of $1 would be appropriate. All of the forms are required to be marked as complete before submission, with all applicable responses completed. </w:t>
      </w:r>
    </w:p>
    <w:p w14:paraId="664C1CD6" w14:textId="4C07C75B" w:rsidR="00BF1EA8" w:rsidRDefault="00BF1EA8" w:rsidP="00BF1EA8">
      <w:pPr>
        <w:rPr>
          <w:noProof/>
        </w:rPr>
      </w:pPr>
      <w:r w:rsidRPr="00BF1EA8">
        <w:rPr>
          <w:noProof/>
        </w:rPr>
        <w:t xml:space="preserve">We are already a PASSPORT provider. Do we have to submit a bid as well?  </w:t>
      </w:r>
    </w:p>
    <w:p w14:paraId="64AA8FEE" w14:textId="77777777" w:rsidR="00BF1EA8" w:rsidRPr="00EE2236" w:rsidRDefault="00BF1EA8" w:rsidP="00EE2236">
      <w:pPr>
        <w:spacing w:before="100" w:beforeAutospacing="1" w:after="100" w:afterAutospacing="1"/>
        <w:ind w:left="360"/>
        <w:rPr>
          <w:color w:val="156082" w:themeColor="accent1"/>
        </w:rPr>
      </w:pPr>
      <w:r w:rsidRPr="00EE2236">
        <w:rPr>
          <w:color w:val="156082" w:themeColor="accent1"/>
        </w:rPr>
        <w:lastRenderedPageBreak/>
        <w:t xml:space="preserve">This is an opportunity to apply to be a provider for the listed funding sources from 2027-2030. This does not affect your status as a PASSPORT </w:t>
      </w:r>
      <w:proofErr w:type="gramStart"/>
      <w:r w:rsidRPr="00EE2236">
        <w:rPr>
          <w:color w:val="156082" w:themeColor="accent1"/>
        </w:rPr>
        <w:t>provider</w:t>
      </w:r>
      <w:proofErr w:type="gramEnd"/>
      <w:r w:rsidRPr="00EE2236">
        <w:rPr>
          <w:color w:val="156082" w:themeColor="accent1"/>
        </w:rPr>
        <w:t xml:space="preserve"> and you will remain a PASSPORT provider for as long as you choose. This is an opportunity to apply for </w:t>
      </w:r>
      <w:r w:rsidRPr="00EE2236">
        <w:rPr>
          <w:i/>
          <w:iCs/>
          <w:color w:val="156082" w:themeColor="accent1"/>
        </w:rPr>
        <w:t>additional</w:t>
      </w:r>
      <w:r w:rsidRPr="00EE2236">
        <w:rPr>
          <w:color w:val="156082" w:themeColor="accent1"/>
        </w:rPr>
        <w:t xml:space="preserve"> funding above and beyond the PASSPORT funding. If you are interested in applying for those additional funds, I would encourage you or someone from your organization to visit our website at </w:t>
      </w:r>
      <w:hyperlink r:id="rId8" w:history="1">
        <w:r w:rsidRPr="00EE2236">
          <w:rPr>
            <w:rStyle w:val="Hyperlink"/>
            <w:color w:val="156082" w:themeColor="accent1"/>
          </w:rPr>
          <w:t>www.areaofficeonaging.com</w:t>
        </w:r>
      </w:hyperlink>
      <w:r w:rsidRPr="00EE2236">
        <w:rPr>
          <w:color w:val="156082" w:themeColor="accent1"/>
        </w:rPr>
        <w:t xml:space="preserve"> to learn more about this funding opportunity. </w:t>
      </w:r>
    </w:p>
    <w:p w14:paraId="7E950BF6" w14:textId="1BF2FCE2" w:rsidR="00D851DD" w:rsidRDefault="007B1A2D" w:rsidP="007B1A2D">
      <w:pPr>
        <w:spacing w:before="100" w:beforeAutospacing="1" w:after="100" w:afterAutospacing="1"/>
      </w:pPr>
      <w:r w:rsidRPr="007B1A2D">
        <w:t xml:space="preserve">We are a current PASSPORT provider. Would we be </w:t>
      </w:r>
      <w:proofErr w:type="gramStart"/>
      <w:r w:rsidRPr="007B1A2D">
        <w:t>considered</w:t>
      </w:r>
      <w:proofErr w:type="gramEnd"/>
      <w:r w:rsidRPr="007B1A2D">
        <w:t xml:space="preserve"> a new provider? For that reason, would references be required? </w:t>
      </w:r>
    </w:p>
    <w:p w14:paraId="4F3CDA7B" w14:textId="20FDC110" w:rsidR="007B1A2D" w:rsidRPr="007B1A2D" w:rsidRDefault="007B1A2D" w:rsidP="007B1A2D">
      <w:pPr>
        <w:pStyle w:val="ListParagraph"/>
        <w:numPr>
          <w:ilvl w:val="0"/>
          <w:numId w:val="11"/>
        </w:numPr>
        <w:spacing w:before="100" w:beforeAutospacing="1" w:after="100" w:afterAutospacing="1"/>
        <w:rPr>
          <w:color w:val="156082" w:themeColor="accent1"/>
        </w:rPr>
      </w:pPr>
      <w:r w:rsidRPr="007B1A2D">
        <w:rPr>
          <w:color w:val="156082" w:themeColor="accent1"/>
        </w:rPr>
        <w:t xml:space="preserve">A current PASSPORT provider would not be considered a new provider. References are not necessary to include in the application. </w:t>
      </w:r>
    </w:p>
    <w:p w14:paraId="2E1AF920" w14:textId="7B5F5B0E" w:rsidR="007B1A2D" w:rsidRDefault="007B1A2D" w:rsidP="007B1A2D">
      <w:pPr>
        <w:rPr>
          <w:noProof/>
        </w:rPr>
      </w:pPr>
      <w:r>
        <w:rPr>
          <w:noProof/>
        </w:rPr>
        <w:t xml:space="preserve">I completed the Plan4Home/Caregiver Support application. Where do I submit my budget? </w:t>
      </w:r>
    </w:p>
    <w:p w14:paraId="56CA6B75" w14:textId="204E2C91" w:rsidR="007B1A2D" w:rsidRPr="00EE2236" w:rsidRDefault="007B1A2D" w:rsidP="007B1A2D">
      <w:pPr>
        <w:pStyle w:val="ListParagraph"/>
        <w:numPr>
          <w:ilvl w:val="0"/>
          <w:numId w:val="12"/>
        </w:numPr>
        <w:rPr>
          <w:noProof/>
        </w:rPr>
      </w:pPr>
      <w:r>
        <w:rPr>
          <w:noProof/>
          <w:color w:val="156082" w:themeColor="accent1"/>
        </w:rPr>
        <w:t xml:space="preserve">The OAA HCBS budget sheet is not a required upload for the Plan4Home/Caregiver Support application. The application forms contain questions that ask for information about unit rate and costs. </w:t>
      </w:r>
    </w:p>
    <w:p w14:paraId="14316A5D" w14:textId="02A22B75" w:rsidR="00EE2236" w:rsidRPr="00241307" w:rsidRDefault="00EE2236" w:rsidP="00EE2236">
      <w:r w:rsidRPr="00241307">
        <w:t>Can we ask clarifying questions once we get the answers to our original questions?</w:t>
      </w:r>
    </w:p>
    <w:p w14:paraId="57F81F7D" w14:textId="77777777" w:rsidR="00EE2236" w:rsidRPr="00241307" w:rsidRDefault="00EE2236" w:rsidP="00EE2236">
      <w:pPr>
        <w:pStyle w:val="ListParagraph"/>
        <w:numPr>
          <w:ilvl w:val="0"/>
          <w:numId w:val="13"/>
        </w:numPr>
        <w:rPr>
          <w:rFonts w:cstheme="minorBidi"/>
          <w:color w:val="215E99" w:themeColor="text2" w:themeTint="BF"/>
        </w:rPr>
      </w:pPr>
      <w:r w:rsidRPr="00241307">
        <w:rPr>
          <w:rFonts w:cstheme="minorBidi"/>
          <w:color w:val="215E99" w:themeColor="text2" w:themeTint="BF"/>
        </w:rPr>
        <w:t>If you have questions specifically related to the FCSP/P4H application, we may answer these questions.  However, this may not occur until April the deadline to submit the OAA HCBS Proposal.  We want to ensure the integrity of the competitive bid process, and some questions may also apply to the proposal process.  The FCSP/P4H application is not a competitive process, and we accept applications even after the deadline.</w:t>
      </w:r>
    </w:p>
    <w:p w14:paraId="536DF3C8" w14:textId="77777777" w:rsidR="00EE2236" w:rsidRDefault="00EE2236" w:rsidP="00EE2236">
      <w:pPr>
        <w:rPr>
          <w:noProof/>
        </w:rPr>
      </w:pPr>
    </w:p>
    <w:p w14:paraId="0D6ACE61" w14:textId="77777777" w:rsidR="00C32E59" w:rsidRPr="00C32E59" w:rsidRDefault="00C32E59" w:rsidP="00C32E59">
      <w:pPr>
        <w:rPr>
          <w:noProof/>
        </w:rPr>
      </w:pPr>
      <w:r w:rsidRPr="00C32E59">
        <w:rPr>
          <w:noProof/>
        </w:rPr>
        <w:t>In what section do we put the Budget Narrative?</w:t>
      </w:r>
    </w:p>
    <w:p w14:paraId="175C2053" w14:textId="33F80EA4" w:rsidR="00C32E59" w:rsidRPr="00C32E59" w:rsidRDefault="00C32E59" w:rsidP="00C32E59">
      <w:pPr>
        <w:pStyle w:val="ListParagraph"/>
        <w:numPr>
          <w:ilvl w:val="0"/>
          <w:numId w:val="14"/>
        </w:numPr>
        <w:rPr>
          <w:noProof/>
          <w:color w:val="215E99" w:themeColor="text2" w:themeTint="BF"/>
        </w:rPr>
      </w:pPr>
      <w:r w:rsidRPr="00C32E59">
        <w:rPr>
          <w:noProof/>
          <w:color w:val="215E99" w:themeColor="text2" w:themeTint="BF"/>
        </w:rPr>
        <w:t>Except for the Lucas County Home Delivered Meals application, there is a question which ask</w:t>
      </w:r>
      <w:r w:rsidR="00CF0BEC">
        <w:rPr>
          <w:noProof/>
          <w:color w:val="215E99" w:themeColor="text2" w:themeTint="BF"/>
        </w:rPr>
        <w:t>s</w:t>
      </w:r>
      <w:r w:rsidRPr="00C32E59">
        <w:rPr>
          <w:noProof/>
          <w:color w:val="215E99" w:themeColor="text2" w:themeTint="BF"/>
        </w:rPr>
        <w:t xml:space="preserve"> the applicant to describe or list costs related to the unit rate.</w:t>
      </w:r>
    </w:p>
    <w:p w14:paraId="6E1FEE56" w14:textId="77777777" w:rsidR="00C32E59" w:rsidRPr="00BF1EA8" w:rsidRDefault="00C32E59" w:rsidP="00EE2236">
      <w:pPr>
        <w:rPr>
          <w:noProof/>
        </w:rPr>
      </w:pPr>
    </w:p>
    <w:p w14:paraId="5BB09C64" w14:textId="77777777" w:rsidR="00A81175" w:rsidRPr="00A81175" w:rsidRDefault="00A81175" w:rsidP="00A81175">
      <w:r w:rsidRPr="00A81175">
        <w:t>Are we allowed to subcontract with our sister company? Sister companies have the same CEO/Owner.</w:t>
      </w:r>
    </w:p>
    <w:p w14:paraId="216C98A6" w14:textId="77777777" w:rsidR="00A81175" w:rsidRPr="00A81175" w:rsidRDefault="00A81175" w:rsidP="00A81175"/>
    <w:p w14:paraId="5E28D67E" w14:textId="77777777" w:rsidR="00A81175" w:rsidRPr="0076535B" w:rsidRDefault="00A81175" w:rsidP="00A81175">
      <w:pPr>
        <w:numPr>
          <w:ilvl w:val="0"/>
          <w:numId w:val="15"/>
        </w:numPr>
        <w:rPr>
          <w:i/>
          <w:iCs/>
          <w:color w:val="215E99" w:themeColor="text2" w:themeTint="BF"/>
        </w:rPr>
      </w:pPr>
      <w:r w:rsidRPr="00A81175">
        <w:rPr>
          <w:color w:val="215E99" w:themeColor="text2" w:themeTint="BF"/>
        </w:rPr>
        <w:t xml:space="preserve">As indicated in Policy 402 Conditions of Participation contained in the Appendices of the Overview and Instructions for this proposal/application process, the service provider may subcontract some of its duties with written consent from the AOoA.  Specifically, </w:t>
      </w:r>
      <w:r w:rsidRPr="00A81175">
        <w:rPr>
          <w:i/>
          <w:iCs/>
          <w:color w:val="215E99" w:themeColor="text2" w:themeTint="BF"/>
        </w:rPr>
        <w:t xml:space="preserve">The Service Provider shall not assign, in whole or part, any of its rights under this Contract. The Service Provider shall not delegate or subcontract any of its duties under this Contract without the prior written consent of the Agency.  </w:t>
      </w:r>
      <w:r w:rsidRPr="00A81175">
        <w:rPr>
          <w:color w:val="215E99" w:themeColor="text2" w:themeTint="BF"/>
        </w:rPr>
        <w:t xml:space="preserve">There are questions in the proposal/application where the provider describes partnerships/subcontracts/MOUs, </w:t>
      </w:r>
      <w:proofErr w:type="gramStart"/>
      <w:r w:rsidRPr="00A81175">
        <w:rPr>
          <w:color w:val="215E99" w:themeColor="text2" w:themeTint="BF"/>
        </w:rPr>
        <w:t>as well as,</w:t>
      </w:r>
      <w:proofErr w:type="gramEnd"/>
      <w:r w:rsidRPr="00A81175">
        <w:rPr>
          <w:color w:val="215E99" w:themeColor="text2" w:themeTint="BF"/>
        </w:rPr>
        <w:t xml:space="preserve"> uploads copies of these documents as attachments.</w:t>
      </w:r>
    </w:p>
    <w:p w14:paraId="09E0DCE3" w14:textId="77777777" w:rsidR="0076535B" w:rsidRDefault="0076535B" w:rsidP="0076535B">
      <w:pPr>
        <w:ind w:left="360"/>
        <w:rPr>
          <w:rFonts w:ascii="Arial" w:hAnsi="Arial" w:cs="Arial"/>
          <w:color w:val="222222"/>
          <w:shd w:val="clear" w:color="auto" w:fill="FFFFFF"/>
        </w:rPr>
      </w:pPr>
    </w:p>
    <w:p w14:paraId="7E4835D9" w14:textId="1CC9EEF5" w:rsidR="0076535B" w:rsidRDefault="0076535B" w:rsidP="0076535B">
      <w:pPr>
        <w:ind w:left="360"/>
        <w:rPr>
          <w:rFonts w:ascii="Arial" w:hAnsi="Arial" w:cs="Arial"/>
          <w:color w:val="222222"/>
          <w:shd w:val="clear" w:color="auto" w:fill="FFFFFF"/>
        </w:rPr>
      </w:pPr>
      <w:r w:rsidRPr="0076535B">
        <w:rPr>
          <w:rFonts w:ascii="Arial" w:hAnsi="Arial" w:cs="Arial"/>
          <w:color w:val="222222"/>
          <w:shd w:val="clear" w:color="auto" w:fill="FFFFFF"/>
        </w:rPr>
        <w:t xml:space="preserve">When we are calculating labor &amp; other costs for 3 (or </w:t>
      </w:r>
      <w:proofErr w:type="gramStart"/>
      <w:r w:rsidRPr="0076535B">
        <w:rPr>
          <w:rFonts w:ascii="Arial" w:hAnsi="Arial" w:cs="Arial"/>
          <w:color w:val="222222"/>
          <w:shd w:val="clear" w:color="auto" w:fill="FFFFFF"/>
        </w:rPr>
        <w:t>4 )</w:t>
      </w:r>
      <w:proofErr w:type="gramEnd"/>
      <w:r w:rsidRPr="0076535B">
        <w:rPr>
          <w:rFonts w:ascii="Arial" w:hAnsi="Arial" w:cs="Arial"/>
          <w:color w:val="222222"/>
          <w:shd w:val="clear" w:color="auto" w:fill="FFFFFF"/>
        </w:rPr>
        <w:t xml:space="preserve"> years, which we know will rise; do we add a cost of living (COL) adjustment for years 2 &amp; 3 (and 4?) for wages and material or use an average cost?</w:t>
      </w:r>
    </w:p>
    <w:p w14:paraId="52B0C1B2" w14:textId="13ADC0B9" w:rsidR="0076535B" w:rsidRPr="0076535B" w:rsidRDefault="0076535B" w:rsidP="0076535B">
      <w:pPr>
        <w:pStyle w:val="ListParagraph"/>
        <w:numPr>
          <w:ilvl w:val="0"/>
          <w:numId w:val="17"/>
        </w:numPr>
        <w:rPr>
          <w:color w:val="215E99" w:themeColor="text2" w:themeTint="BF"/>
        </w:rPr>
      </w:pPr>
      <w:r w:rsidRPr="0076535B">
        <w:rPr>
          <w:color w:val="215E99" w:themeColor="text2" w:themeTint="BF"/>
        </w:rPr>
        <w:t xml:space="preserve">The unit rate should be an average unit rate for the entire contracting period. There is a provision for possible mid-cycle unit rate increases listed on page 7 of the </w:t>
      </w:r>
      <w:r w:rsidR="00513081">
        <w:rPr>
          <w:color w:val="215E99" w:themeColor="text2" w:themeTint="BF"/>
        </w:rPr>
        <w:t>Overview and I</w:t>
      </w:r>
      <w:r w:rsidRPr="0076535B">
        <w:rPr>
          <w:color w:val="215E99" w:themeColor="text2" w:themeTint="BF"/>
        </w:rPr>
        <w:t>nstructions</w:t>
      </w:r>
      <w:r w:rsidR="00513081">
        <w:rPr>
          <w:color w:val="215E99" w:themeColor="text2" w:themeTint="BF"/>
        </w:rPr>
        <w:t>.</w:t>
      </w:r>
    </w:p>
    <w:p w14:paraId="579B8A53" w14:textId="77777777" w:rsidR="00150918" w:rsidRPr="00150918" w:rsidRDefault="00150918" w:rsidP="00150918">
      <w:pPr>
        <w:rPr>
          <w:color w:val="000000" w:themeColor="text1"/>
        </w:rPr>
      </w:pPr>
      <w:r w:rsidRPr="00150918">
        <w:rPr>
          <w:color w:val="000000" w:themeColor="text1"/>
        </w:rPr>
        <w:t>Since we will need a 100% match, does In Kind count towards the match?</w:t>
      </w:r>
    </w:p>
    <w:p w14:paraId="48E9190E" w14:textId="680D1525" w:rsidR="00150918" w:rsidRPr="00150918" w:rsidRDefault="00150918" w:rsidP="00150918">
      <w:pPr>
        <w:pStyle w:val="ListParagraph"/>
        <w:numPr>
          <w:ilvl w:val="0"/>
          <w:numId w:val="19"/>
        </w:numPr>
        <w:tabs>
          <w:tab w:val="num" w:pos="720"/>
        </w:tabs>
        <w:rPr>
          <w:color w:val="215E99" w:themeColor="text2" w:themeTint="BF"/>
        </w:rPr>
      </w:pPr>
      <w:r w:rsidRPr="00150918">
        <w:rPr>
          <w:color w:val="215E99" w:themeColor="text2" w:themeTint="BF"/>
        </w:rPr>
        <w:t>As indicated in the Overview and Instructions</w:t>
      </w:r>
      <w:r w:rsidRPr="00150918">
        <w:rPr>
          <w:i/>
          <w:iCs/>
          <w:color w:val="215E99" w:themeColor="text2" w:themeTint="BF"/>
        </w:rPr>
        <w:t xml:space="preserve">, non-federal matching funds may include cash, expenditures by the grantee and third-party in-kind contributions.  </w:t>
      </w:r>
      <w:r w:rsidRPr="00150918">
        <w:rPr>
          <w:color w:val="215E99" w:themeColor="text2" w:themeTint="BF"/>
        </w:rPr>
        <w:t xml:space="preserve">There are no set ratios </w:t>
      </w:r>
      <w:r>
        <w:rPr>
          <w:color w:val="215E99" w:themeColor="text2" w:themeTint="BF"/>
        </w:rPr>
        <w:t>by type</w:t>
      </w:r>
      <w:r w:rsidRPr="00150918">
        <w:rPr>
          <w:color w:val="215E99" w:themeColor="text2" w:themeTint="BF"/>
        </w:rPr>
        <w:t>.  A provider may list 100% match as in-kind.</w:t>
      </w:r>
    </w:p>
    <w:p w14:paraId="317318A3" w14:textId="2F8E45D4" w:rsidR="00150918" w:rsidRDefault="00150918" w:rsidP="00150918">
      <w:pPr>
        <w:rPr>
          <w:color w:val="000000" w:themeColor="text1"/>
        </w:rPr>
      </w:pPr>
      <w:r w:rsidRPr="00150918">
        <w:rPr>
          <w:i/>
          <w:iCs/>
          <w:color w:val="000000" w:themeColor="text1"/>
        </w:rPr>
        <w:t> </w:t>
      </w:r>
      <w:r w:rsidR="00A45FEC" w:rsidRPr="00A45FEC">
        <w:rPr>
          <w:color w:val="000000" w:themeColor="text1"/>
        </w:rPr>
        <w:t>May I submit my proposal via email?</w:t>
      </w:r>
    </w:p>
    <w:p w14:paraId="682C9583" w14:textId="4C926115" w:rsidR="00A45FEC" w:rsidRDefault="00A45FEC" w:rsidP="00150918">
      <w:pPr>
        <w:rPr>
          <w:color w:val="000000" w:themeColor="text1"/>
        </w:rPr>
      </w:pPr>
      <w:r>
        <w:rPr>
          <w:color w:val="000000" w:themeColor="text1"/>
        </w:rPr>
        <w:t>No, you must submit your proposal or application via email.  The links below are contained in the Overview and Instructions.</w:t>
      </w:r>
    </w:p>
    <w:p w14:paraId="7AFBED1F" w14:textId="2915E67C" w:rsidR="00A45FEC" w:rsidRDefault="00A45FEC" w:rsidP="00150918">
      <w:pPr>
        <w:rPr>
          <w:color w:val="000000" w:themeColor="text1"/>
        </w:rPr>
      </w:pPr>
      <w:r w:rsidRPr="00A45FEC">
        <w:rPr>
          <w:color w:val="000000" w:themeColor="text1"/>
        </w:rPr>
        <w:t xml:space="preserve">OAA Home and Community Based Services Proposal: </w:t>
      </w:r>
      <w:hyperlink r:id="rId9" w:history="1">
        <w:r w:rsidRPr="006D5C95">
          <w:rPr>
            <w:rStyle w:val="Hyperlink"/>
          </w:rPr>
          <w:t>https://www.gotomygrants.com/Public/Opportunities/Details/2a44e5e7-7a86-4dae-96f812dfad26bbd5</w:t>
        </w:r>
      </w:hyperlink>
    </w:p>
    <w:p w14:paraId="5E534F8B" w14:textId="68329F63" w:rsidR="00A45FEC" w:rsidRDefault="00A45FEC" w:rsidP="00150918">
      <w:pPr>
        <w:rPr>
          <w:color w:val="000000" w:themeColor="text1"/>
        </w:rPr>
      </w:pPr>
      <w:r w:rsidRPr="00A45FEC">
        <w:rPr>
          <w:color w:val="000000" w:themeColor="text1"/>
        </w:rPr>
        <w:t xml:space="preserve">Caregiver Support and Plan4Home Application: </w:t>
      </w:r>
      <w:hyperlink r:id="rId10" w:history="1">
        <w:r w:rsidRPr="006D5C95">
          <w:rPr>
            <w:rStyle w:val="Hyperlink"/>
          </w:rPr>
          <w:t>https://www.gotomygrants.com/Public/Opportunities/Details/51013cc3-a970-4c3b-9dd6c7173b9cc40b</w:t>
        </w:r>
      </w:hyperlink>
    </w:p>
    <w:p w14:paraId="1426A77B" w14:textId="36B0BF52" w:rsidR="00A45FEC" w:rsidRDefault="00A45FEC" w:rsidP="00150918">
      <w:pPr>
        <w:rPr>
          <w:color w:val="000000" w:themeColor="text1"/>
        </w:rPr>
      </w:pPr>
      <w:r w:rsidRPr="00A45FEC">
        <w:rPr>
          <w:color w:val="000000" w:themeColor="text1"/>
        </w:rPr>
        <w:t xml:space="preserve">Lucas County Home Delivered Meals Application: </w:t>
      </w:r>
      <w:hyperlink r:id="rId11" w:history="1">
        <w:r w:rsidRPr="006D5C95">
          <w:rPr>
            <w:rStyle w:val="Hyperlink"/>
          </w:rPr>
          <w:t>https://www.gotomygrants.com/Public/Opportunities/Details/78aa7001-237d-4f7a-af160aeb8b83bddd</w:t>
        </w:r>
      </w:hyperlink>
    </w:p>
    <w:p w14:paraId="61B21DFA" w14:textId="1C08E0B0" w:rsidR="00A45FEC" w:rsidRDefault="00A45FEC" w:rsidP="00150918">
      <w:pPr>
        <w:rPr>
          <w:color w:val="000000" w:themeColor="text1"/>
        </w:rPr>
      </w:pPr>
      <w:r w:rsidRPr="00A45FEC">
        <w:rPr>
          <w:color w:val="000000" w:themeColor="text1"/>
        </w:rPr>
        <w:t xml:space="preserve"> Lucas Transportation Service for Older Adults Application: </w:t>
      </w:r>
      <w:hyperlink r:id="rId12" w:history="1">
        <w:r w:rsidRPr="006D5C95">
          <w:rPr>
            <w:rStyle w:val="Hyperlink"/>
          </w:rPr>
          <w:t>https://www.gotomygrants.com/Public/Opportunities/Details/acdacd16-4271-4f11-be241959cb27091a</w:t>
        </w:r>
      </w:hyperlink>
    </w:p>
    <w:p w14:paraId="4282FBBE" w14:textId="77777777" w:rsidR="00A45FEC" w:rsidRPr="00A45FEC" w:rsidRDefault="00A45FEC" w:rsidP="00150918">
      <w:pPr>
        <w:rPr>
          <w:color w:val="000000" w:themeColor="text1"/>
        </w:rPr>
      </w:pPr>
    </w:p>
    <w:p w14:paraId="12D6E494" w14:textId="77777777" w:rsidR="00483861" w:rsidRPr="00483861" w:rsidRDefault="00483861" w:rsidP="00483861">
      <w:pPr>
        <w:rPr>
          <w:color w:val="000000" w:themeColor="text1"/>
        </w:rPr>
      </w:pPr>
      <w:r w:rsidRPr="00483861">
        <w:rPr>
          <w:color w:val="000000" w:themeColor="text1"/>
        </w:rPr>
        <w:t>DAILY RIDE VOLUME</w:t>
      </w:r>
    </w:p>
    <w:p w14:paraId="590BC606" w14:textId="77777777" w:rsidR="00483861" w:rsidRPr="00483861" w:rsidRDefault="00483861" w:rsidP="00483861">
      <w:pPr>
        <w:rPr>
          <w:color w:val="000000" w:themeColor="text1"/>
        </w:rPr>
      </w:pPr>
      <w:r w:rsidRPr="00483861">
        <w:rPr>
          <w:color w:val="000000" w:themeColor="text1"/>
        </w:rPr>
        <w:t>Approximately how many NEMT rides are currently provided daily throughout the AOA service area, or how many rides are anticipated to be available under this contract? This information is essential for accurate staffing and capacity planning.</w:t>
      </w:r>
    </w:p>
    <w:p w14:paraId="33B8C03A" w14:textId="285CD63D" w:rsidR="00483861" w:rsidRPr="00483861" w:rsidRDefault="00483861" w:rsidP="00483861">
      <w:pPr>
        <w:pStyle w:val="ListParagraph"/>
        <w:numPr>
          <w:ilvl w:val="0"/>
          <w:numId w:val="29"/>
        </w:numPr>
        <w:rPr>
          <w:color w:val="215E99" w:themeColor="text2" w:themeTint="BF"/>
        </w:rPr>
      </w:pPr>
      <w:r w:rsidRPr="00483861">
        <w:rPr>
          <w:color w:val="215E99" w:themeColor="text2" w:themeTint="BF"/>
        </w:rPr>
        <w:t xml:space="preserve">The number of rides provided thru the Plan4Home and Family Caregiver Support program vary based upon need and available funding.  Title IIIC1 of the Older Americans Act pays for congregate meals, Title IIIC2 of the Older Americans Act pays for home delivered meals, Title IIIB of the Older Americans Act pays not only for transportation, but also services provided at senior centers, home care services, Adult Day services, case management, chore, etc.  Therefore, it is difficult to determine how many rides will be available </w:t>
      </w:r>
      <w:proofErr w:type="gramStart"/>
      <w:r w:rsidRPr="00483861">
        <w:rPr>
          <w:color w:val="215E99" w:themeColor="text2" w:themeTint="BF"/>
        </w:rPr>
        <w:t>thru</w:t>
      </w:r>
      <w:proofErr w:type="gramEnd"/>
      <w:r w:rsidRPr="00483861">
        <w:rPr>
          <w:color w:val="215E99" w:themeColor="text2" w:themeTint="BF"/>
        </w:rPr>
        <w:t xml:space="preserve"> this contract.  In addition, in Lucas County we </w:t>
      </w:r>
      <w:r w:rsidRPr="00483861">
        <w:rPr>
          <w:color w:val="215E99" w:themeColor="text2" w:themeTint="BF"/>
        </w:rPr>
        <w:lastRenderedPageBreak/>
        <w:t xml:space="preserve">are moving to a referral system with multiple providers.  Available funding, provider capacity and participant choice will all be factors that </w:t>
      </w:r>
      <w:proofErr w:type="gramStart"/>
      <w:r w:rsidRPr="00483861">
        <w:rPr>
          <w:color w:val="215E99" w:themeColor="text2" w:themeTint="BF"/>
        </w:rPr>
        <w:t>impact</w:t>
      </w:r>
      <w:proofErr w:type="gramEnd"/>
      <w:r w:rsidRPr="00483861">
        <w:rPr>
          <w:color w:val="215E99" w:themeColor="text2" w:themeTint="BF"/>
        </w:rPr>
        <w:t xml:space="preserve"> the number of rides available for participants.  Funding from the Older Americans Act only pays for about 30-40% of services provided outside of Lucas County.  In those counties, local levies provide funding for </w:t>
      </w:r>
      <w:proofErr w:type="gramStart"/>
      <w:r w:rsidRPr="00483861">
        <w:rPr>
          <w:color w:val="215E99" w:themeColor="text2" w:themeTint="BF"/>
        </w:rPr>
        <w:t>the majority of</w:t>
      </w:r>
      <w:proofErr w:type="gramEnd"/>
      <w:r w:rsidRPr="00483861">
        <w:rPr>
          <w:color w:val="215E99" w:themeColor="text2" w:themeTint="BF"/>
        </w:rPr>
        <w:t xml:space="preserve"> services provided.  The AOoA does not control these levies.  Therefore, we do not control the amount of transportation rides in those counties.</w:t>
      </w:r>
    </w:p>
    <w:p w14:paraId="51B34810" w14:textId="692E2910" w:rsidR="00483861" w:rsidRPr="00483861" w:rsidRDefault="00483861" w:rsidP="00483861">
      <w:pPr>
        <w:rPr>
          <w:color w:val="000000" w:themeColor="text1"/>
        </w:rPr>
      </w:pPr>
      <w:r w:rsidRPr="00483861">
        <w:rPr>
          <w:color w:val="000000" w:themeColor="text1"/>
        </w:rPr>
        <w:t>MATCH REQUIREMENT / IN-KIND</w:t>
      </w:r>
    </w:p>
    <w:p w14:paraId="65E0633B" w14:textId="77777777" w:rsidR="00483861" w:rsidRPr="00483861" w:rsidRDefault="00483861" w:rsidP="00483861">
      <w:pPr>
        <w:rPr>
          <w:color w:val="000000" w:themeColor="text1"/>
        </w:rPr>
      </w:pPr>
      <w:r w:rsidRPr="00483861">
        <w:rPr>
          <w:color w:val="000000" w:themeColor="text1"/>
        </w:rPr>
        <w:t>Can you please clarify the match requirement for this contract? Specifically, is an in-kind match acceptable, and if so, what documentation or methodology is required to demonstrate and calculate eligible in-kind contributions?</w:t>
      </w:r>
    </w:p>
    <w:p w14:paraId="6C4BAAF8" w14:textId="217F64F4" w:rsidR="00483861" w:rsidRPr="00483861" w:rsidRDefault="00483861" w:rsidP="00483861">
      <w:pPr>
        <w:pStyle w:val="ListParagraph"/>
        <w:numPr>
          <w:ilvl w:val="0"/>
          <w:numId w:val="30"/>
        </w:numPr>
        <w:rPr>
          <w:color w:val="215E99" w:themeColor="text2" w:themeTint="BF"/>
        </w:rPr>
      </w:pPr>
      <w:r w:rsidRPr="00483861">
        <w:rPr>
          <w:color w:val="215E99" w:themeColor="text2" w:themeTint="BF"/>
        </w:rPr>
        <w:t xml:space="preserve">Yes, an in-kind match is acceptable.  Please refer to pages 30-31 of the Overview and Instructions document posted on the AOoA Website, </w:t>
      </w:r>
      <w:hyperlink r:id="rId13" w:history="1">
        <w:r w:rsidRPr="00483861">
          <w:rPr>
            <w:rStyle w:val="Hyperlink"/>
          </w:rPr>
          <w:t>2027-2030-Overview-and-Instructions_2026-03-10-141251_jiiu.pdf</w:t>
        </w:r>
      </w:hyperlink>
      <w:r w:rsidRPr="00483861">
        <w:rPr>
          <w:color w:val="215E99" w:themeColor="text2" w:themeTint="BF"/>
        </w:rPr>
        <w:t>.  Excerpt is below.</w:t>
      </w:r>
    </w:p>
    <w:p w14:paraId="2DEAD272" w14:textId="77777777" w:rsidR="00483861" w:rsidRPr="00483861" w:rsidRDefault="00483861" w:rsidP="00483861">
      <w:pPr>
        <w:rPr>
          <w:color w:val="215E99" w:themeColor="text2" w:themeTint="BF"/>
        </w:rPr>
      </w:pPr>
      <w:r w:rsidRPr="00483861">
        <w:rPr>
          <w:color w:val="215E99" w:themeColor="text2" w:themeTint="BF"/>
        </w:rPr>
        <w:t>In-Kind Guidance</w:t>
      </w:r>
    </w:p>
    <w:p w14:paraId="24983E0D" w14:textId="77777777" w:rsidR="00483861" w:rsidRPr="00483861" w:rsidRDefault="00483861" w:rsidP="00483861">
      <w:pPr>
        <w:numPr>
          <w:ilvl w:val="0"/>
          <w:numId w:val="22"/>
        </w:numPr>
        <w:rPr>
          <w:color w:val="215E99" w:themeColor="text2" w:themeTint="BF"/>
        </w:rPr>
      </w:pPr>
      <w:r w:rsidRPr="00483861">
        <w:rPr>
          <w:color w:val="215E99" w:themeColor="text2" w:themeTint="BF"/>
        </w:rPr>
        <w:t>Volunteer time should be valued at the current minimum wage.</w:t>
      </w:r>
    </w:p>
    <w:p w14:paraId="7F913C01" w14:textId="77777777" w:rsidR="00483861" w:rsidRPr="00483861" w:rsidRDefault="00483861" w:rsidP="00483861">
      <w:pPr>
        <w:numPr>
          <w:ilvl w:val="0"/>
          <w:numId w:val="22"/>
        </w:numPr>
        <w:rPr>
          <w:color w:val="215E99" w:themeColor="text2" w:themeTint="BF"/>
        </w:rPr>
      </w:pPr>
      <w:r w:rsidRPr="00483861">
        <w:rPr>
          <w:color w:val="215E99" w:themeColor="text2" w:themeTint="BF"/>
        </w:rPr>
        <w:t xml:space="preserve">Donated </w:t>
      </w:r>
      <w:proofErr w:type="gramStart"/>
      <w:r w:rsidRPr="00483861">
        <w:rPr>
          <w:color w:val="215E99" w:themeColor="text2" w:themeTint="BF"/>
        </w:rPr>
        <w:t>Services of professionals</w:t>
      </w:r>
      <w:proofErr w:type="gramEnd"/>
      <w:r w:rsidRPr="00483861">
        <w:rPr>
          <w:color w:val="215E99" w:themeColor="text2" w:themeTint="BF"/>
        </w:rPr>
        <w:t xml:space="preserve"> can be valued at an appropriate higher rate.</w:t>
      </w:r>
    </w:p>
    <w:p w14:paraId="01B7F6EA" w14:textId="77777777" w:rsidR="00483861" w:rsidRPr="00483861" w:rsidRDefault="00483861" w:rsidP="00483861">
      <w:pPr>
        <w:numPr>
          <w:ilvl w:val="0"/>
          <w:numId w:val="22"/>
        </w:numPr>
        <w:rPr>
          <w:color w:val="215E99" w:themeColor="text2" w:themeTint="BF"/>
        </w:rPr>
      </w:pPr>
      <w:r w:rsidRPr="00483861">
        <w:rPr>
          <w:color w:val="215E99" w:themeColor="text2" w:themeTint="BF"/>
        </w:rPr>
        <w:t>Indicate whether donated equipment is actual value or rental value.</w:t>
      </w:r>
    </w:p>
    <w:p w14:paraId="09882EED" w14:textId="77777777" w:rsidR="00483861" w:rsidRPr="00483861" w:rsidRDefault="00483861" w:rsidP="00483861">
      <w:pPr>
        <w:numPr>
          <w:ilvl w:val="0"/>
          <w:numId w:val="22"/>
        </w:numPr>
        <w:rPr>
          <w:color w:val="215E99" w:themeColor="text2" w:themeTint="BF"/>
        </w:rPr>
      </w:pPr>
      <w:r w:rsidRPr="00483861">
        <w:rPr>
          <w:color w:val="215E99" w:themeColor="text2" w:themeTint="BF"/>
        </w:rPr>
        <w:t>Donated space can be valued at fair market rates.</w:t>
      </w:r>
    </w:p>
    <w:p w14:paraId="487CEB41" w14:textId="77777777" w:rsidR="00483861" w:rsidRPr="00483861" w:rsidRDefault="00483861" w:rsidP="00483861">
      <w:pPr>
        <w:numPr>
          <w:ilvl w:val="0"/>
          <w:numId w:val="22"/>
        </w:numPr>
        <w:rPr>
          <w:color w:val="215E99" w:themeColor="text2" w:themeTint="BF"/>
        </w:rPr>
      </w:pPr>
      <w:r w:rsidRPr="00483861">
        <w:rPr>
          <w:color w:val="215E99" w:themeColor="text2" w:themeTint="BF"/>
        </w:rPr>
        <w:t>In-Kind resources represent the value of the non-cash resources provided by the applicant.</w:t>
      </w:r>
    </w:p>
    <w:p w14:paraId="7B59ED13" w14:textId="77777777" w:rsidR="00483861" w:rsidRPr="00483861" w:rsidRDefault="00483861" w:rsidP="00483861">
      <w:pPr>
        <w:numPr>
          <w:ilvl w:val="0"/>
          <w:numId w:val="22"/>
        </w:numPr>
        <w:rPr>
          <w:color w:val="215E99" w:themeColor="text2" w:themeTint="BF"/>
        </w:rPr>
      </w:pPr>
      <w:r w:rsidRPr="00483861">
        <w:rPr>
          <w:color w:val="215E99" w:themeColor="text2" w:themeTint="BF"/>
        </w:rPr>
        <w:t>To be claimed the value must be documented in project records, fair and reasonable, necessary to the achievement of the project's objectives and not included by any other federal or state-assisted program.</w:t>
      </w:r>
    </w:p>
    <w:p w14:paraId="43E8E5F7" w14:textId="77777777" w:rsidR="00483861" w:rsidRPr="00483861" w:rsidRDefault="00483861" w:rsidP="00483861">
      <w:pPr>
        <w:rPr>
          <w:color w:val="215E99" w:themeColor="text2" w:themeTint="BF"/>
        </w:rPr>
      </w:pPr>
      <w:r w:rsidRPr="00483861">
        <w:rPr>
          <w:color w:val="215E99" w:themeColor="text2" w:themeTint="BF"/>
        </w:rPr>
        <w:t xml:space="preserve">For Nutrition Providers, 15% match is required.  For non-nutrition providers, match requirements are typically 25% </w:t>
      </w:r>
      <w:proofErr w:type="gramStart"/>
      <w:r w:rsidRPr="00483861">
        <w:rPr>
          <w:color w:val="215E99" w:themeColor="text2" w:themeTint="BF"/>
        </w:rPr>
        <w:t>new providers</w:t>
      </w:r>
      <w:proofErr w:type="gramEnd"/>
      <w:r w:rsidRPr="00483861">
        <w:rPr>
          <w:color w:val="215E99" w:themeColor="text2" w:themeTint="BF"/>
        </w:rPr>
        <w:t xml:space="preserve">, 40% 2nd year </w:t>
      </w:r>
      <w:proofErr w:type="gramStart"/>
      <w:r w:rsidRPr="00483861">
        <w:rPr>
          <w:color w:val="215E99" w:themeColor="text2" w:themeTint="BF"/>
        </w:rPr>
        <w:t>provider</w:t>
      </w:r>
      <w:proofErr w:type="gramEnd"/>
      <w:r w:rsidRPr="00483861">
        <w:rPr>
          <w:color w:val="215E99" w:themeColor="text2" w:themeTint="BF"/>
        </w:rPr>
        <w:t xml:space="preserve"> and 100% 3+ year providers.  </w:t>
      </w:r>
    </w:p>
    <w:p w14:paraId="58CB1C81" w14:textId="77777777" w:rsidR="00483861" w:rsidRPr="00483861" w:rsidRDefault="00483861" w:rsidP="00483861">
      <w:pPr>
        <w:rPr>
          <w:color w:val="215E99" w:themeColor="text2" w:themeTint="BF"/>
        </w:rPr>
      </w:pPr>
      <w:r w:rsidRPr="00483861">
        <w:rPr>
          <w:color w:val="215E99" w:themeColor="text2" w:themeTint="BF"/>
        </w:rPr>
        <w:t xml:space="preserve">Non-Federal matching funds may include cash, expenditures by the grantee and third-party in-kind contributions.  To be used as match, in-kind contributions must be from a third-party, verifiable and the records must show how the value of the in-kind contribution was determined.  That valuation must be reasonable, subject to audit and meet the requirements of 45 CRF 75.306.  </w:t>
      </w:r>
    </w:p>
    <w:p w14:paraId="031170A9" w14:textId="1D19362B" w:rsidR="00483861" w:rsidRPr="00483861" w:rsidRDefault="00483861" w:rsidP="00483861">
      <w:pPr>
        <w:rPr>
          <w:color w:val="000000" w:themeColor="text1"/>
        </w:rPr>
      </w:pPr>
      <w:r w:rsidRPr="00483861">
        <w:rPr>
          <w:color w:val="000000" w:themeColor="text1"/>
        </w:rPr>
        <w:t>PRICING FOR AMBULATORY VS. WHEELCHAIR TRANSPORT</w:t>
      </w:r>
    </w:p>
    <w:p w14:paraId="4F1BB72B" w14:textId="77777777" w:rsidR="00483861" w:rsidRPr="00483861" w:rsidRDefault="00483861" w:rsidP="00483861">
      <w:pPr>
        <w:rPr>
          <w:color w:val="000000" w:themeColor="text1"/>
        </w:rPr>
      </w:pPr>
      <w:r w:rsidRPr="00483861">
        <w:rPr>
          <w:color w:val="000000" w:themeColor="text1"/>
        </w:rPr>
        <w:t xml:space="preserve">The application's transportation pricing section appears to provide only a </w:t>
      </w:r>
      <w:proofErr w:type="gramStart"/>
      <w:r w:rsidRPr="00483861">
        <w:rPr>
          <w:color w:val="000000" w:themeColor="text1"/>
        </w:rPr>
        <w:t>single rate</w:t>
      </w:r>
      <w:proofErr w:type="gramEnd"/>
      <w:r w:rsidRPr="00483861">
        <w:rPr>
          <w:color w:val="000000" w:themeColor="text1"/>
        </w:rPr>
        <w:t xml:space="preserve"> field. Our organization provides both ambulatory and wheelchair transport services, which carry different operational costs. Should we submit one blended rate for both service types, </w:t>
      </w:r>
      <w:proofErr w:type="gramStart"/>
      <w:r w:rsidRPr="00483861">
        <w:rPr>
          <w:color w:val="000000" w:themeColor="text1"/>
        </w:rPr>
        <w:t>or</w:t>
      </w:r>
      <w:proofErr w:type="gramEnd"/>
      <w:r w:rsidRPr="00483861">
        <w:rPr>
          <w:color w:val="000000" w:themeColor="text1"/>
        </w:rPr>
        <w:t xml:space="preserve"> is there an alternate way to reflect separate pricing within the application?</w:t>
      </w:r>
    </w:p>
    <w:p w14:paraId="754EDA2A" w14:textId="138C5A5F" w:rsidR="00483861" w:rsidRPr="00483861" w:rsidRDefault="00483861" w:rsidP="00483861">
      <w:pPr>
        <w:pStyle w:val="ListParagraph"/>
        <w:numPr>
          <w:ilvl w:val="0"/>
          <w:numId w:val="31"/>
        </w:numPr>
        <w:rPr>
          <w:color w:val="215E99" w:themeColor="text2" w:themeTint="BF"/>
        </w:rPr>
      </w:pPr>
      <w:r w:rsidRPr="00483861">
        <w:rPr>
          <w:color w:val="215E99" w:themeColor="text2" w:themeTint="BF"/>
        </w:rPr>
        <w:lastRenderedPageBreak/>
        <w:t>The only differences in unit rate are for Escort Assisted Transportation vs. Transportation.  Recommend utilizing a blended unit rate for ambulatory and wheelchair transport services.</w:t>
      </w:r>
    </w:p>
    <w:p w14:paraId="6D148387" w14:textId="3D9A194B" w:rsidR="00483861" w:rsidRPr="00483861" w:rsidRDefault="00483861" w:rsidP="00483861">
      <w:pPr>
        <w:rPr>
          <w:color w:val="000000" w:themeColor="text1"/>
        </w:rPr>
      </w:pPr>
      <w:r w:rsidRPr="00483861">
        <w:rPr>
          <w:color w:val="000000" w:themeColor="text1"/>
        </w:rPr>
        <w:t>IMPACT OF EXCEEDING OR FALLING SHORT OF COMMITTED RIDE VOLUME</w:t>
      </w:r>
    </w:p>
    <w:p w14:paraId="4706BF10" w14:textId="77777777" w:rsidR="00483861" w:rsidRPr="00483861" w:rsidRDefault="00483861" w:rsidP="00483861">
      <w:pPr>
        <w:rPr>
          <w:color w:val="000000" w:themeColor="text1"/>
        </w:rPr>
      </w:pPr>
      <w:r w:rsidRPr="00483861">
        <w:rPr>
          <w:color w:val="000000" w:themeColor="text1"/>
        </w:rPr>
        <w:t>If a provider commits to a specific number of rides per day and actual assignment volume differs — either above or below that number — how does this affect contract terms and funding? Are there minimum performance thresholds or volume guarantees on either side?</w:t>
      </w:r>
    </w:p>
    <w:p w14:paraId="68DCADBD" w14:textId="5DFE4C07" w:rsidR="00483861" w:rsidRPr="00483861" w:rsidRDefault="00483861" w:rsidP="00483861">
      <w:pPr>
        <w:pStyle w:val="ListParagraph"/>
        <w:numPr>
          <w:ilvl w:val="0"/>
          <w:numId w:val="32"/>
        </w:numPr>
        <w:rPr>
          <w:color w:val="215E99" w:themeColor="text2" w:themeTint="BF"/>
        </w:rPr>
      </w:pPr>
      <w:r w:rsidRPr="00483861">
        <w:rPr>
          <w:color w:val="215E99" w:themeColor="text2" w:themeTint="BF"/>
        </w:rPr>
        <w:t xml:space="preserve">For the Lucas County Only Transportation Application and the Family Caregiver Support and Plan4Home application, referrals to providers are based upon participant demand/need, provider capacity and participant choice. There is no guarantee of a specific number of rides per day.  </w:t>
      </w:r>
    </w:p>
    <w:p w14:paraId="75021F32" w14:textId="77777777" w:rsidR="00483861" w:rsidRPr="00483861" w:rsidRDefault="00483861" w:rsidP="002B4A8E">
      <w:pPr>
        <w:ind w:left="720"/>
        <w:rPr>
          <w:color w:val="215E99" w:themeColor="text2" w:themeTint="BF"/>
        </w:rPr>
      </w:pPr>
      <w:r w:rsidRPr="00483861">
        <w:rPr>
          <w:color w:val="215E99" w:themeColor="text2" w:themeTint="BF"/>
        </w:rPr>
        <w:t>For the Older Americans Act HCBS proposal, providers are allocated a specific amount of funding to provide a specific number of transportation trips.  While the AOoA will list the provider in our resource list for transportation services, we are not responsible for finding participants and approving rides.  It is the responsibility of the provider to find eligible participants and provide transportation.  The AOoA will not pay a provider for services provided above the contracted amount.  Per Policy 402 Conditions of Participation in the Appendices of the Overview and Instructions, the AOoA may de-obligate and redistribute funds if the provider is not, in a timely manner, earning the funds it was awarded.   </w:t>
      </w:r>
    </w:p>
    <w:p w14:paraId="6D73C4D0" w14:textId="45F80D3E" w:rsidR="00483861" w:rsidRPr="00483861" w:rsidRDefault="00483861" w:rsidP="00483861">
      <w:pPr>
        <w:rPr>
          <w:color w:val="000000" w:themeColor="text1"/>
        </w:rPr>
      </w:pPr>
      <w:r w:rsidRPr="00483861">
        <w:rPr>
          <w:color w:val="000000" w:themeColor="text1"/>
        </w:rPr>
        <w:t xml:space="preserve">MULTIPLE STOPS ON </w:t>
      </w:r>
      <w:proofErr w:type="gramStart"/>
      <w:r w:rsidRPr="00483861">
        <w:rPr>
          <w:color w:val="000000" w:themeColor="text1"/>
        </w:rPr>
        <w:t>A SINGLE</w:t>
      </w:r>
      <w:proofErr w:type="gramEnd"/>
      <w:r w:rsidRPr="00483861">
        <w:rPr>
          <w:color w:val="000000" w:themeColor="text1"/>
        </w:rPr>
        <w:t xml:space="preserve"> TRANSPORT</w:t>
      </w:r>
    </w:p>
    <w:p w14:paraId="0D523EF3" w14:textId="77777777" w:rsidR="00483861" w:rsidRPr="00483861" w:rsidRDefault="00483861" w:rsidP="00483861">
      <w:pPr>
        <w:rPr>
          <w:color w:val="000000" w:themeColor="text1"/>
        </w:rPr>
      </w:pPr>
      <w:r w:rsidRPr="00483861">
        <w:rPr>
          <w:color w:val="000000" w:themeColor="text1"/>
        </w:rPr>
        <w:t>If a single transport trip requires multiple stops, what is the process for adding those additional stops or units to that trip? How will multi-stop trips be authorized, tracked, and reimbursed — and will they count as one ride or multiple rides toward our contracted volume?</w:t>
      </w:r>
    </w:p>
    <w:p w14:paraId="2745AC99" w14:textId="311C5121" w:rsidR="00483861" w:rsidRPr="00483861" w:rsidRDefault="00483861" w:rsidP="00483861">
      <w:pPr>
        <w:pStyle w:val="ListParagraph"/>
        <w:numPr>
          <w:ilvl w:val="0"/>
          <w:numId w:val="33"/>
        </w:numPr>
        <w:rPr>
          <w:color w:val="215E99" w:themeColor="text2" w:themeTint="BF"/>
        </w:rPr>
      </w:pPr>
      <w:r w:rsidRPr="00483861">
        <w:rPr>
          <w:color w:val="215E99" w:themeColor="text2" w:themeTint="BF"/>
        </w:rPr>
        <w:t>Typically, there are not multiple stops.  However, if there are multiple stops, then each segment of the trip would be counted as one, one-way trip.  For example, the starting destination, home to end destination, medical office, would be considered one-way trip #1.  Starting destination, medical office, to end destination, pharmacy, would be considered one-way trip #2.  Starting destination, pharmacy and end destination, home would be considered one-way trip #3.</w:t>
      </w:r>
    </w:p>
    <w:p w14:paraId="36FB2587" w14:textId="2799D750" w:rsidR="00483861" w:rsidRPr="00483861" w:rsidRDefault="00483861" w:rsidP="00483861">
      <w:pPr>
        <w:rPr>
          <w:color w:val="000000" w:themeColor="text1"/>
        </w:rPr>
      </w:pPr>
      <w:r w:rsidRPr="00483861">
        <w:rPr>
          <w:color w:val="000000" w:themeColor="text1"/>
        </w:rPr>
        <w:t>RIDE DISTRIBUTION &amp; ADVANCE NOTICE</w:t>
      </w:r>
    </w:p>
    <w:p w14:paraId="5BDB6B82" w14:textId="77777777" w:rsidR="00483861" w:rsidRPr="00483861" w:rsidRDefault="00483861" w:rsidP="00483861">
      <w:pPr>
        <w:rPr>
          <w:color w:val="000000" w:themeColor="text1"/>
        </w:rPr>
      </w:pPr>
      <w:r w:rsidRPr="00483861">
        <w:rPr>
          <w:color w:val="000000" w:themeColor="text1"/>
        </w:rPr>
        <w:t>How will rides be distributed to providers? Will assignments be communicated through a portal, dispatched directly, or assigned through another method? What advance notice can providers expect to receive prior to scheduled trips?</w:t>
      </w:r>
    </w:p>
    <w:p w14:paraId="0BB82E4D" w14:textId="79BF87D1" w:rsidR="00483861" w:rsidRPr="00483861" w:rsidRDefault="00483861" w:rsidP="00483861">
      <w:pPr>
        <w:pStyle w:val="ListParagraph"/>
        <w:numPr>
          <w:ilvl w:val="0"/>
          <w:numId w:val="34"/>
        </w:numPr>
        <w:rPr>
          <w:color w:val="215E99" w:themeColor="text2" w:themeTint="BF"/>
        </w:rPr>
      </w:pPr>
      <w:r w:rsidRPr="00483861">
        <w:rPr>
          <w:color w:val="215E99" w:themeColor="text2" w:themeTint="BF"/>
        </w:rPr>
        <w:t xml:space="preserve">An onboarding session for family caregiver support and Plan4Home providers will be conducted prior to January 1, 2027.  During this session, the referral process for these programs will be explained.  A similar onboarding session will be conducted for providers of Lucas County Only Transportation.  The referral process for this system is still being established.  Participant </w:t>
      </w:r>
      <w:proofErr w:type="gramStart"/>
      <w:r w:rsidRPr="00483861">
        <w:rPr>
          <w:color w:val="215E99" w:themeColor="text2" w:themeTint="BF"/>
        </w:rPr>
        <w:t>choice</w:t>
      </w:r>
      <w:proofErr w:type="gramEnd"/>
      <w:r w:rsidRPr="00483861">
        <w:rPr>
          <w:color w:val="215E99" w:themeColor="text2" w:themeTint="BF"/>
        </w:rPr>
        <w:t xml:space="preserve"> will be incorporated into the process.  While rides would be scheduled as far in advance as possible, it is also based upon participant need.  Sometimes </w:t>
      </w:r>
      <w:proofErr w:type="gramStart"/>
      <w:r w:rsidRPr="00483861">
        <w:rPr>
          <w:color w:val="215E99" w:themeColor="text2" w:themeTint="BF"/>
        </w:rPr>
        <w:t>rides,</w:t>
      </w:r>
      <w:proofErr w:type="gramEnd"/>
      <w:r w:rsidRPr="00483861">
        <w:rPr>
          <w:color w:val="215E99" w:themeColor="text2" w:themeTint="BF"/>
        </w:rPr>
        <w:t xml:space="preserve"> may be scheduled with less than </w:t>
      </w:r>
      <w:proofErr w:type="gramStart"/>
      <w:r w:rsidRPr="00483861">
        <w:rPr>
          <w:color w:val="215E99" w:themeColor="text2" w:themeTint="BF"/>
        </w:rPr>
        <w:t>24 hour</w:t>
      </w:r>
      <w:proofErr w:type="gramEnd"/>
      <w:r w:rsidRPr="00483861">
        <w:rPr>
          <w:color w:val="215E99" w:themeColor="text2" w:themeTint="BF"/>
        </w:rPr>
        <w:t xml:space="preserve"> notice.</w:t>
      </w:r>
    </w:p>
    <w:p w14:paraId="33D4EBCF" w14:textId="75B7CAEA" w:rsidR="00483861" w:rsidRPr="00483861" w:rsidRDefault="00483861" w:rsidP="00483861">
      <w:pPr>
        <w:rPr>
          <w:color w:val="000000" w:themeColor="text1"/>
        </w:rPr>
      </w:pPr>
      <w:r w:rsidRPr="00483861">
        <w:rPr>
          <w:color w:val="000000" w:themeColor="text1"/>
        </w:rPr>
        <w:lastRenderedPageBreak/>
        <w:t>HOURS AND DAYS OF SERVICE</w:t>
      </w:r>
    </w:p>
    <w:p w14:paraId="0A6721A5" w14:textId="77777777" w:rsidR="00483861" w:rsidRPr="00483861" w:rsidRDefault="00483861" w:rsidP="00483861">
      <w:pPr>
        <w:rPr>
          <w:color w:val="000000" w:themeColor="text1"/>
        </w:rPr>
      </w:pPr>
      <w:r w:rsidRPr="00483861">
        <w:rPr>
          <w:color w:val="000000" w:themeColor="text1"/>
        </w:rPr>
        <w:t>Please clarify the expected hours and days of service coverage. Is this contract intended to cover 24 hours a day, 7 days a week, or are there defined service windows?</w:t>
      </w:r>
    </w:p>
    <w:p w14:paraId="31826852" w14:textId="20FB35CD" w:rsidR="00483861" w:rsidRPr="00483861" w:rsidRDefault="00483861" w:rsidP="00483861">
      <w:pPr>
        <w:pStyle w:val="ListParagraph"/>
        <w:numPr>
          <w:ilvl w:val="0"/>
          <w:numId w:val="35"/>
        </w:numPr>
        <w:rPr>
          <w:color w:val="215E99" w:themeColor="text2" w:themeTint="BF"/>
        </w:rPr>
      </w:pPr>
      <w:r w:rsidRPr="00483861">
        <w:rPr>
          <w:color w:val="215E99" w:themeColor="text2" w:themeTint="BF"/>
        </w:rPr>
        <w:t xml:space="preserve">For the OAA HCBS proposal, the provider sets and manages the service windows.  For the Lucas County Only transportation, Plan4Home and Caregiver Support Programs, the provider informs the AOoA of their service windows.  The AOoA will take this into account when attempting to schedule rides based upon the participants needs.  Historically, most transportation is provided during medical office hours.  However, there may be an occasional need for evening and </w:t>
      </w:r>
      <w:proofErr w:type="gramStart"/>
      <w:r w:rsidRPr="00483861">
        <w:rPr>
          <w:color w:val="215E99" w:themeColor="text2" w:themeTint="BF"/>
        </w:rPr>
        <w:t>late night</w:t>
      </w:r>
      <w:proofErr w:type="gramEnd"/>
      <w:r w:rsidRPr="00483861">
        <w:rPr>
          <w:color w:val="215E99" w:themeColor="text2" w:themeTint="BF"/>
        </w:rPr>
        <w:t xml:space="preserve"> transportation.</w:t>
      </w:r>
    </w:p>
    <w:p w14:paraId="72E8E029" w14:textId="43FA9A32" w:rsidR="00483861" w:rsidRPr="00483861" w:rsidRDefault="00483861" w:rsidP="00483861">
      <w:pPr>
        <w:rPr>
          <w:color w:val="000000" w:themeColor="text1"/>
        </w:rPr>
      </w:pPr>
      <w:r w:rsidRPr="00483861">
        <w:rPr>
          <w:color w:val="000000" w:themeColor="text1"/>
        </w:rPr>
        <w:t>RFP SCORING SECTIONS &amp; POINT VALUES</w:t>
      </w:r>
    </w:p>
    <w:p w14:paraId="6AEC84F2" w14:textId="77777777" w:rsidR="00483861" w:rsidRPr="00483861" w:rsidRDefault="00483861" w:rsidP="00483861">
      <w:pPr>
        <w:rPr>
          <w:color w:val="000000" w:themeColor="text1"/>
        </w:rPr>
      </w:pPr>
      <w:r w:rsidRPr="00483861">
        <w:rPr>
          <w:color w:val="000000" w:themeColor="text1"/>
        </w:rPr>
        <w:t>Could you please provide a breakdown of the corresponding RFP sections and the point values assigned to each? This will help ensure our proposal is organized to address all evaluation criteria appropriately.</w:t>
      </w:r>
    </w:p>
    <w:p w14:paraId="0EB52217" w14:textId="7BD7FE48" w:rsidR="00483861" w:rsidRPr="00483861" w:rsidRDefault="00483861" w:rsidP="00483861">
      <w:pPr>
        <w:pStyle w:val="ListParagraph"/>
        <w:numPr>
          <w:ilvl w:val="0"/>
          <w:numId w:val="36"/>
        </w:numPr>
        <w:rPr>
          <w:color w:val="215E99" w:themeColor="text2" w:themeTint="BF"/>
        </w:rPr>
      </w:pPr>
      <w:r w:rsidRPr="00483861">
        <w:rPr>
          <w:color w:val="215E99" w:themeColor="text2" w:themeTint="BF"/>
        </w:rPr>
        <w:t>This information is found in the Overview and Instructions.  The rating criterion for the OAA HCBS proposal is found on pages 34-35.  The rating criterion for the Lucas County Only Home Delivered Meals and Lucas County Only Transportation Service Applications is found on page 39.  The rating criterion for the Family Caregiver Support and Plan4Home Application is found on page 45.</w:t>
      </w:r>
    </w:p>
    <w:p w14:paraId="47D58945" w14:textId="77777777" w:rsidR="00905360" w:rsidRDefault="00905360" w:rsidP="00905360">
      <w:pPr>
        <w:pStyle w:val="ListParagraph"/>
        <w:numPr>
          <w:ilvl w:val="0"/>
          <w:numId w:val="39"/>
        </w:numPr>
        <w:spacing w:line="278" w:lineRule="auto"/>
        <w:rPr>
          <w:rFonts w:ascii="Segoe UI" w:hAnsi="Segoe UI" w:cs="Segoe UI"/>
        </w:rPr>
      </w:pPr>
      <w:r w:rsidRPr="1FF6DC77">
        <w:rPr>
          <w:rFonts w:ascii="Segoe UI" w:hAnsi="Segoe UI" w:cs="Segoe UI"/>
        </w:rPr>
        <w:t xml:space="preserve">Is there a recording of the meeting that was held on Tuesday, March 10, </w:t>
      </w:r>
      <w:proofErr w:type="gramStart"/>
      <w:r w:rsidRPr="1FF6DC77">
        <w:rPr>
          <w:rFonts w:ascii="Segoe UI" w:hAnsi="Segoe UI" w:cs="Segoe UI"/>
        </w:rPr>
        <w:t>2026</w:t>
      </w:r>
      <w:proofErr w:type="gramEnd"/>
      <w:r w:rsidRPr="1FF6DC77">
        <w:rPr>
          <w:rFonts w:ascii="Segoe UI" w:hAnsi="Segoe UI" w:cs="Segoe UI"/>
        </w:rPr>
        <w:t xml:space="preserve"> that can be shared with us?</w:t>
      </w:r>
      <w:r>
        <w:rPr>
          <w:rFonts w:ascii="Segoe UI" w:hAnsi="Segoe UI" w:cs="Segoe UI"/>
        </w:rPr>
        <w:t xml:space="preserve"> </w:t>
      </w:r>
    </w:p>
    <w:p w14:paraId="65FFF17C" w14:textId="77777777" w:rsidR="00905360" w:rsidRDefault="00905360" w:rsidP="00905360">
      <w:pPr>
        <w:pStyle w:val="ListParagraph"/>
        <w:numPr>
          <w:ilvl w:val="0"/>
          <w:numId w:val="40"/>
        </w:numPr>
        <w:spacing w:line="278" w:lineRule="auto"/>
        <w:rPr>
          <w:rFonts w:ascii="Segoe UI" w:hAnsi="Segoe UI" w:cs="Segoe UI"/>
        </w:rPr>
      </w:pPr>
      <w:r w:rsidRPr="006E0791">
        <w:rPr>
          <w:rFonts w:ascii="Segoe UI" w:hAnsi="Segoe UI" w:cs="Segoe UI"/>
          <w:color w:val="215E99" w:themeColor="text2" w:themeTint="BF"/>
        </w:rPr>
        <w:t>No</w:t>
      </w:r>
    </w:p>
    <w:p w14:paraId="26DFFE96" w14:textId="77777777" w:rsidR="00905360" w:rsidRDefault="00905360" w:rsidP="00905360">
      <w:pPr>
        <w:pStyle w:val="ListParagraph"/>
        <w:numPr>
          <w:ilvl w:val="0"/>
          <w:numId w:val="39"/>
        </w:numPr>
        <w:spacing w:line="278" w:lineRule="auto"/>
        <w:rPr>
          <w:rFonts w:ascii="Segoe UI" w:hAnsi="Segoe UI" w:cs="Segoe UI"/>
        </w:rPr>
      </w:pPr>
      <w:r w:rsidRPr="1FF6DC77">
        <w:rPr>
          <w:rFonts w:ascii="Segoe UI" w:hAnsi="Segoe UI" w:cs="Segoe UI"/>
        </w:rPr>
        <w:t xml:space="preserve">Are we able to only bid on the frozen meal portion for the counties receiving hot or frozen meals as a delivery?  [insert </w:t>
      </w:r>
      <w:proofErr w:type="spellStart"/>
      <w:r w:rsidRPr="1FF6DC77">
        <w:rPr>
          <w:rFonts w:ascii="Segoe UI" w:hAnsi="Segoe UI" w:cs="Segoe UI"/>
        </w:rPr>
        <w:t>pg</w:t>
      </w:r>
      <w:proofErr w:type="spellEnd"/>
      <w:r w:rsidRPr="1FF6DC77">
        <w:rPr>
          <w:rFonts w:ascii="Segoe UI" w:hAnsi="Segoe UI" w:cs="Segoe UI"/>
        </w:rPr>
        <w:t xml:space="preserve"> referenced]</w:t>
      </w:r>
      <w:r>
        <w:rPr>
          <w:rFonts w:ascii="Segoe UI" w:hAnsi="Segoe UI" w:cs="Segoe UI"/>
        </w:rPr>
        <w:t xml:space="preserve"> </w:t>
      </w:r>
    </w:p>
    <w:p w14:paraId="7A36807A" w14:textId="77777777" w:rsidR="00905360" w:rsidRPr="006E0791" w:rsidRDefault="00905360" w:rsidP="00905360">
      <w:pPr>
        <w:pStyle w:val="ListParagraph"/>
        <w:numPr>
          <w:ilvl w:val="0"/>
          <w:numId w:val="41"/>
        </w:numPr>
        <w:spacing w:line="278" w:lineRule="auto"/>
        <w:rPr>
          <w:rFonts w:cstheme="minorHAnsi"/>
          <w:i/>
          <w:iCs/>
          <w:color w:val="215E99" w:themeColor="text2" w:themeTint="BF"/>
        </w:rPr>
      </w:pPr>
      <w:r w:rsidRPr="006E0791">
        <w:rPr>
          <w:rFonts w:ascii="Segoe UI" w:hAnsi="Segoe UI" w:cs="Segoe UI"/>
          <w:color w:val="215E99" w:themeColor="text2" w:themeTint="BF"/>
        </w:rPr>
        <w:t xml:space="preserve">From Page 4 of the Overview and Instructions </w:t>
      </w:r>
      <w:r w:rsidRPr="006E0791">
        <w:rPr>
          <w:rFonts w:cstheme="minorHAnsi"/>
          <w:i/>
          <w:iCs/>
          <w:color w:val="215E99" w:themeColor="text2" w:themeTint="BF"/>
        </w:rPr>
        <w:t xml:space="preserve">To provide the best service with the highest quality and most cost-effectiveness, respondents will have the opportunity to apply for as much of or as little of the request for proposal services, depending on capability and capacity.  Not being able to provide all services or not being able to provide services to </w:t>
      </w:r>
      <w:proofErr w:type="gramStart"/>
      <w:r w:rsidRPr="006E0791">
        <w:rPr>
          <w:rFonts w:cstheme="minorHAnsi"/>
          <w:i/>
          <w:iCs/>
          <w:color w:val="215E99" w:themeColor="text2" w:themeTint="BF"/>
        </w:rPr>
        <w:t>all of</w:t>
      </w:r>
      <w:proofErr w:type="gramEnd"/>
      <w:r w:rsidRPr="006E0791">
        <w:rPr>
          <w:rFonts w:cstheme="minorHAnsi"/>
          <w:i/>
          <w:iCs/>
          <w:color w:val="215E99" w:themeColor="text2" w:themeTint="BF"/>
        </w:rPr>
        <w:t xml:space="preserve"> our service area will not disqualify an applicant.</w:t>
      </w:r>
    </w:p>
    <w:p w14:paraId="17EBCD2C" w14:textId="77777777" w:rsidR="00905360" w:rsidRDefault="00905360" w:rsidP="00905360">
      <w:pPr>
        <w:pStyle w:val="ListParagraph"/>
        <w:numPr>
          <w:ilvl w:val="0"/>
          <w:numId w:val="39"/>
        </w:numPr>
        <w:spacing w:line="240" w:lineRule="auto"/>
        <w:rPr>
          <w:rFonts w:ascii="Segoe UI" w:eastAsia="Segoe UI" w:hAnsi="Segoe UI" w:cs="Segoe UI"/>
        </w:rPr>
      </w:pPr>
      <w:r w:rsidRPr="1FF6DC77">
        <w:rPr>
          <w:rFonts w:ascii="Segoe UI" w:eastAsia="Segoe UI" w:hAnsi="Segoe UI" w:cs="Segoe UI"/>
        </w:rPr>
        <w:t>Will a sample of the 6-week menu be accepted or is the full menu due upon submission of the RFP?</w:t>
      </w:r>
      <w:r>
        <w:rPr>
          <w:rFonts w:ascii="Segoe UI" w:eastAsia="Segoe UI" w:hAnsi="Segoe UI" w:cs="Segoe UI"/>
        </w:rPr>
        <w:t xml:space="preserve"> </w:t>
      </w:r>
    </w:p>
    <w:p w14:paraId="4C2AC668" w14:textId="77777777" w:rsidR="00905360" w:rsidRPr="006E0791" w:rsidRDefault="00905360" w:rsidP="00905360">
      <w:pPr>
        <w:pStyle w:val="ListParagraph"/>
        <w:numPr>
          <w:ilvl w:val="0"/>
          <w:numId w:val="42"/>
        </w:numPr>
        <w:spacing w:line="240" w:lineRule="auto"/>
        <w:rPr>
          <w:rFonts w:ascii="Segoe UI" w:eastAsia="Segoe UI" w:hAnsi="Segoe UI" w:cs="Segoe UI"/>
          <w:color w:val="215E99" w:themeColor="text2" w:themeTint="BF"/>
        </w:rPr>
      </w:pPr>
      <w:r w:rsidRPr="006E0791">
        <w:rPr>
          <w:rFonts w:ascii="Segoe UI" w:eastAsia="Segoe UI" w:hAnsi="Segoe UI" w:cs="Segoe UI"/>
          <w:color w:val="215E99" w:themeColor="text2" w:themeTint="BF"/>
        </w:rPr>
        <w:t>Sample is ok</w:t>
      </w:r>
    </w:p>
    <w:p w14:paraId="200A712E" w14:textId="77777777" w:rsidR="00905360" w:rsidRDefault="00905360" w:rsidP="00905360">
      <w:pPr>
        <w:pStyle w:val="ListParagraph"/>
        <w:numPr>
          <w:ilvl w:val="0"/>
          <w:numId w:val="39"/>
        </w:numPr>
        <w:spacing w:line="240" w:lineRule="auto"/>
        <w:rPr>
          <w:rFonts w:ascii="Segoe UI" w:eastAsia="Segoe UI" w:hAnsi="Segoe UI" w:cs="Segoe UI"/>
        </w:rPr>
      </w:pPr>
      <w:r w:rsidRPr="1FF6DC77">
        <w:rPr>
          <w:rFonts w:ascii="Segoe UI" w:eastAsia="Segoe UI" w:hAnsi="Segoe UI" w:cs="Segoe UI"/>
        </w:rPr>
        <w:t xml:space="preserve">How much has been </w:t>
      </w:r>
      <w:proofErr w:type="gramStart"/>
      <w:r w:rsidRPr="1FF6DC77">
        <w:rPr>
          <w:rFonts w:ascii="Segoe UI" w:eastAsia="Segoe UI" w:hAnsi="Segoe UI" w:cs="Segoe UI"/>
        </w:rPr>
        <w:t>paid out</w:t>
      </w:r>
      <w:proofErr w:type="gramEnd"/>
      <w:r w:rsidRPr="1FF6DC77">
        <w:rPr>
          <w:rFonts w:ascii="Segoe UI" w:eastAsia="Segoe UI" w:hAnsi="Segoe UI" w:cs="Segoe UI"/>
        </w:rPr>
        <w:t xml:space="preserve"> in the last contract cycle due to penalties?</w:t>
      </w:r>
      <w:r>
        <w:rPr>
          <w:rFonts w:ascii="Segoe UI" w:eastAsia="Segoe UI" w:hAnsi="Segoe UI" w:cs="Segoe UI"/>
        </w:rPr>
        <w:t xml:space="preserve"> </w:t>
      </w:r>
    </w:p>
    <w:p w14:paraId="4BA4ACAE" w14:textId="77777777" w:rsidR="00905360" w:rsidRPr="006E0791" w:rsidRDefault="00905360" w:rsidP="00905360">
      <w:pPr>
        <w:pStyle w:val="ListParagraph"/>
        <w:numPr>
          <w:ilvl w:val="0"/>
          <w:numId w:val="43"/>
        </w:numPr>
        <w:spacing w:line="240" w:lineRule="auto"/>
        <w:rPr>
          <w:rFonts w:ascii="Segoe UI" w:eastAsia="Segoe UI" w:hAnsi="Segoe UI" w:cs="Segoe UI"/>
          <w:color w:val="215E99" w:themeColor="text2" w:themeTint="BF"/>
        </w:rPr>
      </w:pPr>
      <w:r w:rsidRPr="006E0791">
        <w:rPr>
          <w:rFonts w:ascii="Segoe UI" w:eastAsia="Segoe UI" w:hAnsi="Segoe UI" w:cs="Segoe UI"/>
          <w:color w:val="215E99" w:themeColor="text2" w:themeTint="BF"/>
        </w:rPr>
        <w:t>No penalties were paid in the last contract cycle.</w:t>
      </w:r>
    </w:p>
    <w:p w14:paraId="0781672E" w14:textId="77777777" w:rsidR="00905360" w:rsidRDefault="00905360" w:rsidP="00905360">
      <w:pPr>
        <w:pStyle w:val="ListParagraph"/>
        <w:numPr>
          <w:ilvl w:val="0"/>
          <w:numId w:val="39"/>
        </w:numPr>
        <w:spacing w:line="240" w:lineRule="auto"/>
        <w:rPr>
          <w:rFonts w:ascii="Segoe UI" w:eastAsia="Segoe UI" w:hAnsi="Segoe UI" w:cs="Segoe UI"/>
        </w:rPr>
      </w:pPr>
      <w:r w:rsidRPr="1FF6DC77">
        <w:rPr>
          <w:rFonts w:ascii="Segoe UI" w:eastAsia="Segoe UI" w:hAnsi="Segoe UI" w:cs="Segoe UI"/>
        </w:rPr>
        <w:t xml:space="preserve">What elements of the contract were not met resulting in the penalty? </w:t>
      </w:r>
    </w:p>
    <w:p w14:paraId="0A600CA2" w14:textId="77777777" w:rsidR="00905360" w:rsidRPr="006E0791" w:rsidRDefault="00905360" w:rsidP="00905360">
      <w:pPr>
        <w:pStyle w:val="ListParagraph"/>
        <w:numPr>
          <w:ilvl w:val="0"/>
          <w:numId w:val="44"/>
        </w:numPr>
        <w:spacing w:line="240" w:lineRule="auto"/>
        <w:rPr>
          <w:rFonts w:ascii="Segoe UI" w:eastAsia="Segoe UI" w:hAnsi="Segoe UI" w:cs="Segoe UI"/>
          <w:color w:val="215E99" w:themeColor="text2" w:themeTint="BF"/>
        </w:rPr>
      </w:pPr>
      <w:r>
        <w:rPr>
          <w:rFonts w:ascii="Segoe UI" w:eastAsia="Segoe UI" w:hAnsi="Segoe UI" w:cs="Segoe UI"/>
          <w:color w:val="215E99" w:themeColor="text2" w:themeTint="BF"/>
        </w:rPr>
        <w:t>N/A.  No penalties were assessed.</w:t>
      </w:r>
    </w:p>
    <w:p w14:paraId="21D149D1" w14:textId="77777777" w:rsidR="00905360" w:rsidRDefault="00905360" w:rsidP="00905360">
      <w:pPr>
        <w:pStyle w:val="ListParagraph"/>
        <w:numPr>
          <w:ilvl w:val="0"/>
          <w:numId w:val="39"/>
        </w:numPr>
        <w:spacing w:line="240" w:lineRule="auto"/>
        <w:rPr>
          <w:rFonts w:ascii="Segoe UI" w:eastAsia="Segoe UI" w:hAnsi="Segoe UI" w:cs="Segoe UI"/>
        </w:rPr>
      </w:pPr>
      <w:r w:rsidRPr="1FF6DC77">
        <w:rPr>
          <w:rFonts w:ascii="Segoe UI" w:eastAsia="Segoe UI" w:hAnsi="Segoe UI" w:cs="Segoe UI"/>
        </w:rPr>
        <w:t xml:space="preserve">What are the pack sizes for </w:t>
      </w:r>
      <w:proofErr w:type="gramStart"/>
      <w:r w:rsidRPr="1FF6DC77">
        <w:rPr>
          <w:rFonts w:ascii="Segoe UI" w:eastAsia="Segoe UI" w:hAnsi="Segoe UI" w:cs="Segoe UI"/>
        </w:rPr>
        <w:t>the HDM's</w:t>
      </w:r>
      <w:proofErr w:type="gramEnd"/>
      <w:r w:rsidRPr="1FF6DC77">
        <w:rPr>
          <w:rFonts w:ascii="Segoe UI" w:eastAsia="Segoe UI" w:hAnsi="Segoe UI" w:cs="Segoe UI"/>
        </w:rPr>
        <w:t xml:space="preserve"> recipients, and would we supply all components, including fresh milk?</w:t>
      </w:r>
    </w:p>
    <w:p w14:paraId="75099BC8" w14:textId="77777777" w:rsidR="00905360" w:rsidRPr="006E0791" w:rsidRDefault="00905360" w:rsidP="00905360">
      <w:pPr>
        <w:pStyle w:val="ListParagraph"/>
        <w:spacing w:line="240" w:lineRule="auto"/>
        <w:rPr>
          <w:rFonts w:ascii="Segoe UI" w:eastAsia="Segoe UI" w:hAnsi="Segoe UI" w:cs="Segoe UI"/>
          <w:color w:val="215E99" w:themeColor="text2" w:themeTint="BF"/>
        </w:rPr>
      </w:pPr>
      <w:r>
        <w:rPr>
          <w:rFonts w:ascii="Segoe UI" w:eastAsia="Segoe UI" w:hAnsi="Segoe UI" w:cs="Segoe UI"/>
        </w:rPr>
        <w:t xml:space="preserve">A. </w:t>
      </w:r>
      <w:r>
        <w:rPr>
          <w:rFonts w:ascii="Segoe UI" w:eastAsia="Segoe UI" w:hAnsi="Segoe UI" w:cs="Segoe UI"/>
          <w:color w:val="215E99" w:themeColor="text2" w:themeTint="BF"/>
        </w:rPr>
        <w:t>The nutrition provider is responsible for supplying all items on the approved menu.</w:t>
      </w:r>
    </w:p>
    <w:p w14:paraId="0CAA4517" w14:textId="77777777" w:rsidR="00905360" w:rsidRDefault="00905360" w:rsidP="00905360">
      <w:pPr>
        <w:pStyle w:val="ListParagraph"/>
        <w:numPr>
          <w:ilvl w:val="0"/>
          <w:numId w:val="39"/>
        </w:numPr>
        <w:spacing w:after="0" w:line="240" w:lineRule="auto"/>
        <w:rPr>
          <w:rFonts w:ascii="Segoe UI" w:eastAsia="Segoe UI" w:hAnsi="Segoe UI" w:cs="Segoe UI"/>
        </w:rPr>
      </w:pPr>
      <w:r w:rsidRPr="1FF6DC77">
        <w:rPr>
          <w:rFonts w:ascii="Segoe UI" w:eastAsia="Segoe UI" w:hAnsi="Segoe UI" w:cs="Segoe UI"/>
        </w:rPr>
        <w:lastRenderedPageBreak/>
        <w:t>Will frozen meals be acceptable for the Congregate, and if so, would we supply all components, including fresh milk?</w:t>
      </w:r>
      <w:r>
        <w:rPr>
          <w:rFonts w:ascii="Segoe UI" w:eastAsia="Segoe UI" w:hAnsi="Segoe UI" w:cs="Segoe UI"/>
        </w:rPr>
        <w:t xml:space="preserve"> </w:t>
      </w:r>
    </w:p>
    <w:p w14:paraId="7B293986" w14:textId="77777777" w:rsidR="00905360" w:rsidRDefault="00905360" w:rsidP="00905360">
      <w:pPr>
        <w:pStyle w:val="ListParagraph"/>
        <w:numPr>
          <w:ilvl w:val="0"/>
          <w:numId w:val="45"/>
        </w:numPr>
        <w:spacing w:after="0" w:line="240" w:lineRule="auto"/>
        <w:rPr>
          <w:rFonts w:ascii="Segoe UI" w:eastAsia="Segoe UI" w:hAnsi="Segoe UI" w:cs="Segoe UI"/>
        </w:rPr>
      </w:pPr>
      <w:r>
        <w:rPr>
          <w:rFonts w:ascii="Segoe UI" w:eastAsia="Segoe UI" w:hAnsi="Segoe UI" w:cs="Segoe UI"/>
        </w:rPr>
        <w:t xml:space="preserve"> </w:t>
      </w:r>
      <w:r>
        <w:rPr>
          <w:rFonts w:ascii="Segoe UI" w:eastAsia="Segoe UI" w:hAnsi="Segoe UI" w:cs="Segoe UI"/>
          <w:color w:val="215E99" w:themeColor="text2" w:themeTint="BF"/>
        </w:rPr>
        <w:t>Hot meals are provided at all but the Senior Centers Inc. meal site.</w:t>
      </w:r>
      <w:r w:rsidRPr="006E0791">
        <w:rPr>
          <w:rFonts w:ascii="Segoe UI" w:eastAsia="Segoe UI" w:hAnsi="Segoe UI" w:cs="Segoe UI"/>
          <w:color w:val="215E99" w:themeColor="text2" w:themeTint="BF"/>
        </w:rPr>
        <w:t xml:space="preserve"> </w:t>
      </w:r>
    </w:p>
    <w:p w14:paraId="7790D664" w14:textId="77777777" w:rsidR="00905360" w:rsidRDefault="00905360" w:rsidP="00905360">
      <w:pPr>
        <w:pStyle w:val="ListParagraph"/>
        <w:spacing w:after="0" w:line="240" w:lineRule="auto"/>
        <w:ind w:left="1800"/>
        <w:rPr>
          <w:rFonts w:ascii="Segoe UI" w:eastAsia="Segoe UI" w:hAnsi="Segoe UI" w:cs="Segoe UI"/>
        </w:rPr>
      </w:pPr>
    </w:p>
    <w:p w14:paraId="0A7DBF54" w14:textId="77777777" w:rsidR="00905360" w:rsidRDefault="00905360" w:rsidP="00905360">
      <w:pPr>
        <w:pStyle w:val="ListParagraph"/>
        <w:numPr>
          <w:ilvl w:val="0"/>
          <w:numId w:val="39"/>
        </w:numPr>
        <w:tabs>
          <w:tab w:val="left" w:pos="540"/>
        </w:tabs>
        <w:spacing w:line="240" w:lineRule="auto"/>
        <w:rPr>
          <w:rFonts w:ascii="Segoe UI" w:eastAsia="Segoe UI" w:hAnsi="Segoe UI" w:cs="Segoe UI"/>
        </w:rPr>
      </w:pPr>
      <w:r w:rsidRPr="006E0791">
        <w:rPr>
          <w:rFonts w:ascii="Segoe UI" w:eastAsia="Segoe UI" w:hAnsi="Segoe UI" w:cs="Segoe UI"/>
        </w:rPr>
        <w:t xml:space="preserve">What is your current freezer capacity? Please provide dimensions. </w:t>
      </w:r>
    </w:p>
    <w:p w14:paraId="1521BCE1" w14:textId="77777777" w:rsidR="00905360" w:rsidRPr="006E0791" w:rsidRDefault="00905360" w:rsidP="00905360">
      <w:pPr>
        <w:pStyle w:val="ListParagraph"/>
        <w:numPr>
          <w:ilvl w:val="0"/>
          <w:numId w:val="46"/>
        </w:numPr>
        <w:spacing w:line="240" w:lineRule="auto"/>
        <w:rPr>
          <w:rFonts w:ascii="Segoe UI" w:eastAsia="Segoe UI" w:hAnsi="Segoe UI" w:cs="Segoe UI"/>
        </w:rPr>
      </w:pPr>
      <w:r>
        <w:rPr>
          <w:rFonts w:ascii="Segoe UI" w:eastAsia="Segoe UI" w:hAnsi="Segoe UI" w:cs="Segoe UI"/>
          <w:color w:val="215E99" w:themeColor="text2" w:themeTint="BF"/>
        </w:rPr>
        <w:t xml:space="preserve">The AOoA does not have any freezer storage.  </w:t>
      </w:r>
    </w:p>
    <w:p w14:paraId="4A57C287" w14:textId="77777777" w:rsidR="00905360" w:rsidRPr="006E0791" w:rsidRDefault="00905360" w:rsidP="00905360">
      <w:pPr>
        <w:pStyle w:val="ListParagraph"/>
        <w:spacing w:line="240" w:lineRule="auto"/>
        <w:rPr>
          <w:rFonts w:ascii="Segoe UI" w:eastAsia="Segoe UI" w:hAnsi="Segoe UI" w:cs="Segoe UI"/>
        </w:rPr>
      </w:pPr>
    </w:p>
    <w:p w14:paraId="23CE9720" w14:textId="77777777" w:rsidR="00905360" w:rsidRDefault="00905360" w:rsidP="00905360">
      <w:pPr>
        <w:pStyle w:val="ListParagraph"/>
        <w:numPr>
          <w:ilvl w:val="0"/>
          <w:numId w:val="39"/>
        </w:numPr>
        <w:spacing w:line="240" w:lineRule="auto"/>
        <w:rPr>
          <w:rFonts w:ascii="Segoe UI" w:eastAsia="Segoe UI" w:hAnsi="Segoe UI" w:cs="Segoe UI"/>
        </w:rPr>
      </w:pPr>
      <w:r w:rsidRPr="1FF6DC77">
        <w:rPr>
          <w:rFonts w:ascii="Segoe UI" w:eastAsia="Segoe UI" w:hAnsi="Segoe UI" w:cs="Segoe UI"/>
        </w:rPr>
        <w:t>Do you have a loading dock, or forklift, for deliveries? Please describe the delivery process.</w:t>
      </w:r>
      <w:r>
        <w:rPr>
          <w:rFonts w:ascii="Segoe UI" w:eastAsia="Segoe UI" w:hAnsi="Segoe UI" w:cs="Segoe UI"/>
        </w:rPr>
        <w:t xml:space="preserve"> </w:t>
      </w:r>
    </w:p>
    <w:p w14:paraId="4788778C" w14:textId="77777777" w:rsidR="00905360" w:rsidRPr="006E0791" w:rsidRDefault="00905360" w:rsidP="00905360">
      <w:pPr>
        <w:pStyle w:val="ListParagraph"/>
        <w:numPr>
          <w:ilvl w:val="0"/>
          <w:numId w:val="47"/>
        </w:numPr>
        <w:spacing w:line="240" w:lineRule="auto"/>
        <w:rPr>
          <w:rFonts w:ascii="Segoe UI" w:eastAsia="Segoe UI" w:hAnsi="Segoe UI" w:cs="Segoe UI"/>
          <w:color w:val="215E99" w:themeColor="text2" w:themeTint="BF"/>
        </w:rPr>
      </w:pPr>
      <w:r w:rsidRPr="006E0791">
        <w:rPr>
          <w:rFonts w:ascii="Segoe UI" w:eastAsia="Segoe UI" w:hAnsi="Segoe UI" w:cs="Segoe UI"/>
          <w:color w:val="215E99" w:themeColor="text2" w:themeTint="BF"/>
        </w:rPr>
        <w:t xml:space="preserve">We do not have a loading dock. Meals are delivered to individual meal sites or individual homes. </w:t>
      </w:r>
    </w:p>
    <w:p w14:paraId="595F164A" w14:textId="77777777" w:rsidR="00905360" w:rsidRPr="00191DE3" w:rsidRDefault="00905360" w:rsidP="00905360">
      <w:pPr>
        <w:pStyle w:val="ListParagraph"/>
        <w:rPr>
          <w:rFonts w:ascii="Segoe UI" w:eastAsia="Segoe UI" w:hAnsi="Segoe UI" w:cs="Segoe UI"/>
        </w:rPr>
      </w:pPr>
    </w:p>
    <w:p w14:paraId="2FE70C52" w14:textId="77777777" w:rsidR="00905360" w:rsidRDefault="00905360" w:rsidP="00905360">
      <w:pPr>
        <w:pStyle w:val="ListParagraph"/>
        <w:numPr>
          <w:ilvl w:val="0"/>
          <w:numId w:val="39"/>
        </w:numPr>
        <w:spacing w:line="240" w:lineRule="auto"/>
        <w:rPr>
          <w:rFonts w:ascii="Segoe UI" w:eastAsia="Segoe UI" w:hAnsi="Segoe UI" w:cs="Segoe UI"/>
        </w:rPr>
      </w:pPr>
      <w:r w:rsidRPr="1FF6DC77">
        <w:rPr>
          <w:rFonts w:ascii="Segoe UI" w:eastAsia="Segoe UI" w:hAnsi="Segoe UI" w:cs="Segoe UI"/>
        </w:rPr>
        <w:t>Will this contract include renewal options, or should vendors anticipate a new RFP release every two years? </w:t>
      </w:r>
    </w:p>
    <w:p w14:paraId="4DD06DCB" w14:textId="77777777" w:rsidR="00905360" w:rsidRPr="006E0791" w:rsidRDefault="00905360" w:rsidP="00905360">
      <w:pPr>
        <w:pStyle w:val="ListParagraph"/>
        <w:numPr>
          <w:ilvl w:val="0"/>
          <w:numId w:val="48"/>
        </w:numPr>
        <w:spacing w:line="240" w:lineRule="auto"/>
        <w:rPr>
          <w:rFonts w:ascii="Segoe UI" w:eastAsia="Segoe UI" w:hAnsi="Segoe UI" w:cs="Segoe UI"/>
          <w:color w:val="215E99" w:themeColor="text2" w:themeTint="BF"/>
        </w:rPr>
      </w:pPr>
      <w:r w:rsidRPr="006E0791">
        <w:rPr>
          <w:rFonts w:ascii="Segoe UI" w:eastAsia="Segoe UI" w:hAnsi="Segoe UI" w:cs="Segoe UI"/>
          <w:color w:val="215E99" w:themeColor="text2" w:themeTint="BF"/>
        </w:rPr>
        <w:t xml:space="preserve">As stated in the supporting documents, the </w:t>
      </w:r>
      <w:r>
        <w:rPr>
          <w:rFonts w:ascii="Segoe UI" w:eastAsia="Segoe UI" w:hAnsi="Segoe UI" w:cs="Segoe UI"/>
          <w:color w:val="215E99" w:themeColor="text2" w:themeTint="BF"/>
        </w:rPr>
        <w:t xml:space="preserve">OAA HCBS proposal </w:t>
      </w:r>
      <w:r w:rsidRPr="006E0791">
        <w:rPr>
          <w:rFonts w:ascii="Segoe UI" w:eastAsia="Segoe UI" w:hAnsi="Segoe UI" w:cs="Segoe UI"/>
          <w:color w:val="215E99" w:themeColor="text2" w:themeTint="BF"/>
        </w:rPr>
        <w:t>is for 2027-2030</w:t>
      </w:r>
      <w:r>
        <w:rPr>
          <w:rFonts w:ascii="Segoe UI" w:eastAsia="Segoe UI" w:hAnsi="Segoe UI" w:cs="Segoe UI"/>
          <w:color w:val="215E99" w:themeColor="text2" w:themeTint="BF"/>
        </w:rPr>
        <w:t xml:space="preserve"> with funding </w:t>
      </w:r>
      <w:r w:rsidRPr="006E0791">
        <w:rPr>
          <w:rFonts w:cstheme="minorHAnsi"/>
          <w:color w:val="215E99" w:themeColor="text2" w:themeTint="BF"/>
        </w:rPr>
        <w:t xml:space="preserve">renewed annually </w:t>
      </w:r>
      <w:proofErr w:type="gramStart"/>
      <w:r w:rsidRPr="006E0791">
        <w:rPr>
          <w:rFonts w:cstheme="minorHAnsi"/>
          <w:color w:val="215E99" w:themeColor="text2" w:themeTint="BF"/>
        </w:rPr>
        <w:t>thru</w:t>
      </w:r>
      <w:proofErr w:type="gramEnd"/>
      <w:r w:rsidRPr="006E0791">
        <w:rPr>
          <w:rFonts w:cstheme="minorHAnsi"/>
          <w:color w:val="215E99" w:themeColor="text2" w:themeTint="BF"/>
        </w:rPr>
        <w:t xml:space="preserve"> December 31, 2030.  </w:t>
      </w:r>
      <w:r>
        <w:rPr>
          <w:rFonts w:cstheme="minorHAnsi"/>
          <w:color w:val="215E99" w:themeColor="text2" w:themeTint="BF"/>
        </w:rPr>
        <w:t>The contract for the Transportation Lucas County Only, Home Delivered Meals Lucas County Only and Plan4Home/Caregiver Support applications are all for 2027-2030.</w:t>
      </w:r>
    </w:p>
    <w:p w14:paraId="5010F3F0" w14:textId="77777777" w:rsidR="00905360" w:rsidRPr="00321702" w:rsidRDefault="00905360" w:rsidP="00905360">
      <w:pPr>
        <w:pStyle w:val="ListParagraph"/>
        <w:rPr>
          <w:rFonts w:ascii="Segoe UI" w:eastAsia="Segoe UI" w:hAnsi="Segoe UI" w:cs="Segoe UI"/>
        </w:rPr>
      </w:pPr>
    </w:p>
    <w:p w14:paraId="356B2D4F" w14:textId="77777777" w:rsidR="00905360" w:rsidRDefault="00905360" w:rsidP="00905360">
      <w:pPr>
        <w:pStyle w:val="ListParagraph"/>
        <w:numPr>
          <w:ilvl w:val="0"/>
          <w:numId w:val="39"/>
        </w:numPr>
        <w:spacing w:line="240" w:lineRule="auto"/>
        <w:rPr>
          <w:rFonts w:ascii="Segoe UI" w:eastAsia="Segoe UI" w:hAnsi="Segoe UI" w:cs="Segoe UI"/>
        </w:rPr>
      </w:pPr>
      <w:r w:rsidRPr="1FF6DC77">
        <w:rPr>
          <w:rFonts w:ascii="Segoe UI" w:eastAsia="Segoe UI" w:hAnsi="Segoe UI" w:cs="Segoe UI"/>
        </w:rPr>
        <w:t>How many total meals were billed in 2025 for HDM? </w:t>
      </w:r>
    </w:p>
    <w:p w14:paraId="6BB5F17C" w14:textId="77777777" w:rsidR="00905360" w:rsidRPr="00483861" w:rsidRDefault="00905360" w:rsidP="00905360">
      <w:pPr>
        <w:pStyle w:val="ListParagraph"/>
        <w:numPr>
          <w:ilvl w:val="0"/>
          <w:numId w:val="29"/>
        </w:numPr>
        <w:rPr>
          <w:color w:val="215E99" w:themeColor="text2" w:themeTint="BF"/>
        </w:rPr>
      </w:pPr>
      <w:r w:rsidRPr="006E0791">
        <w:rPr>
          <w:rFonts w:ascii="Segoe UI" w:eastAsia="Segoe UI" w:hAnsi="Segoe UI" w:cs="Segoe UI"/>
          <w:color w:val="215E99" w:themeColor="text2" w:themeTint="BF"/>
        </w:rPr>
        <w:t xml:space="preserve">Please reference page 27 of the Overview and Instructions, which indicates on average 27,048 home delivered meals were provided each month in Lucas County.  </w:t>
      </w:r>
      <w:r w:rsidRPr="00483861">
        <w:rPr>
          <w:color w:val="215E99" w:themeColor="text2" w:themeTint="BF"/>
        </w:rPr>
        <w:t xml:space="preserve">Funding from the Older Americans Act only pays for about 30-40% of services provided outside of Lucas County.  In those counties, local levies provide funding for </w:t>
      </w:r>
      <w:proofErr w:type="gramStart"/>
      <w:r w:rsidRPr="00483861">
        <w:rPr>
          <w:color w:val="215E99" w:themeColor="text2" w:themeTint="BF"/>
        </w:rPr>
        <w:t>the majority of</w:t>
      </w:r>
      <w:proofErr w:type="gramEnd"/>
      <w:r w:rsidRPr="00483861">
        <w:rPr>
          <w:color w:val="215E99" w:themeColor="text2" w:themeTint="BF"/>
        </w:rPr>
        <w:t xml:space="preserve"> services provided.  The AOoA does not control these levies.  Therefore, we do not control the </w:t>
      </w:r>
      <w:proofErr w:type="gramStart"/>
      <w:r w:rsidRPr="00483861">
        <w:rPr>
          <w:color w:val="215E99" w:themeColor="text2" w:themeTint="BF"/>
        </w:rPr>
        <w:t>amount</w:t>
      </w:r>
      <w:proofErr w:type="gramEnd"/>
      <w:r w:rsidRPr="00483861">
        <w:rPr>
          <w:color w:val="215E99" w:themeColor="text2" w:themeTint="BF"/>
        </w:rPr>
        <w:t xml:space="preserve"> of </w:t>
      </w:r>
      <w:r>
        <w:rPr>
          <w:color w:val="215E99" w:themeColor="text2" w:themeTint="BF"/>
        </w:rPr>
        <w:t>meals provided</w:t>
      </w:r>
      <w:r w:rsidRPr="00483861">
        <w:rPr>
          <w:color w:val="215E99" w:themeColor="text2" w:themeTint="BF"/>
        </w:rPr>
        <w:t xml:space="preserve"> in those counties.</w:t>
      </w:r>
    </w:p>
    <w:p w14:paraId="3DFE0E52" w14:textId="77777777" w:rsidR="00905360" w:rsidRPr="006E0791" w:rsidRDefault="00905360" w:rsidP="00905360">
      <w:pPr>
        <w:pStyle w:val="ListParagraph"/>
        <w:ind w:left="1080"/>
        <w:rPr>
          <w:rFonts w:ascii="Segoe UI" w:eastAsia="Segoe UI" w:hAnsi="Segoe UI" w:cs="Segoe UI"/>
          <w:color w:val="215E99" w:themeColor="text2" w:themeTint="BF"/>
        </w:rPr>
      </w:pPr>
    </w:p>
    <w:p w14:paraId="56782565" w14:textId="77777777" w:rsidR="00905360" w:rsidRDefault="00905360" w:rsidP="00905360">
      <w:pPr>
        <w:pStyle w:val="ListParagraph"/>
        <w:numPr>
          <w:ilvl w:val="0"/>
          <w:numId w:val="39"/>
        </w:numPr>
        <w:spacing w:line="240" w:lineRule="auto"/>
        <w:rPr>
          <w:rFonts w:ascii="Segoe UI" w:eastAsia="Segoe UI" w:hAnsi="Segoe UI" w:cs="Segoe UI"/>
        </w:rPr>
      </w:pPr>
      <w:r w:rsidRPr="1FF6DC77">
        <w:rPr>
          <w:rFonts w:ascii="Segoe UI" w:eastAsia="Segoe UI" w:hAnsi="Segoe UI" w:cs="Segoe UI"/>
        </w:rPr>
        <w:t>What were the average weekly HDM counts in 2025? </w:t>
      </w:r>
    </w:p>
    <w:p w14:paraId="5A3F8A14" w14:textId="77777777" w:rsidR="00905360" w:rsidRPr="006E0791" w:rsidRDefault="00905360" w:rsidP="00905360">
      <w:pPr>
        <w:pStyle w:val="ListParagraph"/>
        <w:numPr>
          <w:ilvl w:val="0"/>
          <w:numId w:val="49"/>
        </w:numPr>
        <w:spacing w:line="278" w:lineRule="auto"/>
        <w:rPr>
          <w:rFonts w:ascii="Segoe UI" w:eastAsia="Segoe UI" w:hAnsi="Segoe UI" w:cs="Segoe UI"/>
          <w:color w:val="215E99" w:themeColor="text2" w:themeTint="BF"/>
        </w:rPr>
      </w:pPr>
      <w:r w:rsidRPr="006E0791">
        <w:rPr>
          <w:rFonts w:ascii="Segoe UI" w:eastAsia="Segoe UI" w:hAnsi="Segoe UI" w:cs="Segoe UI"/>
          <w:color w:val="215E99" w:themeColor="text2" w:themeTint="BF"/>
        </w:rPr>
        <w:t xml:space="preserve">Reporting and billing </w:t>
      </w:r>
      <w:r>
        <w:rPr>
          <w:rFonts w:ascii="Segoe UI" w:eastAsia="Segoe UI" w:hAnsi="Segoe UI" w:cs="Segoe UI"/>
          <w:color w:val="215E99" w:themeColor="text2" w:themeTint="BF"/>
        </w:rPr>
        <w:t xml:space="preserve">are </w:t>
      </w:r>
      <w:r w:rsidRPr="006E0791">
        <w:rPr>
          <w:rFonts w:ascii="Segoe UI" w:eastAsia="Segoe UI" w:hAnsi="Segoe UI" w:cs="Segoe UI"/>
          <w:color w:val="215E99" w:themeColor="text2" w:themeTint="BF"/>
        </w:rPr>
        <w:t>completed on a monthly and not a weekly basis.  Please reference the average monthly rate referenced on page 27 of the Overview and Instructions.</w:t>
      </w:r>
    </w:p>
    <w:p w14:paraId="52A0FACE" w14:textId="77777777" w:rsidR="00905360" w:rsidRPr="00F02456" w:rsidRDefault="00905360" w:rsidP="00905360">
      <w:pPr>
        <w:pStyle w:val="ListParagraph"/>
        <w:ind w:left="1080"/>
        <w:rPr>
          <w:rFonts w:ascii="Segoe UI" w:eastAsia="Segoe UI" w:hAnsi="Segoe UI" w:cs="Segoe UI"/>
        </w:rPr>
      </w:pPr>
    </w:p>
    <w:p w14:paraId="04C28D00" w14:textId="77777777" w:rsidR="00905360" w:rsidRDefault="00905360" w:rsidP="00905360">
      <w:pPr>
        <w:pStyle w:val="ListParagraph"/>
        <w:numPr>
          <w:ilvl w:val="0"/>
          <w:numId w:val="39"/>
        </w:numPr>
        <w:spacing w:line="240" w:lineRule="auto"/>
        <w:rPr>
          <w:rFonts w:ascii="Segoe UI" w:eastAsia="Segoe UI" w:hAnsi="Segoe UI" w:cs="Segoe UI"/>
        </w:rPr>
      </w:pPr>
      <w:r w:rsidRPr="1FF6DC77">
        <w:rPr>
          <w:rFonts w:ascii="Segoe UI" w:eastAsia="Segoe UI" w:hAnsi="Segoe UI" w:cs="Segoe UI"/>
        </w:rPr>
        <w:t>What was the average </w:t>
      </w:r>
      <w:proofErr w:type="gramStart"/>
      <w:r w:rsidRPr="1FF6DC77">
        <w:rPr>
          <w:rFonts w:ascii="Segoe UI" w:eastAsia="Segoe UI" w:hAnsi="Segoe UI" w:cs="Segoe UI"/>
        </w:rPr>
        <w:t>amount</w:t>
      </w:r>
      <w:proofErr w:type="gramEnd"/>
      <w:r w:rsidRPr="1FF6DC77">
        <w:rPr>
          <w:rFonts w:ascii="Segoe UI" w:eastAsia="Segoe UI" w:hAnsi="Segoe UI" w:cs="Segoe UI"/>
        </w:rPr>
        <w:t> of clients delivered weekly in 2025? </w:t>
      </w:r>
    </w:p>
    <w:p w14:paraId="36A7FC83" w14:textId="77777777" w:rsidR="00905360" w:rsidRPr="00C842F4" w:rsidRDefault="00905360" w:rsidP="00905360">
      <w:pPr>
        <w:pStyle w:val="ListParagraph"/>
        <w:numPr>
          <w:ilvl w:val="0"/>
          <w:numId w:val="50"/>
        </w:numPr>
        <w:spacing w:line="278" w:lineRule="auto"/>
        <w:rPr>
          <w:rFonts w:ascii="Segoe UI" w:eastAsia="Segoe UI" w:hAnsi="Segoe UI" w:cs="Segoe UI"/>
        </w:rPr>
      </w:pPr>
      <w:r>
        <w:rPr>
          <w:rFonts w:ascii="Segoe UI" w:eastAsia="Segoe UI" w:hAnsi="Segoe UI" w:cs="Segoe UI"/>
          <w:color w:val="215E99" w:themeColor="text2" w:themeTint="BF"/>
        </w:rPr>
        <w:t xml:space="preserve">Please reference page 27 of the Overview and Instructions for monthly average </w:t>
      </w:r>
      <w:proofErr w:type="gramStart"/>
      <w:r>
        <w:rPr>
          <w:rFonts w:ascii="Segoe UI" w:eastAsia="Segoe UI" w:hAnsi="Segoe UI" w:cs="Segoe UI"/>
          <w:color w:val="215E99" w:themeColor="text2" w:themeTint="BF"/>
        </w:rPr>
        <w:t>clients</w:t>
      </w:r>
      <w:proofErr w:type="gramEnd"/>
      <w:r>
        <w:rPr>
          <w:rFonts w:ascii="Segoe UI" w:eastAsia="Segoe UI" w:hAnsi="Segoe UI" w:cs="Segoe UI"/>
          <w:color w:val="215E99" w:themeColor="text2" w:themeTint="BF"/>
        </w:rPr>
        <w:t xml:space="preserve"> </w:t>
      </w:r>
      <w:proofErr w:type="gramStart"/>
      <w:r>
        <w:rPr>
          <w:rFonts w:ascii="Segoe UI" w:eastAsia="Segoe UI" w:hAnsi="Segoe UI" w:cs="Segoe UI"/>
          <w:color w:val="215E99" w:themeColor="text2" w:themeTint="BF"/>
        </w:rPr>
        <w:t>served</w:t>
      </w:r>
      <w:proofErr w:type="gramEnd"/>
      <w:r>
        <w:rPr>
          <w:rFonts w:ascii="Segoe UI" w:eastAsia="Segoe UI" w:hAnsi="Segoe UI" w:cs="Segoe UI"/>
          <w:color w:val="215E99" w:themeColor="text2" w:themeTint="BF"/>
        </w:rPr>
        <w:t xml:space="preserve"> home delivered meals in Lucas County.  Reporting and billing are completed on a monthly and not a weekly basis.</w:t>
      </w:r>
    </w:p>
    <w:p w14:paraId="658EFA50" w14:textId="77777777" w:rsidR="00905360" w:rsidRDefault="00905360" w:rsidP="00905360">
      <w:pPr>
        <w:pStyle w:val="ListParagraph"/>
        <w:numPr>
          <w:ilvl w:val="0"/>
          <w:numId w:val="39"/>
        </w:numPr>
        <w:spacing w:line="240" w:lineRule="auto"/>
        <w:rPr>
          <w:rFonts w:ascii="Segoe UI" w:eastAsia="Segoe UI" w:hAnsi="Segoe UI" w:cs="Segoe UI"/>
        </w:rPr>
      </w:pPr>
      <w:r w:rsidRPr="1FF6DC77">
        <w:rPr>
          <w:rFonts w:ascii="Segoe UI" w:eastAsia="Segoe UI" w:hAnsi="Segoe UI" w:cs="Segoe UI"/>
        </w:rPr>
        <w:t>Will volunteers deliver the HDMs?  Or do you need Global Meals to deliver the meals.  </w:t>
      </w:r>
    </w:p>
    <w:p w14:paraId="3925CF44" w14:textId="77777777" w:rsidR="00905360" w:rsidRPr="00E147EB" w:rsidRDefault="00905360" w:rsidP="00905360">
      <w:pPr>
        <w:pStyle w:val="ListParagraph"/>
        <w:numPr>
          <w:ilvl w:val="0"/>
          <w:numId w:val="51"/>
        </w:numPr>
        <w:spacing w:line="240" w:lineRule="auto"/>
        <w:rPr>
          <w:rFonts w:ascii="Segoe UI" w:eastAsia="Segoe UI" w:hAnsi="Segoe UI" w:cs="Segoe UI"/>
          <w:color w:val="215E99" w:themeColor="text2" w:themeTint="BF"/>
        </w:rPr>
      </w:pPr>
      <w:r w:rsidRPr="00E147EB">
        <w:rPr>
          <w:rFonts w:ascii="Segoe UI" w:eastAsia="Segoe UI" w:hAnsi="Segoe UI" w:cs="Segoe UI"/>
          <w:color w:val="215E99" w:themeColor="text2" w:themeTint="BF"/>
        </w:rPr>
        <w:t xml:space="preserve">Providers are responsible for delivering home delivered meals. Providers may utilize volunteers to help with delivery.  However, the provider is responsible for recruiting, managing and ensuring all volunteers meet service requirements. </w:t>
      </w:r>
    </w:p>
    <w:p w14:paraId="7A8D355F" w14:textId="77777777" w:rsidR="00905360" w:rsidRPr="00C842F4" w:rsidRDefault="00905360" w:rsidP="00905360">
      <w:pPr>
        <w:pStyle w:val="ListParagraph"/>
        <w:rPr>
          <w:rFonts w:ascii="Segoe UI" w:eastAsia="Segoe UI" w:hAnsi="Segoe UI" w:cs="Segoe UI"/>
        </w:rPr>
      </w:pPr>
    </w:p>
    <w:p w14:paraId="16457D44" w14:textId="77777777" w:rsidR="00905360" w:rsidRDefault="00905360" w:rsidP="00905360">
      <w:pPr>
        <w:pStyle w:val="ListParagraph"/>
        <w:numPr>
          <w:ilvl w:val="0"/>
          <w:numId w:val="39"/>
        </w:numPr>
        <w:spacing w:line="240" w:lineRule="auto"/>
        <w:rPr>
          <w:rFonts w:ascii="Segoe UI" w:eastAsia="Segoe UI" w:hAnsi="Segoe UI" w:cs="Segoe UI"/>
        </w:rPr>
      </w:pPr>
      <w:r w:rsidRPr="1FF6DC77">
        <w:rPr>
          <w:rFonts w:ascii="Segoe UI" w:eastAsia="Segoe UI" w:hAnsi="Segoe UI" w:cs="Segoe UI"/>
        </w:rPr>
        <w:t>In 2025, what was the average monthly meal count for each of the 18 centers for congregate meals? </w:t>
      </w:r>
    </w:p>
    <w:p w14:paraId="02E36802" w14:textId="77777777" w:rsidR="00905360" w:rsidRDefault="00905360" w:rsidP="00905360">
      <w:pPr>
        <w:pStyle w:val="ListParagraph"/>
        <w:numPr>
          <w:ilvl w:val="0"/>
          <w:numId w:val="52"/>
        </w:numPr>
        <w:spacing w:line="240" w:lineRule="auto"/>
        <w:rPr>
          <w:rFonts w:ascii="Segoe UI" w:eastAsia="Segoe UI" w:hAnsi="Segoe UI" w:cs="Segoe UI"/>
        </w:rPr>
      </w:pPr>
      <w:r>
        <w:rPr>
          <w:rFonts w:ascii="Segoe UI" w:eastAsia="Segoe UI" w:hAnsi="Segoe UI" w:cs="Segoe UI"/>
          <w:color w:val="215E99" w:themeColor="text2" w:themeTint="BF"/>
        </w:rPr>
        <w:lastRenderedPageBreak/>
        <w:t>Please reference page 26 of the Overview and Instructions for average meal rates for Lucas County dining sites.</w:t>
      </w:r>
    </w:p>
    <w:p w14:paraId="6919C115" w14:textId="77777777" w:rsidR="00905360" w:rsidRPr="00C842F4" w:rsidRDefault="00905360" w:rsidP="00905360">
      <w:pPr>
        <w:pStyle w:val="ListParagraph"/>
        <w:rPr>
          <w:rFonts w:ascii="Segoe UI" w:eastAsia="Segoe UI" w:hAnsi="Segoe UI" w:cs="Segoe UI"/>
        </w:rPr>
      </w:pPr>
    </w:p>
    <w:p w14:paraId="1C1130DA" w14:textId="77777777" w:rsidR="00905360" w:rsidRDefault="00905360" w:rsidP="00905360">
      <w:pPr>
        <w:pStyle w:val="ListParagraph"/>
        <w:numPr>
          <w:ilvl w:val="0"/>
          <w:numId w:val="39"/>
        </w:numPr>
        <w:spacing w:line="240" w:lineRule="auto"/>
        <w:rPr>
          <w:rFonts w:ascii="Segoe UI" w:eastAsia="Segoe UI" w:hAnsi="Segoe UI" w:cs="Segoe UI"/>
        </w:rPr>
      </w:pPr>
      <w:r w:rsidRPr="1FF6DC77">
        <w:rPr>
          <w:rFonts w:ascii="Segoe UI" w:eastAsia="Segoe UI" w:hAnsi="Segoe UI" w:cs="Segoe UI"/>
        </w:rPr>
        <w:t>Do you need a 4- or 6-week menu cycle submitted in the proposal? </w:t>
      </w:r>
    </w:p>
    <w:p w14:paraId="5A8BED17" w14:textId="77777777" w:rsidR="00905360" w:rsidRPr="00E147EB" w:rsidRDefault="00905360" w:rsidP="00905360">
      <w:pPr>
        <w:pStyle w:val="ListParagraph"/>
        <w:numPr>
          <w:ilvl w:val="0"/>
          <w:numId w:val="53"/>
        </w:numPr>
        <w:spacing w:line="240" w:lineRule="auto"/>
        <w:rPr>
          <w:rFonts w:ascii="Segoe UI" w:eastAsia="Segoe UI" w:hAnsi="Segoe UI" w:cs="Segoe UI"/>
          <w:color w:val="215E99" w:themeColor="text2" w:themeTint="BF"/>
        </w:rPr>
      </w:pPr>
      <w:r w:rsidRPr="00E147EB">
        <w:rPr>
          <w:rFonts w:ascii="Segoe UI" w:eastAsia="Segoe UI" w:hAnsi="Segoe UI" w:cs="Segoe UI"/>
          <w:color w:val="215E99" w:themeColor="text2" w:themeTint="BF"/>
        </w:rPr>
        <w:t>Either is acceptable.  However, a 6-week menu cycle is recommended for variety.</w:t>
      </w:r>
    </w:p>
    <w:p w14:paraId="451379A6" w14:textId="77777777" w:rsidR="00905360" w:rsidRPr="00B8006A" w:rsidRDefault="00905360" w:rsidP="00905360">
      <w:pPr>
        <w:pStyle w:val="ListParagraph"/>
        <w:rPr>
          <w:rFonts w:ascii="Segoe UI" w:eastAsia="Segoe UI" w:hAnsi="Segoe UI" w:cs="Segoe UI"/>
        </w:rPr>
      </w:pPr>
    </w:p>
    <w:p w14:paraId="172EBD88" w14:textId="77777777" w:rsidR="00905360" w:rsidRDefault="00905360" w:rsidP="00905360">
      <w:pPr>
        <w:pStyle w:val="ListParagraph"/>
        <w:numPr>
          <w:ilvl w:val="0"/>
          <w:numId w:val="39"/>
        </w:numPr>
        <w:spacing w:line="240" w:lineRule="auto"/>
        <w:rPr>
          <w:rFonts w:ascii="Segoe UI" w:eastAsia="Segoe UI" w:hAnsi="Segoe UI" w:cs="Segoe UI"/>
        </w:rPr>
      </w:pPr>
      <w:r w:rsidRPr="1FF6DC77">
        <w:rPr>
          <w:rFonts w:ascii="Segoe UI" w:eastAsia="Segoe UI" w:hAnsi="Segoe UI" w:cs="Segoe UI"/>
        </w:rPr>
        <w:t>Are you able to provide all zip codes for clients receiving HDM?</w:t>
      </w:r>
      <w:r>
        <w:rPr>
          <w:rFonts w:ascii="Segoe UI" w:eastAsia="Segoe UI" w:hAnsi="Segoe UI" w:cs="Segoe UI"/>
        </w:rPr>
        <w:t xml:space="preserve"> </w:t>
      </w:r>
    </w:p>
    <w:p w14:paraId="7729D748" w14:textId="77777777" w:rsidR="00905360" w:rsidRPr="00E147EB" w:rsidRDefault="00905360" w:rsidP="00905360">
      <w:pPr>
        <w:pStyle w:val="ListParagraph"/>
        <w:numPr>
          <w:ilvl w:val="0"/>
          <w:numId w:val="54"/>
        </w:numPr>
        <w:spacing w:line="240" w:lineRule="auto"/>
        <w:rPr>
          <w:rFonts w:ascii="Segoe UI" w:eastAsia="Segoe UI" w:hAnsi="Segoe UI" w:cs="Segoe UI"/>
          <w:color w:val="215E99" w:themeColor="text2" w:themeTint="BF"/>
        </w:rPr>
      </w:pPr>
      <w:r>
        <w:rPr>
          <w:rFonts w:ascii="Segoe UI" w:eastAsia="Segoe UI" w:hAnsi="Segoe UI" w:cs="Segoe UI"/>
          <w:color w:val="215E99" w:themeColor="text2" w:themeTint="BF"/>
        </w:rPr>
        <w:t>No, our service area includes Defiance, Erie, Fulton, Henry, Lucas, Ottawa, Paulding, Sandusky, Williams and Wood Counties.  Zip codes for Lucas County Home Delivered Meals recipients are listed on page 27 of the Overview and Instructions.</w:t>
      </w:r>
    </w:p>
    <w:p w14:paraId="1B34CCEF" w14:textId="77777777" w:rsidR="00905360" w:rsidRPr="00B8006A" w:rsidRDefault="00905360" w:rsidP="00905360">
      <w:pPr>
        <w:pStyle w:val="ListParagraph"/>
        <w:rPr>
          <w:rFonts w:ascii="Segoe UI" w:eastAsia="Segoe UI" w:hAnsi="Segoe UI" w:cs="Segoe UI"/>
        </w:rPr>
      </w:pPr>
    </w:p>
    <w:p w14:paraId="53A6B654" w14:textId="77777777" w:rsidR="00905360" w:rsidRDefault="00905360" w:rsidP="00905360">
      <w:pPr>
        <w:pStyle w:val="ListParagraph"/>
        <w:numPr>
          <w:ilvl w:val="0"/>
          <w:numId w:val="39"/>
        </w:numPr>
        <w:spacing w:line="240" w:lineRule="auto"/>
        <w:rPr>
          <w:rFonts w:ascii="Segoe UI" w:eastAsia="Segoe UI" w:hAnsi="Segoe UI" w:cs="Segoe UI"/>
        </w:rPr>
      </w:pPr>
      <w:r w:rsidRPr="1FF6DC77">
        <w:rPr>
          <w:rFonts w:ascii="Segoe UI" w:eastAsia="Segoe UI" w:hAnsi="Segoe UI" w:cs="Segoe UI"/>
        </w:rPr>
        <w:t>If State funds are delayed beyond 60 days, how will vendor payment be handled? </w:t>
      </w:r>
    </w:p>
    <w:p w14:paraId="3DAD95A0" w14:textId="77777777" w:rsidR="00905360" w:rsidRDefault="00905360" w:rsidP="00905360">
      <w:pPr>
        <w:pStyle w:val="ListParagraph"/>
        <w:numPr>
          <w:ilvl w:val="0"/>
          <w:numId w:val="55"/>
        </w:numPr>
        <w:spacing w:line="278" w:lineRule="auto"/>
        <w:rPr>
          <w:rFonts w:ascii="Segoe UI" w:eastAsia="Segoe UI" w:hAnsi="Segoe UI" w:cs="Segoe UI"/>
        </w:rPr>
      </w:pPr>
      <w:r>
        <w:rPr>
          <w:rFonts w:ascii="Segoe UI" w:eastAsia="Segoe UI" w:hAnsi="Segoe UI" w:cs="Segoe UI"/>
          <w:color w:val="215E99" w:themeColor="text2" w:themeTint="BF"/>
        </w:rPr>
        <w:t xml:space="preserve">Policy 402 Conditions of Participation included in the Overview and Instructions stipulates </w:t>
      </w:r>
      <w:r w:rsidRPr="00F07A99">
        <w:rPr>
          <w:rFonts w:cstheme="minorHAnsi"/>
          <w:i/>
          <w:iCs/>
          <w:color w:val="215E99" w:themeColor="text2" w:themeTint="BF"/>
        </w:rPr>
        <w:t>this Contract and the Agency's obligations contained herein are contingent upon the availability of funding (which could be reduced by the regulatory and/or administrative entity without notice or cause), the Agency may modify this Contract at any time such condition occurs</w:t>
      </w:r>
      <w:r>
        <w:rPr>
          <w:rFonts w:ascii="Segoe UI" w:eastAsia="Segoe UI" w:hAnsi="Segoe UI" w:cs="Segoe UI"/>
        </w:rPr>
        <w:t xml:space="preserve">. </w:t>
      </w:r>
      <w:r>
        <w:rPr>
          <w:rFonts w:ascii="Segoe UI" w:eastAsia="Segoe UI" w:hAnsi="Segoe UI" w:cs="Segoe UI"/>
          <w:color w:val="215E99" w:themeColor="text2" w:themeTint="BF"/>
        </w:rPr>
        <w:t>If funding is delayed to the AOoA, then reimbursement may also be delayed to the provider.</w:t>
      </w:r>
    </w:p>
    <w:p w14:paraId="4751DE30" w14:textId="77777777" w:rsidR="00905360" w:rsidRDefault="00905360" w:rsidP="00905360">
      <w:pPr>
        <w:pStyle w:val="ListParagraph"/>
        <w:ind w:left="1080"/>
        <w:rPr>
          <w:rFonts w:ascii="Segoe UI" w:eastAsia="Segoe UI" w:hAnsi="Segoe UI" w:cs="Segoe UI"/>
        </w:rPr>
      </w:pPr>
    </w:p>
    <w:p w14:paraId="2AC5A0B8" w14:textId="77777777" w:rsidR="00905360" w:rsidRDefault="00905360" w:rsidP="00905360">
      <w:pPr>
        <w:pStyle w:val="ListParagraph"/>
        <w:numPr>
          <w:ilvl w:val="0"/>
          <w:numId w:val="39"/>
        </w:numPr>
        <w:spacing w:line="240" w:lineRule="auto"/>
        <w:rPr>
          <w:rFonts w:ascii="Segoe UI" w:eastAsia="Segoe UI" w:hAnsi="Segoe UI" w:cs="Segoe UI"/>
        </w:rPr>
      </w:pPr>
      <w:r w:rsidRPr="1FF6DC77">
        <w:rPr>
          <w:rFonts w:ascii="Segoe UI" w:eastAsia="Segoe UI" w:hAnsi="Segoe UI" w:cs="Segoe UI"/>
        </w:rPr>
        <w:t>Do you have preferred suppliers for shelf-stable meals, or may vendors select their own provided all nutritional requirements are met? </w:t>
      </w:r>
    </w:p>
    <w:p w14:paraId="7AB37F0B" w14:textId="77777777" w:rsidR="00905360" w:rsidRDefault="00905360" w:rsidP="00905360">
      <w:pPr>
        <w:pStyle w:val="ListParagraph"/>
        <w:numPr>
          <w:ilvl w:val="0"/>
          <w:numId w:val="56"/>
        </w:numPr>
        <w:spacing w:line="240" w:lineRule="auto"/>
        <w:rPr>
          <w:rFonts w:ascii="Segoe UI" w:eastAsia="Segoe UI" w:hAnsi="Segoe UI" w:cs="Segoe UI"/>
        </w:rPr>
      </w:pPr>
      <w:r w:rsidRPr="00F07A99">
        <w:rPr>
          <w:rFonts w:ascii="Segoe UI" w:eastAsia="Segoe UI" w:hAnsi="Segoe UI" w:cs="Segoe UI"/>
          <w:color w:val="215E99" w:themeColor="text2" w:themeTint="BF"/>
        </w:rPr>
        <w:t xml:space="preserve">No, the AOoA does not have a preferred supplier for shelf-stable meals. Vendors may select their own provided all requirements are met. </w:t>
      </w:r>
    </w:p>
    <w:p w14:paraId="531DBEC8" w14:textId="77777777" w:rsidR="00905360" w:rsidRPr="00656B51" w:rsidRDefault="00905360" w:rsidP="00905360">
      <w:pPr>
        <w:pStyle w:val="ListParagraph"/>
        <w:rPr>
          <w:rFonts w:ascii="Segoe UI" w:eastAsia="Segoe UI" w:hAnsi="Segoe UI" w:cs="Segoe UI"/>
        </w:rPr>
      </w:pPr>
    </w:p>
    <w:p w14:paraId="372CED2D" w14:textId="77777777" w:rsidR="00905360" w:rsidRDefault="00905360" w:rsidP="00905360">
      <w:pPr>
        <w:pStyle w:val="ListParagraph"/>
        <w:numPr>
          <w:ilvl w:val="0"/>
          <w:numId w:val="39"/>
        </w:numPr>
        <w:spacing w:line="240" w:lineRule="auto"/>
        <w:rPr>
          <w:rFonts w:ascii="Segoe UI" w:eastAsia="Segoe UI" w:hAnsi="Segoe UI" w:cs="Segoe UI"/>
        </w:rPr>
      </w:pPr>
      <w:r w:rsidRPr="1FF6DC77">
        <w:rPr>
          <w:rFonts w:ascii="Segoe UI" w:eastAsia="Segoe UI" w:hAnsi="Segoe UI" w:cs="Segoe UI"/>
        </w:rPr>
        <w:t>Do you provide a template for the required emergency procedures, or are vendors expected to develop these independently? </w:t>
      </w:r>
    </w:p>
    <w:p w14:paraId="5193AE1D" w14:textId="77777777" w:rsidR="00905360" w:rsidRPr="00F07A99" w:rsidRDefault="00905360" w:rsidP="00905360">
      <w:pPr>
        <w:pStyle w:val="ListParagraph"/>
        <w:numPr>
          <w:ilvl w:val="0"/>
          <w:numId w:val="57"/>
        </w:numPr>
        <w:spacing w:line="240" w:lineRule="auto"/>
        <w:rPr>
          <w:rFonts w:ascii="Segoe UI" w:eastAsia="Segoe UI" w:hAnsi="Segoe UI" w:cs="Segoe UI"/>
          <w:color w:val="215E99" w:themeColor="text2" w:themeTint="BF"/>
        </w:rPr>
      </w:pPr>
      <w:r w:rsidRPr="00F07A99">
        <w:rPr>
          <w:rFonts w:ascii="Segoe UI" w:eastAsia="Segoe UI" w:hAnsi="Segoe UI" w:cs="Segoe UI"/>
          <w:color w:val="215E99" w:themeColor="text2" w:themeTint="BF"/>
        </w:rPr>
        <w:t xml:space="preserve">Providers are responsible for developing these plans. </w:t>
      </w:r>
    </w:p>
    <w:p w14:paraId="298B756A" w14:textId="77777777" w:rsidR="00905360" w:rsidRPr="00086082" w:rsidRDefault="00905360" w:rsidP="00905360">
      <w:pPr>
        <w:pStyle w:val="ListParagraph"/>
        <w:rPr>
          <w:rFonts w:ascii="Segoe UI" w:eastAsia="Segoe UI" w:hAnsi="Segoe UI" w:cs="Segoe UI"/>
        </w:rPr>
      </w:pPr>
    </w:p>
    <w:p w14:paraId="6624260B" w14:textId="77777777" w:rsidR="00905360" w:rsidRDefault="00905360" w:rsidP="00905360">
      <w:pPr>
        <w:pStyle w:val="ListParagraph"/>
        <w:numPr>
          <w:ilvl w:val="0"/>
          <w:numId w:val="39"/>
        </w:numPr>
        <w:spacing w:line="240" w:lineRule="auto"/>
        <w:rPr>
          <w:rFonts w:ascii="Segoe UI" w:eastAsia="Segoe UI" w:hAnsi="Segoe UI" w:cs="Segoe UI"/>
        </w:rPr>
      </w:pPr>
      <w:r w:rsidRPr="1FF6DC77">
        <w:rPr>
          <w:rFonts w:ascii="Segoe UI" w:eastAsia="Segoe UI" w:hAnsi="Segoe UI" w:cs="Segoe UI"/>
        </w:rPr>
        <w:t>What is your current price for HDM?  </w:t>
      </w:r>
      <w:proofErr w:type="gramStart"/>
      <w:r w:rsidRPr="1FF6DC77">
        <w:rPr>
          <w:rFonts w:ascii="Segoe UI" w:eastAsia="Segoe UI" w:hAnsi="Segoe UI" w:cs="Segoe UI"/>
        </w:rPr>
        <w:t>Congregate</w:t>
      </w:r>
      <w:proofErr w:type="gramEnd"/>
      <w:r w:rsidRPr="1FF6DC77">
        <w:rPr>
          <w:rFonts w:ascii="Segoe UI" w:eastAsia="Segoe UI" w:hAnsi="Segoe UI" w:cs="Segoe UI"/>
        </w:rPr>
        <w:t>?  Shelf Stable? </w:t>
      </w:r>
    </w:p>
    <w:p w14:paraId="13D4593A" w14:textId="77777777" w:rsidR="00905360" w:rsidRPr="005300D6" w:rsidRDefault="00905360" w:rsidP="00905360">
      <w:pPr>
        <w:pStyle w:val="ListParagraph"/>
        <w:numPr>
          <w:ilvl w:val="0"/>
          <w:numId w:val="58"/>
        </w:numPr>
        <w:spacing w:line="240" w:lineRule="auto"/>
        <w:rPr>
          <w:rFonts w:ascii="Segoe UI" w:eastAsia="Segoe UI" w:hAnsi="Segoe UI" w:cs="Segoe UI"/>
        </w:rPr>
      </w:pPr>
      <w:r w:rsidRPr="005300D6">
        <w:rPr>
          <w:rFonts w:ascii="Segoe UI" w:eastAsia="Segoe UI" w:hAnsi="Segoe UI" w:cs="Segoe UI"/>
          <w:color w:val="215E99" w:themeColor="text2" w:themeTint="BF"/>
        </w:rPr>
        <w:t>The OAA HCBS Proposal includes a budget spreadsheet to develop a unit rate for all meal types.  As indicated in the Overview and Instructions, the unit rate for home delivered meals in Lucas County only will be $9.00 per meal.</w:t>
      </w:r>
      <w:r w:rsidRPr="005300D6">
        <w:rPr>
          <w:rFonts w:ascii="Segoe UI" w:eastAsia="Segoe UI" w:hAnsi="Segoe UI" w:cs="Segoe UI"/>
          <w:color w:val="215E99" w:themeColor="text2" w:themeTint="BF"/>
        </w:rPr>
        <w:br/>
      </w:r>
    </w:p>
    <w:p w14:paraId="546FC8C1" w14:textId="77777777" w:rsidR="00905360" w:rsidRDefault="00905360" w:rsidP="00905360">
      <w:pPr>
        <w:pStyle w:val="ListParagraph"/>
        <w:numPr>
          <w:ilvl w:val="0"/>
          <w:numId w:val="39"/>
        </w:numPr>
        <w:spacing w:line="240" w:lineRule="auto"/>
        <w:rPr>
          <w:rFonts w:ascii="Segoe UI" w:eastAsia="Segoe UI" w:hAnsi="Segoe UI" w:cs="Segoe UI"/>
        </w:rPr>
      </w:pPr>
      <w:r w:rsidRPr="1FF6DC77">
        <w:rPr>
          <w:rFonts w:ascii="Segoe UI" w:eastAsia="Segoe UI" w:hAnsi="Segoe UI" w:cs="Segoe UI"/>
        </w:rPr>
        <w:t>Do you have the capacity to heat meals at your site for congregate dining?</w:t>
      </w:r>
      <w:r>
        <w:rPr>
          <w:rFonts w:ascii="Segoe UI" w:eastAsia="Segoe UI" w:hAnsi="Segoe UI" w:cs="Segoe UI"/>
        </w:rPr>
        <w:t xml:space="preserve"> </w:t>
      </w:r>
    </w:p>
    <w:p w14:paraId="5F758747" w14:textId="77777777" w:rsidR="00905360" w:rsidRDefault="00905360" w:rsidP="00905360">
      <w:pPr>
        <w:pStyle w:val="ListParagraph"/>
        <w:spacing w:line="240" w:lineRule="auto"/>
        <w:rPr>
          <w:rFonts w:ascii="Segoe UI" w:eastAsia="Segoe UI" w:hAnsi="Segoe UI" w:cs="Segoe UI"/>
        </w:rPr>
      </w:pPr>
      <w:r>
        <w:rPr>
          <w:rFonts w:ascii="Segoe UI" w:eastAsia="Segoe UI" w:hAnsi="Segoe UI" w:cs="Segoe UI"/>
        </w:rPr>
        <w:t xml:space="preserve">A. </w:t>
      </w:r>
      <w:r>
        <w:rPr>
          <w:rFonts w:ascii="Segoe UI" w:eastAsia="Segoe UI" w:hAnsi="Segoe UI" w:cs="Segoe UI"/>
          <w:color w:val="215E99" w:themeColor="text2" w:themeTint="BF"/>
        </w:rPr>
        <w:t xml:space="preserve">Not all congregate sites have the capacity to heat meals.  A hot meal delivery that maintains safe temperatures is preferred. </w:t>
      </w:r>
      <w:r w:rsidRPr="005300D6">
        <w:rPr>
          <w:rFonts w:ascii="Segoe UI" w:eastAsia="Segoe UI" w:hAnsi="Segoe UI" w:cs="Segoe UI"/>
          <w:color w:val="215E99" w:themeColor="text2" w:themeTint="BF"/>
        </w:rPr>
        <w:t xml:space="preserve"> </w:t>
      </w:r>
      <w:r>
        <w:br/>
      </w:r>
    </w:p>
    <w:p w14:paraId="3AD38F9A" w14:textId="77777777" w:rsidR="00905360" w:rsidRDefault="00905360" w:rsidP="00905360">
      <w:pPr>
        <w:pStyle w:val="ListParagraph"/>
        <w:numPr>
          <w:ilvl w:val="0"/>
          <w:numId w:val="39"/>
        </w:numPr>
        <w:spacing w:line="240" w:lineRule="auto"/>
        <w:rPr>
          <w:rFonts w:ascii="Segoe UI" w:eastAsia="Segoe UI" w:hAnsi="Segoe UI" w:cs="Segoe UI"/>
        </w:rPr>
      </w:pPr>
      <w:r w:rsidRPr="1FF6DC77">
        <w:rPr>
          <w:rFonts w:ascii="Segoe UI" w:eastAsia="Segoe UI" w:hAnsi="Segoe UI" w:cs="Segoe UI"/>
        </w:rPr>
        <w:t xml:space="preserve">Who does the nutrition education for home-delivered meal clients mentioned on </w:t>
      </w:r>
      <w:proofErr w:type="spellStart"/>
      <w:r w:rsidRPr="1FF6DC77">
        <w:rPr>
          <w:rFonts w:ascii="Segoe UI" w:eastAsia="Segoe UI" w:hAnsi="Segoe UI" w:cs="Segoe UI"/>
        </w:rPr>
        <w:t>pg</w:t>
      </w:r>
      <w:proofErr w:type="spellEnd"/>
      <w:r w:rsidRPr="1FF6DC77">
        <w:rPr>
          <w:rFonts w:ascii="Segoe UI" w:eastAsia="Segoe UI" w:hAnsi="Segoe UI" w:cs="Segoe UI"/>
        </w:rPr>
        <w:t xml:space="preserve"> 84? Is it the home-delivered meal provider or the nutrition counselor?</w:t>
      </w:r>
    </w:p>
    <w:p w14:paraId="6138D47F" w14:textId="77777777" w:rsidR="00905360" w:rsidRPr="00AC315F" w:rsidRDefault="00905360" w:rsidP="00905360">
      <w:pPr>
        <w:pStyle w:val="ListParagraph"/>
        <w:numPr>
          <w:ilvl w:val="0"/>
          <w:numId w:val="60"/>
        </w:numPr>
        <w:spacing w:line="240" w:lineRule="auto"/>
        <w:rPr>
          <w:rFonts w:ascii="Segoe UI" w:eastAsia="Segoe UI" w:hAnsi="Segoe UI" w:cs="Segoe UI"/>
          <w:color w:val="215E99" w:themeColor="text2" w:themeTint="BF"/>
        </w:rPr>
      </w:pPr>
      <w:r w:rsidRPr="00AC315F">
        <w:rPr>
          <w:color w:val="215E99" w:themeColor="text2" w:themeTint="BF"/>
        </w:rPr>
        <w:t xml:space="preserve">Nutrition Education is a stand-alone service which any provider may include in their OAA HCBS Proposal.  Page 84 of the Overview and Instructions cites OAC 173-4-08 Older Americans Act Nutrition Program:  Nutrition Education.  This provides more guidance about the service to include approved content, format, evaluation </w:t>
      </w:r>
      <w:r w:rsidRPr="00AC315F">
        <w:rPr>
          <w:color w:val="215E99" w:themeColor="text2" w:themeTint="BF"/>
        </w:rPr>
        <w:lastRenderedPageBreak/>
        <w:t xml:space="preserve">methodology, frequency and special requirements.  </w:t>
      </w:r>
      <w:hyperlink r:id="rId14" w:history="1">
        <w:r w:rsidRPr="00AC315F">
          <w:rPr>
            <w:rStyle w:val="Hyperlink"/>
            <w:color w:val="215E99" w:themeColor="text2" w:themeTint="BF"/>
          </w:rPr>
          <w:t>Rule 173-4-08 - Ohio Administrative Code | Ohio Laws</w:t>
        </w:r>
      </w:hyperlink>
      <w:r w:rsidRPr="00AC315F">
        <w:rPr>
          <w:color w:val="215E99" w:themeColor="text2" w:themeTint="BF"/>
        </w:rPr>
        <w:br/>
      </w:r>
    </w:p>
    <w:p w14:paraId="5C3CE5E6" w14:textId="77777777" w:rsidR="00905360" w:rsidRDefault="00905360" w:rsidP="00905360">
      <w:pPr>
        <w:pStyle w:val="ListParagraph"/>
        <w:numPr>
          <w:ilvl w:val="0"/>
          <w:numId w:val="39"/>
        </w:numPr>
        <w:spacing w:line="240" w:lineRule="auto"/>
        <w:rPr>
          <w:rFonts w:ascii="Segoe UI" w:eastAsia="Segoe UI" w:hAnsi="Segoe UI" w:cs="Segoe UI"/>
        </w:rPr>
      </w:pPr>
      <w:r w:rsidRPr="1FF6DC77">
        <w:rPr>
          <w:rFonts w:ascii="Segoe UI" w:eastAsia="Segoe UI" w:hAnsi="Segoe UI" w:cs="Segoe UI"/>
        </w:rPr>
        <w:t>Who is doing the home-delivered meal assessments? Is the home delivered meal provider responsible for that?</w:t>
      </w:r>
      <w:r>
        <w:rPr>
          <w:rFonts w:ascii="Segoe UI" w:eastAsia="Segoe UI" w:hAnsi="Segoe UI" w:cs="Segoe UI"/>
        </w:rPr>
        <w:t xml:space="preserve"> </w:t>
      </w:r>
    </w:p>
    <w:p w14:paraId="274C99A0" w14:textId="77777777" w:rsidR="00905360" w:rsidRPr="00AC315F" w:rsidRDefault="00905360" w:rsidP="00905360">
      <w:pPr>
        <w:pStyle w:val="ListParagraph"/>
        <w:numPr>
          <w:ilvl w:val="0"/>
          <w:numId w:val="61"/>
        </w:numPr>
        <w:spacing w:line="278" w:lineRule="auto"/>
        <w:rPr>
          <w:rFonts w:cstheme="minorHAnsi"/>
          <w:i/>
          <w:iCs/>
          <w:color w:val="215E99" w:themeColor="text2" w:themeTint="BF"/>
        </w:rPr>
      </w:pPr>
      <w:r w:rsidRPr="00AC315F">
        <w:rPr>
          <w:rFonts w:ascii="Segoe UI" w:eastAsia="Segoe UI" w:hAnsi="Segoe UI" w:cs="Segoe UI"/>
          <w:color w:val="215E99" w:themeColor="text2" w:themeTint="BF"/>
        </w:rPr>
        <w:t>Please refer to page 24 of the Overview and Instructions.  Lucas County</w:t>
      </w:r>
      <w:proofErr w:type="gramStart"/>
      <w:r w:rsidRPr="00AC315F">
        <w:rPr>
          <w:rFonts w:ascii="Segoe UI" w:eastAsia="Segoe UI" w:hAnsi="Segoe UI" w:cs="Segoe UI"/>
          <w:color w:val="215E99" w:themeColor="text2" w:themeTint="BF"/>
        </w:rPr>
        <w:t xml:space="preserve">:  </w:t>
      </w:r>
      <w:r w:rsidRPr="00AC315F">
        <w:rPr>
          <w:rFonts w:cstheme="minorHAnsi"/>
          <w:i/>
          <w:iCs/>
          <w:color w:val="215E99" w:themeColor="text2" w:themeTint="BF"/>
        </w:rPr>
        <w:t>Because</w:t>
      </w:r>
      <w:proofErr w:type="gramEnd"/>
      <w:r w:rsidRPr="00AC315F">
        <w:rPr>
          <w:rFonts w:cstheme="minorHAnsi"/>
          <w:i/>
          <w:iCs/>
          <w:color w:val="215E99" w:themeColor="text2" w:themeTint="BF"/>
        </w:rPr>
        <w:t xml:space="preserve"> the AOoA is transitioning to a referral-based home-delivered meals program in Lucas County, the AOoA is seeking a provider for home delivered meal assessments that is not providing home delivered meals in Lucas County.  The home delivered meals assessment will not be included in the unit rate for home delivered meals. The AOoA will provide the home delivered meal provider the names of individuals to assess for eligibility. </w:t>
      </w:r>
      <w:r w:rsidRPr="00AC315F">
        <w:rPr>
          <w:rFonts w:cstheme="minorHAnsi"/>
          <w:color w:val="215E99" w:themeColor="text2" w:themeTint="BF"/>
        </w:rPr>
        <w:t xml:space="preserve">Defiance, Erie, Fulton, Henry, Ottawa, Paulding, Sandusky, Williams and Wood Counties: </w:t>
      </w:r>
      <w:r>
        <w:rPr>
          <w:rFonts w:cstheme="minorHAnsi"/>
          <w:color w:val="215E99" w:themeColor="text2" w:themeTint="BF"/>
        </w:rPr>
        <w:t xml:space="preserve">Historically, the home delivered meal provider also completed the home-delivered meal assessment.  Home delivered meal assessment is a separate service in the OAA HCBS proposal, so we do not know who will be responsible for the service.  </w:t>
      </w:r>
      <w:r w:rsidRPr="00AC315F">
        <w:rPr>
          <w:rFonts w:cstheme="minorHAnsi"/>
          <w:i/>
          <w:iCs/>
          <w:color w:val="215E99" w:themeColor="text2" w:themeTint="BF"/>
        </w:rPr>
        <w:t>Providers may include this service in their home delivered meal unit rate or contract for a separate service, home</w:t>
      </w:r>
      <w:r>
        <w:rPr>
          <w:rFonts w:cstheme="minorHAnsi"/>
          <w:i/>
          <w:iCs/>
          <w:color w:val="215E99" w:themeColor="text2" w:themeTint="BF"/>
        </w:rPr>
        <w:t>-</w:t>
      </w:r>
      <w:r w:rsidRPr="00AC315F">
        <w:rPr>
          <w:rFonts w:cstheme="minorHAnsi"/>
          <w:i/>
          <w:iCs/>
          <w:color w:val="215E99" w:themeColor="text2" w:themeTint="BF"/>
        </w:rPr>
        <w:t xml:space="preserve">delivered meal assessment. </w:t>
      </w:r>
    </w:p>
    <w:p w14:paraId="40AE4646" w14:textId="77777777" w:rsidR="00905360" w:rsidRPr="00AC315F" w:rsidRDefault="00905360" w:rsidP="00905360">
      <w:pPr>
        <w:pStyle w:val="ListParagraph"/>
        <w:spacing w:line="240" w:lineRule="auto"/>
        <w:ind w:left="1080"/>
        <w:rPr>
          <w:rFonts w:ascii="Segoe UI" w:eastAsia="Segoe UI" w:hAnsi="Segoe UI" w:cs="Segoe UI"/>
          <w:color w:val="215E99" w:themeColor="text2" w:themeTint="BF"/>
        </w:rPr>
      </w:pPr>
      <w:r w:rsidRPr="00AC315F">
        <w:rPr>
          <w:color w:val="215E99" w:themeColor="text2" w:themeTint="BF"/>
        </w:rPr>
        <w:br/>
      </w:r>
    </w:p>
    <w:p w14:paraId="78CAB947" w14:textId="77777777" w:rsidR="00905360" w:rsidRDefault="00905360" w:rsidP="00905360">
      <w:pPr>
        <w:pStyle w:val="ListParagraph"/>
        <w:numPr>
          <w:ilvl w:val="0"/>
          <w:numId w:val="39"/>
        </w:numPr>
        <w:spacing w:line="240" w:lineRule="auto"/>
      </w:pPr>
      <w:r>
        <w:t xml:space="preserve">Will renewal options include a price escalation clause or a Consumer Price Index (CPI) adjustment to account for fluctuating food and fuel costs? </w:t>
      </w:r>
    </w:p>
    <w:p w14:paraId="1432CE6F" w14:textId="77777777" w:rsidR="00905360" w:rsidRDefault="00905360" w:rsidP="00905360">
      <w:pPr>
        <w:pStyle w:val="ListParagraph"/>
        <w:numPr>
          <w:ilvl w:val="0"/>
          <w:numId w:val="59"/>
        </w:numPr>
        <w:spacing w:line="278" w:lineRule="auto"/>
        <w:rPr>
          <w:rFonts w:cstheme="minorHAnsi"/>
          <w:i/>
          <w:iCs/>
          <w:color w:val="215E99" w:themeColor="text2" w:themeTint="BF"/>
        </w:rPr>
      </w:pPr>
      <w:r w:rsidRPr="0052761B">
        <w:rPr>
          <w:color w:val="215E99" w:themeColor="text2" w:themeTint="BF"/>
        </w:rPr>
        <w:t xml:space="preserve">No, the renewal options do not include CPI adjustments.  As indicated on page </w:t>
      </w:r>
      <w:r w:rsidRPr="0052761B">
        <w:rPr>
          <w:color w:val="215E99" w:themeColor="text2" w:themeTint="BF"/>
        </w:rPr>
        <w:br/>
        <w:t xml:space="preserve">7 of the Overview and Instructions, </w:t>
      </w:r>
      <w:proofErr w:type="gramStart"/>
      <w:r w:rsidRPr="0052761B">
        <w:rPr>
          <w:rFonts w:cstheme="minorHAnsi"/>
          <w:i/>
          <w:iCs/>
          <w:color w:val="215E99" w:themeColor="text2" w:themeTint="BF"/>
        </w:rPr>
        <w:t>The</w:t>
      </w:r>
      <w:proofErr w:type="gramEnd"/>
      <w:r w:rsidRPr="0052761B">
        <w:rPr>
          <w:rFonts w:cstheme="minorHAnsi"/>
          <w:i/>
          <w:iCs/>
          <w:color w:val="215E99" w:themeColor="text2" w:themeTint="BF"/>
        </w:rPr>
        <w:t xml:space="preserve"> funds allocated each contract year are subject to limitations of funds allocated to the AOoA from federal, state and local sources.  Situations for which the AOoA may increase the unit rate include, documented increased costs associated with implementing more person-centered services, improved quality and incentive payments for performance outcomes, documented increase in service costs (i.e. increase in gasoline cost).  </w:t>
      </w:r>
    </w:p>
    <w:p w14:paraId="7C2632B1" w14:textId="77777777" w:rsidR="00905360" w:rsidRPr="0052761B" w:rsidRDefault="00905360" w:rsidP="00905360">
      <w:pPr>
        <w:pStyle w:val="ListParagraph"/>
        <w:rPr>
          <w:rFonts w:cstheme="minorHAnsi"/>
          <w:i/>
          <w:iCs/>
          <w:color w:val="215E99" w:themeColor="text2" w:themeTint="BF"/>
        </w:rPr>
      </w:pPr>
    </w:p>
    <w:p w14:paraId="60739D3F" w14:textId="77777777" w:rsidR="00905360" w:rsidRPr="00AC315F" w:rsidRDefault="00905360" w:rsidP="00905360">
      <w:pPr>
        <w:pStyle w:val="ListParagraph"/>
        <w:numPr>
          <w:ilvl w:val="0"/>
          <w:numId w:val="39"/>
        </w:numPr>
        <w:spacing w:before="240" w:after="240" w:line="278" w:lineRule="auto"/>
        <w:rPr>
          <w:color w:val="215E99" w:themeColor="text2" w:themeTint="BF"/>
        </w:rPr>
      </w:pPr>
      <w:r>
        <w:t xml:space="preserve">Can the Agency confirm that the service area defined by the zip codes on page 27 is limited strictly to Lucas County? </w:t>
      </w:r>
    </w:p>
    <w:p w14:paraId="4E6457EC" w14:textId="77777777" w:rsidR="00905360" w:rsidRPr="00AC315F" w:rsidRDefault="00905360" w:rsidP="00905360">
      <w:pPr>
        <w:pStyle w:val="ListParagraph"/>
        <w:numPr>
          <w:ilvl w:val="0"/>
          <w:numId w:val="62"/>
        </w:numPr>
        <w:spacing w:before="240" w:after="240" w:line="278" w:lineRule="auto"/>
        <w:rPr>
          <w:color w:val="215E99" w:themeColor="text2" w:themeTint="BF"/>
        </w:rPr>
      </w:pPr>
      <w:r w:rsidRPr="00AC315F">
        <w:rPr>
          <w:color w:val="215E99" w:themeColor="text2" w:themeTint="BF"/>
        </w:rPr>
        <w:t xml:space="preserve">Yes, that is correct. </w:t>
      </w:r>
    </w:p>
    <w:p w14:paraId="7A8DD0FF" w14:textId="77777777" w:rsidR="00905360" w:rsidRDefault="00905360" w:rsidP="00905360">
      <w:pPr>
        <w:pStyle w:val="ListParagraph"/>
        <w:spacing w:before="240" w:after="240"/>
        <w:ind w:left="1080"/>
      </w:pPr>
    </w:p>
    <w:p w14:paraId="2D97C5CB" w14:textId="77777777" w:rsidR="00905360" w:rsidRPr="005300D6" w:rsidRDefault="00905360" w:rsidP="00905360">
      <w:pPr>
        <w:pStyle w:val="ListParagraph"/>
        <w:numPr>
          <w:ilvl w:val="0"/>
          <w:numId w:val="39"/>
        </w:numPr>
        <w:spacing w:before="240" w:after="240" w:line="278" w:lineRule="auto"/>
        <w:rPr>
          <w:color w:val="215E99" w:themeColor="text2" w:themeTint="BF"/>
        </w:rPr>
      </w:pPr>
      <w:r>
        <w:t>What percentage of these meals are HOT?</w:t>
      </w:r>
      <w:r>
        <w:br/>
        <w:t xml:space="preserve">A.  </w:t>
      </w:r>
      <w:r w:rsidRPr="005300D6">
        <w:rPr>
          <w:color w:val="215E99" w:themeColor="text2" w:themeTint="BF"/>
        </w:rPr>
        <w:t>This varies a</w:t>
      </w:r>
      <w:r>
        <w:rPr>
          <w:color w:val="215E99" w:themeColor="text2" w:themeTint="BF"/>
        </w:rPr>
        <w:t>nd</w:t>
      </w:r>
      <w:r w:rsidRPr="005300D6">
        <w:rPr>
          <w:color w:val="215E99" w:themeColor="text2" w:themeTint="BF"/>
        </w:rPr>
        <w:t xml:space="preserve"> is dependent upon consumer choice rather than provider preference.</w:t>
      </w:r>
    </w:p>
    <w:p w14:paraId="328BB9AA" w14:textId="77777777" w:rsidR="00905360" w:rsidRDefault="00905360" w:rsidP="00905360">
      <w:pPr>
        <w:pStyle w:val="ListParagraph"/>
      </w:pPr>
    </w:p>
    <w:p w14:paraId="355E7C16" w14:textId="77777777" w:rsidR="00905360" w:rsidRPr="005300D6" w:rsidRDefault="00905360" w:rsidP="00905360">
      <w:pPr>
        <w:pStyle w:val="ListParagraph"/>
        <w:numPr>
          <w:ilvl w:val="0"/>
          <w:numId w:val="39"/>
        </w:numPr>
        <w:spacing w:before="240" w:after="240" w:line="278" w:lineRule="auto"/>
        <w:rPr>
          <w:color w:val="215E99" w:themeColor="text2" w:themeTint="BF"/>
        </w:rPr>
      </w:pPr>
      <w:r>
        <w:t>What percentage of these meals are FROZEN?</w:t>
      </w:r>
      <w:r>
        <w:br/>
      </w:r>
      <w:r>
        <w:rPr>
          <w:color w:val="215E99" w:themeColor="text2" w:themeTint="BF"/>
        </w:rPr>
        <w:t xml:space="preserve">A. </w:t>
      </w:r>
      <w:r w:rsidRPr="005300D6">
        <w:rPr>
          <w:color w:val="215E99" w:themeColor="text2" w:themeTint="BF"/>
        </w:rPr>
        <w:t>This varies a</w:t>
      </w:r>
      <w:r>
        <w:rPr>
          <w:color w:val="215E99" w:themeColor="text2" w:themeTint="BF"/>
        </w:rPr>
        <w:t>nd</w:t>
      </w:r>
      <w:r w:rsidRPr="005300D6">
        <w:rPr>
          <w:color w:val="215E99" w:themeColor="text2" w:themeTint="BF"/>
        </w:rPr>
        <w:t xml:space="preserve"> is dependent upon consumer choice rather than provider preference.</w:t>
      </w:r>
    </w:p>
    <w:p w14:paraId="04CB1CDB" w14:textId="77777777" w:rsidR="00905360" w:rsidRDefault="00905360" w:rsidP="00905360">
      <w:pPr>
        <w:pStyle w:val="ListParagraph"/>
        <w:spacing w:before="240" w:after="240"/>
      </w:pPr>
    </w:p>
    <w:p w14:paraId="7F1EAE42" w14:textId="77777777" w:rsidR="00905360" w:rsidRPr="005300D6" w:rsidRDefault="00905360" w:rsidP="00905360">
      <w:pPr>
        <w:pStyle w:val="ListParagraph"/>
        <w:numPr>
          <w:ilvl w:val="0"/>
          <w:numId w:val="39"/>
        </w:numPr>
        <w:spacing w:before="240" w:after="240" w:line="278" w:lineRule="auto"/>
        <w:rPr>
          <w:color w:val="215E99" w:themeColor="text2" w:themeTint="BF"/>
        </w:rPr>
      </w:pPr>
      <w:r>
        <w:t>What percentage of these meals are Shelf Stable?</w:t>
      </w:r>
      <w:r>
        <w:br/>
      </w:r>
      <w:r>
        <w:rPr>
          <w:color w:val="215E99" w:themeColor="text2" w:themeTint="BF"/>
        </w:rPr>
        <w:t xml:space="preserve">A. This varies and is dependent upon consumer choice.  The AOoA requests at least 2 </w:t>
      </w:r>
      <w:r>
        <w:rPr>
          <w:color w:val="215E99" w:themeColor="text2" w:themeTint="BF"/>
        </w:rPr>
        <w:lastRenderedPageBreak/>
        <w:t xml:space="preserve">shelf stable meals are delivered in advance of inclement weather.  These are typically provided in October </w:t>
      </w:r>
      <w:proofErr w:type="gramStart"/>
      <w:r>
        <w:rPr>
          <w:color w:val="215E99" w:themeColor="text2" w:themeTint="BF"/>
        </w:rPr>
        <w:t>to</w:t>
      </w:r>
      <w:proofErr w:type="gramEnd"/>
      <w:r>
        <w:rPr>
          <w:color w:val="215E99" w:themeColor="text2" w:themeTint="BF"/>
        </w:rPr>
        <w:t xml:space="preserve"> participants that receive a daily hot meal and replaced as needed.  </w:t>
      </w:r>
    </w:p>
    <w:p w14:paraId="57101CBA" w14:textId="77777777" w:rsidR="00905360" w:rsidRDefault="00905360" w:rsidP="00905360">
      <w:pPr>
        <w:pStyle w:val="ListParagraph"/>
        <w:spacing w:before="240" w:after="240"/>
      </w:pPr>
    </w:p>
    <w:p w14:paraId="202AE410" w14:textId="77777777" w:rsidR="00905360" w:rsidRDefault="00905360" w:rsidP="00905360">
      <w:pPr>
        <w:pStyle w:val="ListParagraph"/>
        <w:numPr>
          <w:ilvl w:val="0"/>
          <w:numId w:val="39"/>
        </w:numPr>
        <w:spacing w:before="240" w:after="240" w:line="278" w:lineRule="auto"/>
      </w:pPr>
      <w:r>
        <w:t xml:space="preserve">What percentage of these meals are covered by the Lucas </w:t>
      </w:r>
      <w:proofErr w:type="spellStart"/>
      <w:r>
        <w:t>Cty</w:t>
      </w:r>
      <w:proofErr w:type="spellEnd"/>
      <w:r>
        <w:t xml:space="preserve"> Levy funding?</w:t>
      </w:r>
    </w:p>
    <w:p w14:paraId="287C0125" w14:textId="77777777" w:rsidR="00905360" w:rsidRPr="00AC315F" w:rsidRDefault="00905360" w:rsidP="00905360">
      <w:pPr>
        <w:pStyle w:val="ListParagraph"/>
        <w:numPr>
          <w:ilvl w:val="0"/>
          <w:numId w:val="63"/>
        </w:numPr>
        <w:spacing w:before="240" w:after="240" w:line="278" w:lineRule="auto"/>
        <w:rPr>
          <w:color w:val="215E99" w:themeColor="text2" w:themeTint="BF"/>
        </w:rPr>
      </w:pPr>
      <w:r w:rsidRPr="00AC315F">
        <w:rPr>
          <w:rFonts w:eastAsia="Times New Roman"/>
          <w:color w:val="215E99" w:themeColor="text2" w:themeTint="BF"/>
        </w:rPr>
        <w:t xml:space="preserve">This has not been determined for 2027, yet.  The Lucas County Senior Services levy is not the only funding for meals.  Lucas County Senior </w:t>
      </w:r>
      <w:proofErr w:type="gramStart"/>
      <w:r w:rsidRPr="00AC315F">
        <w:rPr>
          <w:rFonts w:eastAsia="Times New Roman"/>
          <w:color w:val="215E99" w:themeColor="text2" w:themeTint="BF"/>
        </w:rPr>
        <w:t>Services</w:t>
      </w:r>
      <w:proofErr w:type="gramEnd"/>
      <w:r w:rsidRPr="00AC315F">
        <w:rPr>
          <w:rFonts w:eastAsia="Times New Roman"/>
          <w:color w:val="215E99" w:themeColor="text2" w:themeTint="BF"/>
        </w:rPr>
        <w:t xml:space="preserve"> levy may pay for many different programs and services.  As indicated in the Overview and Instructions timeline, the AOoA Board of Directors will approve applicants in May 2026 and funding allocations for 2027 in October 2026. </w:t>
      </w:r>
    </w:p>
    <w:p w14:paraId="3844BF49" w14:textId="77777777" w:rsidR="00905360" w:rsidRDefault="00905360" w:rsidP="00905360">
      <w:pPr>
        <w:pStyle w:val="ListParagraph"/>
        <w:spacing w:before="240" w:after="240"/>
        <w:ind w:left="1080"/>
      </w:pPr>
    </w:p>
    <w:p w14:paraId="406B1B00" w14:textId="77777777" w:rsidR="00905360" w:rsidRDefault="00905360" w:rsidP="00905360">
      <w:pPr>
        <w:pStyle w:val="ListParagraph"/>
        <w:numPr>
          <w:ilvl w:val="0"/>
          <w:numId w:val="39"/>
        </w:numPr>
        <w:spacing w:before="240" w:after="240" w:line="278" w:lineRule="auto"/>
      </w:pPr>
      <w:r>
        <w:t xml:space="preserve">Who is responsible for the "last mile" delivery to the client's </w:t>
      </w:r>
      <w:proofErr w:type="gramStart"/>
      <w:r>
        <w:t>doorstep—</w:t>
      </w:r>
      <w:proofErr w:type="gramEnd"/>
      <w:r>
        <w:t xml:space="preserve">the Agency’s internal staff or the contracted vendor? </w:t>
      </w:r>
    </w:p>
    <w:p w14:paraId="67F7B3C7" w14:textId="77777777" w:rsidR="00905360" w:rsidRPr="00AC315F" w:rsidRDefault="00905360" w:rsidP="00905360">
      <w:pPr>
        <w:pStyle w:val="ListParagraph"/>
        <w:numPr>
          <w:ilvl w:val="0"/>
          <w:numId w:val="64"/>
        </w:numPr>
        <w:spacing w:before="240" w:after="240" w:line="278" w:lineRule="auto"/>
      </w:pPr>
      <w:r w:rsidRPr="00AC315F">
        <w:rPr>
          <w:color w:val="215E99" w:themeColor="text2" w:themeTint="BF"/>
        </w:rPr>
        <w:t xml:space="preserve">The </w:t>
      </w:r>
      <w:r>
        <w:rPr>
          <w:color w:val="215E99" w:themeColor="text2" w:themeTint="BF"/>
        </w:rPr>
        <w:t>meal provider</w:t>
      </w:r>
      <w:r>
        <w:t xml:space="preserve"> </w:t>
      </w:r>
      <w:r w:rsidRPr="00AC315F">
        <w:rPr>
          <w:color w:val="215E99" w:themeColor="text2" w:themeTint="BF"/>
        </w:rPr>
        <w:t>is responsible for the entire delivery.</w:t>
      </w:r>
      <w:r w:rsidRPr="00AC315F">
        <w:rPr>
          <w:color w:val="215E99" w:themeColor="text2" w:themeTint="BF"/>
        </w:rPr>
        <w:br/>
      </w:r>
    </w:p>
    <w:p w14:paraId="24B8BEE6" w14:textId="77777777" w:rsidR="00905360" w:rsidRDefault="00905360" w:rsidP="00905360">
      <w:pPr>
        <w:pStyle w:val="ListParagraph"/>
        <w:numPr>
          <w:ilvl w:val="0"/>
          <w:numId w:val="39"/>
        </w:numPr>
        <w:spacing w:before="240" w:after="240" w:line="278" w:lineRule="auto"/>
      </w:pPr>
      <w:r>
        <w:t xml:space="preserve"> What is the </w:t>
      </w:r>
      <w:proofErr w:type="gramStart"/>
      <w:r>
        <w:t>standard meal</w:t>
      </w:r>
      <w:proofErr w:type="gramEnd"/>
      <w:r>
        <w:t xml:space="preserve"> pack size (e.g., 5-pack, 7-pack)? Additionally, what is the required delivery frequency, and would the Agency be open to a bi-weekly (once every two weeks) delivery schedule? </w:t>
      </w:r>
    </w:p>
    <w:p w14:paraId="5E803CB8" w14:textId="77777777" w:rsidR="00905360" w:rsidRPr="00AC315F" w:rsidRDefault="00905360" w:rsidP="00905360">
      <w:pPr>
        <w:pStyle w:val="ListParagraph"/>
        <w:numPr>
          <w:ilvl w:val="0"/>
          <w:numId w:val="65"/>
        </w:numPr>
        <w:spacing w:before="240" w:after="240" w:line="278" w:lineRule="auto"/>
      </w:pPr>
      <w:r w:rsidRPr="00AC315F">
        <w:rPr>
          <w:color w:val="215E99" w:themeColor="text2" w:themeTint="BF"/>
        </w:rPr>
        <w:t>All meal deliveries are based upon client choice and assessed need.  The preference is a daily meal delivery Monday through Friday</w:t>
      </w:r>
      <w:r>
        <w:rPr>
          <w:color w:val="215E99" w:themeColor="text2" w:themeTint="BF"/>
        </w:rPr>
        <w:t>, especially since this provides a daily check on the individual</w:t>
      </w:r>
      <w:r w:rsidRPr="00AC315F">
        <w:rPr>
          <w:color w:val="215E99" w:themeColor="text2" w:themeTint="BF"/>
        </w:rPr>
        <w:t>.  Frozen meals are typically a 5-pack</w:t>
      </w:r>
      <w:r>
        <w:rPr>
          <w:color w:val="215E99" w:themeColor="text2" w:themeTint="BF"/>
        </w:rPr>
        <w:t xml:space="preserve"> delivered once per week</w:t>
      </w:r>
      <w:r w:rsidRPr="00AC315F">
        <w:rPr>
          <w:color w:val="215E99" w:themeColor="text2" w:themeTint="BF"/>
        </w:rPr>
        <w:t xml:space="preserve">. </w:t>
      </w:r>
    </w:p>
    <w:p w14:paraId="78A63D66" w14:textId="77777777" w:rsidR="00905360" w:rsidRDefault="00905360" w:rsidP="00905360">
      <w:pPr>
        <w:pStyle w:val="ListParagraph"/>
        <w:spacing w:before="240" w:after="240"/>
        <w:ind w:left="1080"/>
      </w:pPr>
    </w:p>
    <w:p w14:paraId="1C8E7B1A" w14:textId="77777777" w:rsidR="00905360" w:rsidRPr="00AC315F" w:rsidRDefault="00905360" w:rsidP="00905360">
      <w:pPr>
        <w:pStyle w:val="ListParagraph"/>
        <w:numPr>
          <w:ilvl w:val="0"/>
          <w:numId w:val="39"/>
        </w:numPr>
        <w:spacing w:line="278" w:lineRule="auto"/>
        <w:rPr>
          <w:rFonts w:cstheme="minorHAnsi"/>
        </w:rPr>
      </w:pPr>
      <w:r>
        <w:t>Regarding the $546,000 in Lucas County Levy funding: Is this an annual allocation, or is it the total aggregate funding for the duration of the three-year contract?</w:t>
      </w:r>
      <w:r w:rsidRPr="001F0D4D">
        <w:rPr>
          <w:color w:val="EE0000"/>
        </w:rPr>
        <w:t xml:space="preserve"> </w:t>
      </w:r>
    </w:p>
    <w:p w14:paraId="21155077" w14:textId="77777777" w:rsidR="00905360" w:rsidRPr="00AC315F" w:rsidRDefault="00905360" w:rsidP="00905360">
      <w:pPr>
        <w:pStyle w:val="ListParagraph"/>
        <w:rPr>
          <w:rFonts w:cstheme="minorHAnsi"/>
        </w:rPr>
      </w:pPr>
      <w:r w:rsidRPr="00AC315F">
        <w:rPr>
          <w:color w:val="215E99" w:themeColor="text2" w:themeTint="BF"/>
        </w:rPr>
        <w:t>A.</w:t>
      </w:r>
      <w:r>
        <w:rPr>
          <w:color w:val="EE0000"/>
        </w:rPr>
        <w:t xml:space="preserve"> </w:t>
      </w:r>
      <w:r w:rsidRPr="00AC315F">
        <w:rPr>
          <w:color w:val="215E99" w:themeColor="text2" w:themeTint="BF"/>
        </w:rPr>
        <w:t>Below is the text from page 6.  The amount of funds you referenced was for estimated NSIP.  These are annual estimates based upon 2025 allocations and include all types of services.</w:t>
      </w:r>
    </w:p>
    <w:p w14:paraId="49BCABAA" w14:textId="77777777" w:rsidR="00905360" w:rsidRPr="00AC315F" w:rsidRDefault="00905360" w:rsidP="00905360">
      <w:pPr>
        <w:pStyle w:val="ListParagraph"/>
        <w:spacing w:before="240" w:after="240" w:line="278" w:lineRule="auto"/>
        <w:rPr>
          <w:color w:val="215E99" w:themeColor="text2" w:themeTint="BF"/>
        </w:rPr>
      </w:pPr>
      <w:r w:rsidRPr="00AC315F">
        <w:rPr>
          <w:i/>
          <w:iCs/>
          <w:color w:val="215E99" w:themeColor="text2" w:themeTint="BF"/>
        </w:rPr>
        <w:t>These dollar amounts are estimates only and based on 2025 funding allocations. Actual funding will vary from these estimates and awards will be based on actual amounts as awarded by funding agencies and approved by the AOoA Board of Directors.  Estimated funds for provider services include about $1 million in Title IIIB OAA, $565,000 in Title IIIC1 OAA, $1 million in Title IIIC2 OAA, $96,000 in Title IIID OAA, $16,000 in Title VII Elder Abuse OAA, $17,000 Title VII Ombudsman, $346,000 in Senior Community Services, $4.9 million in Lucas County Senior Services Levy, and $546,000 in Nutrition Services Incentive funds (NSIP).  AOoA reserves the right to accept or reject any proposal submitted.</w:t>
      </w:r>
    </w:p>
    <w:p w14:paraId="661268B4" w14:textId="77777777" w:rsidR="00905360" w:rsidRDefault="00905360" w:rsidP="00905360">
      <w:pPr>
        <w:pStyle w:val="ListParagraph"/>
        <w:spacing w:before="240" w:after="240"/>
      </w:pPr>
    </w:p>
    <w:p w14:paraId="6B47BA53" w14:textId="77777777" w:rsidR="00905360" w:rsidRPr="00AC315F" w:rsidRDefault="00905360" w:rsidP="00905360">
      <w:pPr>
        <w:pStyle w:val="ListParagraph"/>
        <w:numPr>
          <w:ilvl w:val="0"/>
          <w:numId w:val="39"/>
        </w:numPr>
        <w:spacing w:before="240" w:after="240" w:line="278" w:lineRule="auto"/>
      </w:pPr>
      <w:r>
        <w:t xml:space="preserve">Are meals to be delivered in bulk to Senior Center drop-sites, or is individual door-to-door delivery required for all participants? </w:t>
      </w:r>
    </w:p>
    <w:p w14:paraId="39C3E270" w14:textId="77777777" w:rsidR="00905360" w:rsidRPr="00AC315F" w:rsidRDefault="00905360" w:rsidP="00905360">
      <w:pPr>
        <w:pStyle w:val="ListParagraph"/>
        <w:numPr>
          <w:ilvl w:val="0"/>
          <w:numId w:val="66"/>
        </w:numPr>
        <w:tabs>
          <w:tab w:val="left" w:pos="810"/>
        </w:tabs>
        <w:spacing w:before="240" w:after="240" w:line="278" w:lineRule="auto"/>
        <w:ind w:left="1080"/>
      </w:pPr>
      <w:r>
        <w:rPr>
          <w:color w:val="215E99" w:themeColor="text2" w:themeTint="BF"/>
        </w:rPr>
        <w:t xml:space="preserve">The nutrition provider is responsible for ensuring the proper temperature is maintained throughout preparation, delivery, holding at the dining site and service to the participant.  Some dining sites have steam tables, refrigerators, dish machines, reusable plates and silverware, others may have none or some of these </w:t>
      </w:r>
      <w:r>
        <w:rPr>
          <w:color w:val="215E99" w:themeColor="text2" w:themeTint="BF"/>
        </w:rPr>
        <w:lastRenderedPageBreak/>
        <w:t xml:space="preserve">items.  Sometimes, the meal provider delivers food in bulk in </w:t>
      </w:r>
      <w:proofErr w:type="spellStart"/>
      <w:r>
        <w:rPr>
          <w:color w:val="215E99" w:themeColor="text2" w:themeTint="BF"/>
        </w:rPr>
        <w:t>Cambros</w:t>
      </w:r>
      <w:proofErr w:type="spellEnd"/>
      <w:r>
        <w:rPr>
          <w:color w:val="215E99" w:themeColor="text2" w:themeTint="BF"/>
        </w:rPr>
        <w:t xml:space="preserve"> and coolers with ice packs.  Sometimes, the meal provider also provides plates, trays, silverware for meal service and returns to the central kitchen for cleaning.  Sometimes, the meal provider serves the meal in individually packed, disposable containers.</w:t>
      </w:r>
    </w:p>
    <w:p w14:paraId="2AD2A5E6" w14:textId="77777777" w:rsidR="00905360" w:rsidRDefault="00905360" w:rsidP="00905360">
      <w:pPr>
        <w:pStyle w:val="ListParagraph"/>
        <w:tabs>
          <w:tab w:val="left" w:pos="810"/>
        </w:tabs>
        <w:spacing w:before="240" w:after="240"/>
        <w:ind w:left="1080"/>
      </w:pPr>
    </w:p>
    <w:p w14:paraId="6E333FC5" w14:textId="77777777" w:rsidR="00905360" w:rsidRDefault="00905360" w:rsidP="00905360">
      <w:pPr>
        <w:pStyle w:val="ListParagraph"/>
        <w:numPr>
          <w:ilvl w:val="0"/>
          <w:numId w:val="39"/>
        </w:numPr>
        <w:spacing w:before="240" w:after="240" w:line="278" w:lineRule="auto"/>
      </w:pPr>
      <w:r>
        <w:t xml:space="preserve">Does the Agency accept partial bids? Specifically, can a vendor submit a proposal exclusively for Frozen and Shelf-Stable meals, or is a Hot meal component mandatory? </w:t>
      </w:r>
    </w:p>
    <w:p w14:paraId="3F2252E4" w14:textId="77777777" w:rsidR="00905360" w:rsidRPr="006E0791" w:rsidRDefault="00905360" w:rsidP="00905360">
      <w:pPr>
        <w:pStyle w:val="ListParagraph"/>
        <w:numPr>
          <w:ilvl w:val="0"/>
          <w:numId w:val="67"/>
        </w:numPr>
        <w:spacing w:line="278" w:lineRule="auto"/>
        <w:ind w:hanging="270"/>
        <w:rPr>
          <w:rFonts w:cstheme="minorHAnsi"/>
          <w:i/>
          <w:iCs/>
          <w:color w:val="215E99" w:themeColor="text2" w:themeTint="BF"/>
        </w:rPr>
      </w:pPr>
      <w:r w:rsidRPr="006E0791">
        <w:rPr>
          <w:rFonts w:ascii="Segoe UI" w:hAnsi="Segoe UI" w:cs="Segoe UI"/>
          <w:color w:val="215E99" w:themeColor="text2" w:themeTint="BF"/>
        </w:rPr>
        <w:t xml:space="preserve">From Page 4 of the Overview and Instructions </w:t>
      </w:r>
      <w:r w:rsidRPr="006E0791">
        <w:rPr>
          <w:rFonts w:cstheme="minorHAnsi"/>
          <w:i/>
          <w:iCs/>
          <w:color w:val="215E99" w:themeColor="text2" w:themeTint="BF"/>
        </w:rPr>
        <w:t xml:space="preserve">To provide the best service with the highest quality and most cost-effectiveness, respondents will have the opportunity to apply for as much of or as little of the request for proposal services, depending on capability and capacity.  Not being able to provide all services or not being able to provide services to </w:t>
      </w:r>
      <w:proofErr w:type="gramStart"/>
      <w:r w:rsidRPr="006E0791">
        <w:rPr>
          <w:rFonts w:cstheme="minorHAnsi"/>
          <w:i/>
          <w:iCs/>
          <w:color w:val="215E99" w:themeColor="text2" w:themeTint="BF"/>
        </w:rPr>
        <w:t>all of</w:t>
      </w:r>
      <w:proofErr w:type="gramEnd"/>
      <w:r w:rsidRPr="006E0791">
        <w:rPr>
          <w:rFonts w:cstheme="minorHAnsi"/>
          <w:i/>
          <w:iCs/>
          <w:color w:val="215E99" w:themeColor="text2" w:themeTint="BF"/>
        </w:rPr>
        <w:t xml:space="preserve"> our service area will not disqualify an applicant.</w:t>
      </w:r>
    </w:p>
    <w:p w14:paraId="22D2C514" w14:textId="77777777" w:rsidR="00905360" w:rsidRDefault="00905360" w:rsidP="00905360">
      <w:pPr>
        <w:pStyle w:val="ListParagraph"/>
        <w:spacing w:before="240" w:after="240"/>
        <w:ind w:left="1080"/>
      </w:pPr>
    </w:p>
    <w:p w14:paraId="0ADF585A" w14:textId="77777777" w:rsidR="00905360" w:rsidRDefault="00905360" w:rsidP="00905360">
      <w:pPr>
        <w:pStyle w:val="ListParagraph"/>
        <w:numPr>
          <w:ilvl w:val="0"/>
          <w:numId w:val="39"/>
        </w:numPr>
        <w:spacing w:before="240" w:after="240" w:line="278" w:lineRule="auto"/>
      </w:pPr>
      <w:r>
        <w:t xml:space="preserve">Please describe the current delivery model for holiday meals (e.g., Thanksgiving and Christmas). Are these delivered hot on the holiday itself, or provided in advance as frozen/shelf-stable items? </w:t>
      </w:r>
      <w:r>
        <w:rPr>
          <w:color w:val="EE0000"/>
        </w:rPr>
        <w:t xml:space="preserve"> </w:t>
      </w:r>
    </w:p>
    <w:p w14:paraId="354D1E22" w14:textId="77777777" w:rsidR="00905360" w:rsidRDefault="00905360" w:rsidP="00905360">
      <w:pPr>
        <w:pStyle w:val="ListParagraph"/>
        <w:numPr>
          <w:ilvl w:val="0"/>
          <w:numId w:val="68"/>
        </w:numPr>
        <w:tabs>
          <w:tab w:val="left" w:pos="1080"/>
        </w:tabs>
        <w:spacing w:before="240" w:after="240" w:line="278" w:lineRule="auto"/>
        <w:ind w:left="1080" w:hanging="270"/>
      </w:pPr>
      <w:r>
        <w:rPr>
          <w:color w:val="215E99" w:themeColor="text2" w:themeTint="BF"/>
        </w:rPr>
        <w:t xml:space="preserve">In Lucas County, a hot, holiday meal is traditionally served on Thanksgiving and Christmas at one dining site.  Home Delivered Meal providers typically provide a frozen meal in advance of a holiday that occurs Monday-Friday.  However, a home delivered meal provider could include hot meal delivery on a holiday, as part of person </w:t>
      </w:r>
      <w:proofErr w:type="gramStart"/>
      <w:r>
        <w:rPr>
          <w:color w:val="215E99" w:themeColor="text2" w:themeTint="BF"/>
        </w:rPr>
        <w:t>directed</w:t>
      </w:r>
      <w:proofErr w:type="gramEnd"/>
      <w:r>
        <w:rPr>
          <w:color w:val="215E99" w:themeColor="text2" w:themeTint="BF"/>
        </w:rPr>
        <w:t xml:space="preserve"> service in the OAA HCBS Proposal.</w:t>
      </w:r>
    </w:p>
    <w:p w14:paraId="6A89C2FC" w14:textId="77777777" w:rsidR="00905360" w:rsidRPr="00AC315F" w:rsidRDefault="00905360" w:rsidP="00905360">
      <w:pPr>
        <w:pStyle w:val="ListParagraph"/>
        <w:numPr>
          <w:ilvl w:val="0"/>
          <w:numId w:val="39"/>
        </w:numPr>
        <w:spacing w:before="240" w:after="240" w:line="278" w:lineRule="auto"/>
      </w:pPr>
      <w:r>
        <w:t xml:space="preserve">Would the Agency consider a specialized "Holiday Menu" comprised of frozen meals for holiday delivery in lieu of a hot meal service? </w:t>
      </w:r>
    </w:p>
    <w:p w14:paraId="420A2612" w14:textId="77777777" w:rsidR="00905360" w:rsidRPr="00AC315F" w:rsidRDefault="00905360" w:rsidP="00905360">
      <w:pPr>
        <w:pStyle w:val="ListParagraph"/>
        <w:numPr>
          <w:ilvl w:val="0"/>
          <w:numId w:val="69"/>
        </w:numPr>
        <w:spacing w:before="240" w:after="240" w:line="278" w:lineRule="auto"/>
      </w:pPr>
      <w:r>
        <w:rPr>
          <w:color w:val="EE0000"/>
        </w:rPr>
        <w:t xml:space="preserve"> </w:t>
      </w:r>
      <w:r w:rsidRPr="00AC315F">
        <w:rPr>
          <w:color w:val="215E99" w:themeColor="text2" w:themeTint="BF"/>
        </w:rPr>
        <w:t xml:space="preserve">Yes, for home delivered meals.  </w:t>
      </w:r>
    </w:p>
    <w:p w14:paraId="1A63694B" w14:textId="77777777" w:rsidR="00905360" w:rsidRDefault="00905360" w:rsidP="00905360">
      <w:pPr>
        <w:pStyle w:val="ListParagraph"/>
        <w:spacing w:before="240" w:after="240"/>
        <w:ind w:left="1080"/>
      </w:pPr>
    </w:p>
    <w:p w14:paraId="72CB132C" w14:textId="77777777" w:rsidR="00905360" w:rsidRDefault="00905360" w:rsidP="00905360">
      <w:pPr>
        <w:pStyle w:val="ListParagraph"/>
        <w:numPr>
          <w:ilvl w:val="0"/>
          <w:numId w:val="39"/>
        </w:numPr>
        <w:spacing w:before="240" w:after="240" w:line="278" w:lineRule="auto"/>
      </w:pPr>
      <w:r>
        <w:t xml:space="preserve">Does the budget allow for differential unit rates for specialized meals, such as Medically Tailored or Kosher options, to account for higher production costs? </w:t>
      </w:r>
    </w:p>
    <w:p w14:paraId="73AB7046" w14:textId="77777777" w:rsidR="00905360" w:rsidRDefault="00905360" w:rsidP="00905360">
      <w:pPr>
        <w:pStyle w:val="ListParagraph"/>
        <w:numPr>
          <w:ilvl w:val="0"/>
          <w:numId w:val="70"/>
        </w:numPr>
        <w:spacing w:before="240" w:after="240" w:line="278" w:lineRule="auto"/>
        <w:rPr>
          <w:color w:val="215E99" w:themeColor="text2" w:themeTint="BF"/>
        </w:rPr>
      </w:pPr>
      <w:r>
        <w:rPr>
          <w:color w:val="215E99" w:themeColor="text2" w:themeTint="BF"/>
        </w:rPr>
        <w:t xml:space="preserve">Typically, therapeutic and Kosher meals are the same unit rate as regular meals.  For the Lucas County Home Delivered Meal Application, all meals </w:t>
      </w:r>
      <w:proofErr w:type="gramStart"/>
      <w:r>
        <w:rPr>
          <w:color w:val="215E99" w:themeColor="text2" w:themeTint="BF"/>
        </w:rPr>
        <w:t>are</w:t>
      </w:r>
      <w:proofErr w:type="gramEnd"/>
      <w:r>
        <w:rPr>
          <w:color w:val="215E99" w:themeColor="text2" w:themeTint="BF"/>
        </w:rPr>
        <w:t xml:space="preserve"> a $9.00 unit rate.</w:t>
      </w:r>
    </w:p>
    <w:p w14:paraId="12FF1FD9" w14:textId="77777777" w:rsidR="00905360" w:rsidRDefault="00905360" w:rsidP="00905360">
      <w:pPr>
        <w:pStyle w:val="ListParagraph"/>
        <w:spacing w:before="240" w:after="240"/>
        <w:ind w:left="1080"/>
      </w:pPr>
    </w:p>
    <w:p w14:paraId="60758965" w14:textId="77777777" w:rsidR="00905360" w:rsidRPr="00AC315F" w:rsidRDefault="00905360" w:rsidP="00905360">
      <w:pPr>
        <w:pStyle w:val="ListParagraph"/>
        <w:numPr>
          <w:ilvl w:val="0"/>
          <w:numId w:val="39"/>
        </w:numPr>
        <w:spacing w:line="278" w:lineRule="auto"/>
      </w:pPr>
      <w:r>
        <w:t xml:space="preserve">Please clarify the discrepancy between the average unit rates listed on page 44 and the stated Lucas County rate of $9.00 per meal. Which figure should be used for the </w:t>
      </w:r>
      <w:r w:rsidRPr="1FF6DC77">
        <w:rPr>
          <w:rFonts w:eastAsiaTheme="minorEastAsia"/>
        </w:rPr>
        <w:t>baseline cost proposal?</w:t>
      </w:r>
      <w:r>
        <w:rPr>
          <w:rFonts w:eastAsiaTheme="minorEastAsia"/>
        </w:rPr>
        <w:t xml:space="preserve"> </w:t>
      </w:r>
    </w:p>
    <w:p w14:paraId="1824BF10" w14:textId="77777777" w:rsidR="00905360" w:rsidRPr="00AC315F" w:rsidRDefault="00905360" w:rsidP="00905360">
      <w:pPr>
        <w:pStyle w:val="ListParagraph"/>
        <w:numPr>
          <w:ilvl w:val="0"/>
          <w:numId w:val="71"/>
        </w:numPr>
        <w:spacing w:line="278" w:lineRule="auto"/>
        <w:rPr>
          <w:color w:val="215E99" w:themeColor="text2" w:themeTint="BF"/>
        </w:rPr>
      </w:pPr>
      <w:r>
        <w:rPr>
          <w:rFonts w:eastAsiaTheme="minorEastAsia"/>
          <w:color w:val="215E99" w:themeColor="text2" w:themeTint="BF"/>
        </w:rPr>
        <w:t xml:space="preserve">There are three separate applications/proposals that include home delivered meals.  For the </w:t>
      </w:r>
      <w:r w:rsidRPr="00AC315F">
        <w:rPr>
          <w:rFonts w:eastAsiaTheme="minorEastAsia"/>
          <w:color w:val="215E99" w:themeColor="text2" w:themeTint="BF"/>
        </w:rPr>
        <w:t>OAA HCBS</w:t>
      </w:r>
      <w:r>
        <w:rPr>
          <w:rFonts w:eastAsiaTheme="minorEastAsia"/>
          <w:color w:val="215E99" w:themeColor="text2" w:themeTint="BF"/>
        </w:rPr>
        <w:t xml:space="preserve"> Proposal, the meal provider develops a unit rate based on a budget that is submitted with the proposal (Overview and Instructions page 30).  For the </w:t>
      </w:r>
      <w:r w:rsidRPr="00AC315F">
        <w:rPr>
          <w:rFonts w:eastAsiaTheme="minorEastAsia"/>
          <w:color w:val="215E99" w:themeColor="text2" w:themeTint="BF"/>
        </w:rPr>
        <w:t xml:space="preserve">Lucas </w:t>
      </w:r>
      <w:r>
        <w:rPr>
          <w:rFonts w:eastAsiaTheme="minorEastAsia"/>
          <w:color w:val="215E99" w:themeColor="text2" w:themeTint="BF"/>
        </w:rPr>
        <w:t xml:space="preserve">Only Home Delivered Meals Application, the unit rate is set at $9.00 (Overview and Instructions page 5).  For the Caregiver Support and Plan4Home Application, the provider submits the unit rate in the application.  However, rating criterion includes the unit rate is no more than 1 standard </w:t>
      </w:r>
      <w:r>
        <w:rPr>
          <w:rFonts w:eastAsiaTheme="minorEastAsia"/>
          <w:color w:val="215E99" w:themeColor="text2" w:themeTint="BF"/>
        </w:rPr>
        <w:lastRenderedPageBreak/>
        <w:t>deviation from the average unit rate.  Therefore, we have listed the average unit rates in the Overview and Instructions (Overview and Instructions pages 44-45)</w:t>
      </w:r>
      <w:r w:rsidRPr="00AC315F">
        <w:rPr>
          <w:rFonts w:eastAsiaTheme="minorEastAsia"/>
          <w:color w:val="215E99" w:themeColor="text2" w:themeTint="BF"/>
        </w:rPr>
        <w:t xml:space="preserve">. </w:t>
      </w:r>
    </w:p>
    <w:p w14:paraId="54C27458" w14:textId="77777777" w:rsidR="00905360" w:rsidRPr="00AC315F" w:rsidRDefault="00905360" w:rsidP="00905360">
      <w:pPr>
        <w:pStyle w:val="ListParagraph"/>
      </w:pPr>
    </w:p>
    <w:p w14:paraId="42F64243" w14:textId="77777777" w:rsidR="00905360" w:rsidRPr="00F64A67" w:rsidRDefault="00905360" w:rsidP="00905360">
      <w:pPr>
        <w:pStyle w:val="ListParagraph"/>
        <w:numPr>
          <w:ilvl w:val="0"/>
          <w:numId w:val="39"/>
        </w:numPr>
        <w:spacing w:line="278" w:lineRule="auto"/>
      </w:pPr>
      <w:r w:rsidRPr="1FF6DC77">
        <w:rPr>
          <w:rFonts w:eastAsiaTheme="minorEastAsia"/>
        </w:rPr>
        <w:t>Do we need to provide the last 2 years of audited financial statements and IRS tax returns (NEW providers) if we are currently PSA4 Passport Providers?</w:t>
      </w:r>
      <w:r>
        <w:rPr>
          <w:rFonts w:eastAsiaTheme="minorEastAsia"/>
        </w:rPr>
        <w:t xml:space="preserve"> </w:t>
      </w:r>
    </w:p>
    <w:p w14:paraId="7C58EC90" w14:textId="77777777" w:rsidR="00905360" w:rsidRPr="00F64A67" w:rsidRDefault="00905360" w:rsidP="00905360">
      <w:pPr>
        <w:pStyle w:val="ListParagraph"/>
        <w:numPr>
          <w:ilvl w:val="0"/>
          <w:numId w:val="72"/>
        </w:numPr>
        <w:spacing w:line="278" w:lineRule="auto"/>
        <w:rPr>
          <w:color w:val="215E99" w:themeColor="text2" w:themeTint="BF"/>
        </w:rPr>
      </w:pPr>
      <w:r w:rsidRPr="00F64A67">
        <w:rPr>
          <w:rFonts w:eastAsiaTheme="minorEastAsia"/>
          <w:color w:val="215E99" w:themeColor="text2" w:themeTint="BF"/>
        </w:rPr>
        <w:t xml:space="preserve">No, you are considered an established provider by being PASSPORT certified and these documents are not needed. </w:t>
      </w:r>
    </w:p>
    <w:p w14:paraId="29834CED" w14:textId="77777777" w:rsidR="00E83C6A" w:rsidRDefault="00E83C6A" w:rsidP="00E83C6A">
      <w:pPr>
        <w:pStyle w:val="ListParagraph"/>
        <w:spacing w:line="278" w:lineRule="auto"/>
        <w:rPr>
          <w:rFonts w:ascii="Times New Roman" w:eastAsia="Times New Roman" w:hAnsi="Times New Roman"/>
          <w:color w:val="000000"/>
          <w:kern w:val="0"/>
          <w14:ligatures w14:val="none"/>
        </w:rPr>
      </w:pPr>
    </w:p>
    <w:p w14:paraId="612E6EC7" w14:textId="7D405ED7" w:rsidR="00E83C6A" w:rsidRDefault="00E83C6A" w:rsidP="00E83C6A">
      <w:pPr>
        <w:pStyle w:val="ListParagraph"/>
        <w:numPr>
          <w:ilvl w:val="0"/>
          <w:numId w:val="74"/>
        </w:numPr>
        <w:spacing w:line="278" w:lineRule="auto"/>
        <w:rPr>
          <w:rFonts w:ascii="Times New Roman" w:eastAsia="Times New Roman" w:hAnsi="Times New Roman"/>
          <w:color w:val="000000"/>
          <w:kern w:val="0"/>
          <w14:ligatures w14:val="none"/>
        </w:rPr>
      </w:pPr>
      <w:r w:rsidRPr="00CC6426">
        <w:rPr>
          <w:rFonts w:ascii="Times New Roman" w:eastAsia="Times New Roman" w:hAnsi="Times New Roman"/>
          <w:color w:val="000000"/>
          <w:kern w:val="0"/>
          <w14:ligatures w14:val="none"/>
        </w:rPr>
        <w:t>How does the NEW transportation referral process interface with the non-emergency medical transportation and escort assisted transportation in the Community Based section of the RFP?</w:t>
      </w:r>
    </w:p>
    <w:p w14:paraId="4D5CBFE1" w14:textId="77777777" w:rsidR="00E83C6A" w:rsidRDefault="00E83C6A" w:rsidP="00E83C6A">
      <w:pPr>
        <w:pStyle w:val="ListParagraph"/>
        <w:rPr>
          <w:rFonts w:ascii="Times New Roman" w:eastAsia="Times New Roman" w:hAnsi="Times New Roman"/>
          <w:color w:val="000000"/>
          <w:kern w:val="0"/>
          <w14:ligatures w14:val="none"/>
        </w:rPr>
      </w:pPr>
    </w:p>
    <w:p w14:paraId="7A39F0AE" w14:textId="77777777" w:rsidR="00E83C6A" w:rsidRPr="00D761B7" w:rsidRDefault="00E83C6A" w:rsidP="00E83C6A">
      <w:pPr>
        <w:pStyle w:val="ListParagraph"/>
        <w:numPr>
          <w:ilvl w:val="0"/>
          <w:numId w:val="76"/>
        </w:numPr>
        <w:spacing w:line="278" w:lineRule="auto"/>
        <w:rPr>
          <w:rFonts w:ascii="Times New Roman" w:eastAsia="Times New Roman" w:hAnsi="Times New Roman"/>
          <w:color w:val="000000"/>
          <w:kern w:val="0"/>
          <w14:ligatures w14:val="none"/>
        </w:rPr>
      </w:pPr>
      <w:r>
        <w:rPr>
          <w:rFonts w:ascii="Times New Roman" w:eastAsia="Times New Roman" w:hAnsi="Times New Roman"/>
          <w:color w:val="215E99" w:themeColor="text2" w:themeTint="BF"/>
          <w:kern w:val="0"/>
          <w14:ligatures w14:val="none"/>
        </w:rPr>
        <w:t xml:space="preserve">The NEW transportation referral process is only for Lucas County.  Any eligible transportation provider may apply.  For the OAA HCBS Proposal (Community Based Section), any eligible transportation provider may submit a proposal for transportation and/or escort assisted transportation services in Defiance, Erie, Fulton, Henry, Ottawa, Paulding, Sandusky, Williams and Wood Counties.  For the OAA HCBS Proposal (community-based section), only senior centers may submit a proposal for transportation and/or escort assisted transportation services in Lucas County.  </w:t>
      </w:r>
    </w:p>
    <w:p w14:paraId="1BD32A2A" w14:textId="77777777" w:rsidR="00E83C6A" w:rsidRDefault="00E83C6A" w:rsidP="00E83C6A">
      <w:pPr>
        <w:pStyle w:val="ListParagraph"/>
        <w:rPr>
          <w:rFonts w:ascii="Times New Roman" w:eastAsia="Times New Roman" w:hAnsi="Times New Roman"/>
          <w:color w:val="215E99" w:themeColor="text2" w:themeTint="BF"/>
          <w:kern w:val="0"/>
          <w14:ligatures w14:val="none"/>
        </w:rPr>
      </w:pPr>
      <w:r>
        <w:rPr>
          <w:rFonts w:ascii="Times New Roman" w:eastAsia="Times New Roman" w:hAnsi="Times New Roman"/>
          <w:color w:val="215E99" w:themeColor="text2" w:themeTint="BF"/>
          <w:kern w:val="0"/>
          <w14:ligatures w14:val="none"/>
        </w:rPr>
        <w:t xml:space="preserve">The new transportation referral program in Lucas County is still being developed.  However, as indicated on page 5 of the Overview and Instructions, older adults in Lucas County who need transportation, </w:t>
      </w:r>
      <w:r w:rsidRPr="00D761B7">
        <w:rPr>
          <w:rFonts w:ascii="Times New Roman" w:eastAsia="Times New Roman" w:hAnsi="Times New Roman"/>
          <w:color w:val="215E99" w:themeColor="text2" w:themeTint="BF"/>
          <w:kern w:val="0"/>
          <w:u w:val="single"/>
          <w14:ligatures w14:val="none"/>
        </w:rPr>
        <w:t>which is not available through another funding source/program</w:t>
      </w:r>
      <w:r>
        <w:rPr>
          <w:rFonts w:ascii="Times New Roman" w:eastAsia="Times New Roman" w:hAnsi="Times New Roman"/>
          <w:color w:val="215E99" w:themeColor="text2" w:themeTint="BF"/>
          <w:kern w:val="0"/>
          <w14:ligatures w14:val="none"/>
        </w:rPr>
        <w:t xml:space="preserve">, will be offered a choice of transportation providers.  </w:t>
      </w:r>
    </w:p>
    <w:p w14:paraId="0F0556EA" w14:textId="77777777" w:rsidR="00E83C6A" w:rsidRPr="00C24857" w:rsidRDefault="00E83C6A" w:rsidP="00E83C6A">
      <w:pPr>
        <w:pStyle w:val="ListParagraph"/>
        <w:rPr>
          <w:rFonts w:ascii="Times New Roman" w:eastAsia="Times New Roman" w:hAnsi="Times New Roman"/>
          <w:color w:val="000000"/>
          <w:kern w:val="0"/>
          <w14:ligatures w14:val="none"/>
        </w:rPr>
      </w:pPr>
      <w:r>
        <w:rPr>
          <w:rFonts w:ascii="Times New Roman" w:eastAsia="Times New Roman" w:hAnsi="Times New Roman"/>
          <w:color w:val="215E99" w:themeColor="text2" w:themeTint="BF"/>
          <w:kern w:val="0"/>
          <w14:ligatures w14:val="none"/>
        </w:rPr>
        <w:t xml:space="preserve">For the OAA HCBS Proposal, a designated amount of funds is allocated directly to the provider.  They are responsible for managing these funds and the services provided.  Older adults contact the provider directly for transportation services.  </w:t>
      </w:r>
    </w:p>
    <w:p w14:paraId="5AE417B0" w14:textId="77777777" w:rsidR="00E83C6A" w:rsidRPr="00C24857" w:rsidRDefault="00E83C6A" w:rsidP="00E83C6A">
      <w:pPr>
        <w:pStyle w:val="ListParagraph"/>
        <w:rPr>
          <w:rFonts w:ascii="Times New Roman" w:eastAsia="Times New Roman" w:hAnsi="Times New Roman"/>
          <w:color w:val="000000"/>
          <w:kern w:val="0"/>
          <w14:ligatures w14:val="none"/>
        </w:rPr>
      </w:pPr>
    </w:p>
    <w:p w14:paraId="7B6D9C1E" w14:textId="77777777" w:rsidR="00E83C6A" w:rsidRDefault="00E83C6A" w:rsidP="00E83C6A">
      <w:pPr>
        <w:pStyle w:val="ListParagraph"/>
        <w:numPr>
          <w:ilvl w:val="0"/>
          <w:numId w:val="74"/>
        </w:numPr>
        <w:spacing w:line="278" w:lineRule="auto"/>
        <w:rPr>
          <w:rFonts w:ascii="Times New Roman" w:eastAsia="Times New Roman" w:hAnsi="Times New Roman"/>
          <w:color w:val="000000"/>
          <w:kern w:val="0"/>
          <w14:ligatures w14:val="none"/>
        </w:rPr>
      </w:pPr>
      <w:r>
        <w:rPr>
          <w:rFonts w:ascii="Times New Roman" w:eastAsia="Times New Roman" w:hAnsi="Times New Roman"/>
          <w:color w:val="000000"/>
          <w:kern w:val="0"/>
          <w14:ligatures w14:val="none"/>
        </w:rPr>
        <w:t xml:space="preserve"> Do you have to </w:t>
      </w:r>
      <w:proofErr w:type="gramStart"/>
      <w:r>
        <w:rPr>
          <w:rFonts w:ascii="Times New Roman" w:eastAsia="Times New Roman" w:hAnsi="Times New Roman"/>
          <w:color w:val="000000"/>
          <w:kern w:val="0"/>
          <w14:ligatures w14:val="none"/>
        </w:rPr>
        <w:t>funded</w:t>
      </w:r>
      <w:proofErr w:type="gramEnd"/>
      <w:r>
        <w:rPr>
          <w:rFonts w:ascii="Times New Roman" w:eastAsia="Times New Roman" w:hAnsi="Times New Roman"/>
          <w:color w:val="000000"/>
          <w:kern w:val="0"/>
          <w14:ligatures w14:val="none"/>
        </w:rPr>
        <w:t>/</w:t>
      </w:r>
      <w:proofErr w:type="gramStart"/>
      <w:r>
        <w:rPr>
          <w:rFonts w:ascii="Times New Roman" w:eastAsia="Times New Roman" w:hAnsi="Times New Roman"/>
          <w:color w:val="000000"/>
          <w:kern w:val="0"/>
          <w14:ligatures w14:val="none"/>
        </w:rPr>
        <w:t>contracted</w:t>
      </w:r>
      <w:proofErr w:type="gramEnd"/>
      <w:r>
        <w:rPr>
          <w:rFonts w:ascii="Times New Roman" w:eastAsia="Times New Roman" w:hAnsi="Times New Roman"/>
          <w:color w:val="000000"/>
          <w:kern w:val="0"/>
          <w14:ligatures w14:val="none"/>
        </w:rPr>
        <w:t xml:space="preserve"> under the Community Based portion for transportation </w:t>
      </w:r>
      <w:proofErr w:type="gramStart"/>
      <w:r>
        <w:rPr>
          <w:rFonts w:ascii="Times New Roman" w:eastAsia="Times New Roman" w:hAnsi="Times New Roman"/>
          <w:color w:val="000000"/>
          <w:kern w:val="0"/>
          <w14:ligatures w14:val="none"/>
        </w:rPr>
        <w:t>in order to</w:t>
      </w:r>
      <w:proofErr w:type="gramEnd"/>
      <w:r>
        <w:rPr>
          <w:rFonts w:ascii="Times New Roman" w:eastAsia="Times New Roman" w:hAnsi="Times New Roman"/>
          <w:color w:val="000000"/>
          <w:kern w:val="0"/>
          <w14:ligatures w14:val="none"/>
        </w:rPr>
        <w:t xml:space="preserve"> be able to bid on the NEW transportation referral pool?</w:t>
      </w:r>
    </w:p>
    <w:p w14:paraId="370B1B4B" w14:textId="77777777" w:rsidR="00E83C6A" w:rsidRPr="00D761B7" w:rsidRDefault="00E83C6A" w:rsidP="00E83C6A">
      <w:pPr>
        <w:pStyle w:val="ListParagraph"/>
        <w:numPr>
          <w:ilvl w:val="0"/>
          <w:numId w:val="77"/>
        </w:numPr>
        <w:spacing w:line="278" w:lineRule="auto"/>
        <w:rPr>
          <w:rFonts w:ascii="Times New Roman" w:eastAsia="Times New Roman" w:hAnsi="Times New Roman"/>
          <w:color w:val="000000"/>
          <w:kern w:val="0"/>
          <w14:ligatures w14:val="none"/>
        </w:rPr>
      </w:pPr>
      <w:r>
        <w:rPr>
          <w:rFonts w:ascii="Times New Roman" w:eastAsia="Times New Roman" w:hAnsi="Times New Roman"/>
          <w:color w:val="215E99" w:themeColor="text2" w:themeTint="BF"/>
          <w:kern w:val="0"/>
          <w14:ligatures w14:val="none"/>
        </w:rPr>
        <w:t>No.</w:t>
      </w:r>
    </w:p>
    <w:p w14:paraId="4022D168" w14:textId="77777777" w:rsidR="00E83C6A" w:rsidRPr="00C24857" w:rsidRDefault="00E83C6A" w:rsidP="00E83C6A">
      <w:pPr>
        <w:pStyle w:val="ListParagraph"/>
        <w:rPr>
          <w:rFonts w:ascii="Times New Roman" w:eastAsia="Times New Roman" w:hAnsi="Times New Roman"/>
          <w:color w:val="000000"/>
          <w:kern w:val="0"/>
          <w14:ligatures w14:val="none"/>
        </w:rPr>
      </w:pPr>
    </w:p>
    <w:p w14:paraId="12C84F5C" w14:textId="77777777" w:rsidR="00E83C6A" w:rsidRDefault="00E83C6A" w:rsidP="00E83C6A">
      <w:pPr>
        <w:pStyle w:val="ListParagraph"/>
        <w:numPr>
          <w:ilvl w:val="0"/>
          <w:numId w:val="74"/>
        </w:numPr>
        <w:spacing w:line="278" w:lineRule="auto"/>
        <w:rPr>
          <w:rFonts w:ascii="Times New Roman" w:eastAsia="Times New Roman" w:hAnsi="Times New Roman"/>
          <w:color w:val="000000"/>
          <w:kern w:val="0"/>
          <w14:ligatures w14:val="none"/>
        </w:rPr>
      </w:pPr>
      <w:r>
        <w:rPr>
          <w:rFonts w:ascii="Times New Roman" w:eastAsia="Times New Roman" w:hAnsi="Times New Roman"/>
          <w:color w:val="000000"/>
          <w:kern w:val="0"/>
          <w14:ligatures w14:val="none"/>
        </w:rPr>
        <w:t xml:space="preserve">It was not clear as to how those in the referral process for transportation would be paid or at what unit rate. The meal provider unit rate was set at $9, but the transportation just indicated </w:t>
      </w:r>
      <w:proofErr w:type="gramStart"/>
      <w:r>
        <w:rPr>
          <w:rFonts w:ascii="Times New Roman" w:eastAsia="Times New Roman" w:hAnsi="Times New Roman"/>
          <w:color w:val="000000"/>
          <w:kern w:val="0"/>
          <w14:ligatures w14:val="none"/>
        </w:rPr>
        <w:t>to put</w:t>
      </w:r>
      <w:proofErr w:type="gramEnd"/>
      <w:r>
        <w:rPr>
          <w:rFonts w:ascii="Times New Roman" w:eastAsia="Times New Roman" w:hAnsi="Times New Roman"/>
          <w:color w:val="000000"/>
          <w:kern w:val="0"/>
          <w14:ligatures w14:val="none"/>
        </w:rPr>
        <w:t xml:space="preserve"> $1 in the budget. Can you please elaborate more on how this transportation program works, what to include in the budget, and how much we will be paid a unit?</w:t>
      </w:r>
    </w:p>
    <w:p w14:paraId="29994853" w14:textId="77777777" w:rsidR="00E83C6A" w:rsidRPr="00CC6426" w:rsidRDefault="00E83C6A" w:rsidP="00E83C6A">
      <w:pPr>
        <w:pStyle w:val="ListParagraph"/>
        <w:numPr>
          <w:ilvl w:val="0"/>
          <w:numId w:val="78"/>
        </w:numPr>
        <w:spacing w:line="278" w:lineRule="auto"/>
        <w:rPr>
          <w:rFonts w:ascii="Times New Roman" w:eastAsia="Times New Roman" w:hAnsi="Times New Roman"/>
          <w:color w:val="000000"/>
          <w:kern w:val="0"/>
          <w14:ligatures w14:val="none"/>
        </w:rPr>
      </w:pPr>
      <w:r>
        <w:rPr>
          <w:rFonts w:ascii="Times New Roman" w:eastAsia="Times New Roman" w:hAnsi="Times New Roman"/>
          <w:color w:val="215E99" w:themeColor="text2" w:themeTint="BF"/>
          <w:kern w:val="0"/>
          <w14:ligatures w14:val="none"/>
        </w:rPr>
        <w:t xml:space="preserve">For the Lucas County Transportation for Older Adults application.  In the Organizational Capacity form there is a unit rate section.  The first question is </w:t>
      </w:r>
      <w:r>
        <w:rPr>
          <w:rFonts w:ascii="Times New Roman" w:eastAsia="Times New Roman" w:hAnsi="Times New Roman"/>
          <w:i/>
          <w:iCs/>
          <w:color w:val="215E99" w:themeColor="text2" w:themeTint="BF"/>
          <w:kern w:val="0"/>
          <w14:ligatures w14:val="none"/>
        </w:rPr>
        <w:t xml:space="preserve">Requested Unit Rate Per One-Way Trip.  </w:t>
      </w:r>
      <w:r>
        <w:rPr>
          <w:rFonts w:ascii="Times New Roman" w:eastAsia="Times New Roman" w:hAnsi="Times New Roman"/>
          <w:color w:val="215E99" w:themeColor="text2" w:themeTint="BF"/>
          <w:kern w:val="0"/>
          <w14:ligatures w14:val="none"/>
        </w:rPr>
        <w:t>Please enter the unit rate you are requesting for all one-way trips in Lucas County.</w:t>
      </w:r>
    </w:p>
    <w:p w14:paraId="78787210" w14:textId="77777777" w:rsidR="00E83C6A" w:rsidRDefault="00E83C6A" w:rsidP="00E83C6A">
      <w:pPr>
        <w:pStyle w:val="ListParagraph"/>
        <w:numPr>
          <w:ilvl w:val="0"/>
          <w:numId w:val="74"/>
        </w:numPr>
        <w:spacing w:line="278" w:lineRule="auto"/>
        <w:rPr>
          <w:rFonts w:eastAsia="Times New Roman" w:cstheme="minorHAnsi"/>
          <w:color w:val="000000"/>
          <w:kern w:val="0"/>
          <w14:ligatures w14:val="none"/>
        </w:rPr>
      </w:pPr>
      <w:r>
        <w:rPr>
          <w:rFonts w:ascii="Times New Roman" w:eastAsia="Times New Roman" w:hAnsi="Times New Roman"/>
          <w:color w:val="000000"/>
          <w:kern w:val="0"/>
          <w14:ligatures w14:val="none"/>
        </w:rPr>
        <w:t>Additionally, i</w:t>
      </w:r>
      <w:r w:rsidRPr="00CC6426">
        <w:rPr>
          <w:rFonts w:ascii="Times New Roman" w:eastAsia="Times New Roman" w:hAnsi="Times New Roman"/>
          <w:color w:val="000000"/>
          <w:kern w:val="0"/>
          <w14:ligatures w14:val="none"/>
        </w:rPr>
        <w:t>f you apply for both sections, do you turn in a separate budget for each section to show different unit rates or one budget with two columns</w:t>
      </w:r>
      <w:r w:rsidRPr="00CC6426">
        <w:rPr>
          <w:rFonts w:eastAsia="Times New Roman" w:cstheme="minorHAnsi"/>
          <w:color w:val="000000"/>
          <w:kern w:val="0"/>
          <w14:ligatures w14:val="none"/>
        </w:rPr>
        <w:t xml:space="preserve">? </w:t>
      </w:r>
      <w:r>
        <w:rPr>
          <w:rFonts w:eastAsia="Times New Roman" w:cstheme="minorHAnsi"/>
          <w:color w:val="000000"/>
          <w:kern w:val="0"/>
          <w14:ligatures w14:val="none"/>
        </w:rPr>
        <w:t xml:space="preserve"> Per the RFP: </w:t>
      </w:r>
      <w:r w:rsidRPr="00CC6426">
        <w:rPr>
          <w:rFonts w:eastAsia="Times New Roman" w:cstheme="minorHAnsi"/>
          <w:color w:val="000000"/>
          <w:kern w:val="0"/>
          <w14:ligatures w14:val="none"/>
        </w:rPr>
        <w:t xml:space="preserve">"Application for Transportation providers in Lucas County only.!! IMPORTANT: PLEASE ENTER $1 FOR REQUESTED FUNDING </w:t>
      </w:r>
      <w:proofErr w:type="gramStart"/>
      <w:r w:rsidRPr="00CC6426">
        <w:rPr>
          <w:rFonts w:eastAsia="Times New Roman" w:cstheme="minorHAnsi"/>
          <w:color w:val="000000"/>
          <w:kern w:val="0"/>
          <w14:ligatures w14:val="none"/>
        </w:rPr>
        <w:t>AMOUNT !!</w:t>
      </w:r>
      <w:proofErr w:type="gramEnd"/>
      <w:r w:rsidRPr="00CC6426">
        <w:rPr>
          <w:rFonts w:eastAsia="Times New Roman" w:cstheme="minorHAnsi"/>
          <w:color w:val="000000"/>
          <w:kern w:val="0"/>
          <w14:ligatures w14:val="none"/>
        </w:rPr>
        <w:t xml:space="preserve"> This application is to be considered as a provider at the published unit rate."</w:t>
      </w:r>
      <w:r>
        <w:rPr>
          <w:rFonts w:eastAsia="Times New Roman" w:cstheme="minorHAnsi"/>
          <w:color w:val="000000"/>
          <w:kern w:val="0"/>
          <w14:ligatures w14:val="none"/>
        </w:rPr>
        <w:t xml:space="preserve"> What is the published unit rate for transportation?</w:t>
      </w:r>
    </w:p>
    <w:p w14:paraId="3FBCCED1" w14:textId="77777777" w:rsidR="00E83C6A" w:rsidRPr="00263C47" w:rsidRDefault="00E83C6A" w:rsidP="00E83C6A">
      <w:pPr>
        <w:pStyle w:val="ListParagraph"/>
        <w:numPr>
          <w:ilvl w:val="0"/>
          <w:numId w:val="79"/>
        </w:numPr>
        <w:spacing w:line="278" w:lineRule="auto"/>
        <w:rPr>
          <w:rFonts w:eastAsia="Times New Roman" w:cstheme="minorHAnsi"/>
          <w:color w:val="000000"/>
          <w:kern w:val="0"/>
          <w14:ligatures w14:val="none"/>
        </w:rPr>
      </w:pPr>
      <w:r>
        <w:rPr>
          <w:rFonts w:eastAsia="Times New Roman" w:cstheme="minorHAnsi"/>
          <w:color w:val="0F4761" w:themeColor="accent1" w:themeShade="BF"/>
          <w:kern w:val="0"/>
          <w14:ligatures w14:val="none"/>
        </w:rPr>
        <w:t xml:space="preserve">You are only required to submit the budget forms for the OAA HCBS proposal.  For the Plan4Home/Caregiver Support Application and the Lucas County Transportation Only </w:t>
      </w:r>
      <w:r>
        <w:rPr>
          <w:rFonts w:eastAsia="Times New Roman" w:cstheme="minorHAnsi"/>
          <w:color w:val="0F4761" w:themeColor="accent1" w:themeShade="BF"/>
          <w:kern w:val="0"/>
          <w14:ligatures w14:val="none"/>
        </w:rPr>
        <w:lastRenderedPageBreak/>
        <w:t xml:space="preserve">application, you only need to provide the unit rate for each service in the application.  The unit rate should cover the cost </w:t>
      </w:r>
      <w:proofErr w:type="gramStart"/>
      <w:r>
        <w:rPr>
          <w:rFonts w:eastAsia="Times New Roman" w:cstheme="minorHAnsi"/>
          <w:color w:val="0F4761" w:themeColor="accent1" w:themeShade="BF"/>
          <w:kern w:val="0"/>
          <w14:ligatures w14:val="none"/>
        </w:rPr>
        <w:t>for</w:t>
      </w:r>
      <w:proofErr w:type="gramEnd"/>
      <w:r>
        <w:rPr>
          <w:rFonts w:eastAsia="Times New Roman" w:cstheme="minorHAnsi"/>
          <w:color w:val="0F4761" w:themeColor="accent1" w:themeShade="BF"/>
          <w:kern w:val="0"/>
          <w14:ligatures w14:val="none"/>
        </w:rPr>
        <w:t xml:space="preserve"> providing the service.</w:t>
      </w:r>
    </w:p>
    <w:p w14:paraId="4956FD45" w14:textId="77777777" w:rsidR="00E83C6A" w:rsidRDefault="00E83C6A" w:rsidP="00E83C6A">
      <w:pPr>
        <w:pStyle w:val="ListParagraph"/>
        <w:numPr>
          <w:ilvl w:val="0"/>
          <w:numId w:val="74"/>
        </w:numPr>
        <w:spacing w:line="278" w:lineRule="auto"/>
        <w:rPr>
          <w:rFonts w:eastAsia="Times New Roman" w:cstheme="minorHAnsi"/>
          <w:color w:val="000000"/>
          <w:kern w:val="0"/>
          <w14:ligatures w14:val="none"/>
        </w:rPr>
      </w:pPr>
      <w:r>
        <w:rPr>
          <w:rFonts w:eastAsia="Times New Roman" w:cstheme="minorHAnsi"/>
          <w:color w:val="000000"/>
          <w:kern w:val="0"/>
          <w14:ligatures w14:val="none"/>
        </w:rPr>
        <w:t>How many transportation providers do you plan on contracting with? Will you be expanding transportation providers for the Home and Community Based Transportation section, or just continue with one provider?</w:t>
      </w:r>
    </w:p>
    <w:p w14:paraId="293F15A3" w14:textId="77777777" w:rsidR="00E83C6A" w:rsidRPr="007F6709" w:rsidRDefault="00E83C6A" w:rsidP="00E83C6A">
      <w:pPr>
        <w:pStyle w:val="ListParagraph"/>
        <w:numPr>
          <w:ilvl w:val="0"/>
          <w:numId w:val="80"/>
        </w:numPr>
        <w:spacing w:line="278" w:lineRule="auto"/>
        <w:rPr>
          <w:rFonts w:eastAsia="Times New Roman" w:cstheme="minorHAnsi"/>
          <w:color w:val="000000"/>
          <w:kern w:val="0"/>
          <w14:ligatures w14:val="none"/>
        </w:rPr>
      </w:pPr>
      <w:r>
        <w:rPr>
          <w:rFonts w:eastAsia="Times New Roman" w:cstheme="minorHAnsi"/>
          <w:color w:val="0F4761" w:themeColor="accent1" w:themeShade="BF"/>
          <w:kern w:val="0"/>
          <w14:ligatures w14:val="none"/>
        </w:rPr>
        <w:t>The Proposal Review Committee will review the OAA HCBS Proposals and provide recommendations to the Board of Directors for approval.  We are looking to expand the number of contracted transportation providers in Lucas County to offer choice for the referral based/brokerage system (Lucas County Transportation Only Application).</w:t>
      </w:r>
    </w:p>
    <w:p w14:paraId="742DD252" w14:textId="77777777" w:rsidR="00E83C6A" w:rsidRDefault="00E83C6A" w:rsidP="00E83C6A">
      <w:pPr>
        <w:pStyle w:val="ListParagraph"/>
        <w:numPr>
          <w:ilvl w:val="0"/>
          <w:numId w:val="74"/>
        </w:numPr>
        <w:spacing w:line="278" w:lineRule="auto"/>
        <w:rPr>
          <w:rFonts w:eastAsia="Times New Roman" w:cstheme="minorHAnsi"/>
          <w:color w:val="000000"/>
          <w:kern w:val="0"/>
          <w14:ligatures w14:val="none"/>
        </w:rPr>
      </w:pPr>
      <w:r w:rsidRPr="00CC7422">
        <w:rPr>
          <w:rFonts w:eastAsia="Times New Roman" w:cstheme="minorHAnsi"/>
          <w:color w:val="000000"/>
          <w:kern w:val="0"/>
          <w14:ligatures w14:val="none"/>
        </w:rPr>
        <w:t>On page 39, Transportation Referral Services, there i</w:t>
      </w:r>
      <w:r>
        <w:rPr>
          <w:rFonts w:eastAsia="Times New Roman" w:cstheme="minorHAnsi"/>
          <w:color w:val="000000"/>
          <w:kern w:val="0"/>
          <w14:ligatures w14:val="none"/>
        </w:rPr>
        <w:t>s no scoring sheet that goes to the PRC committee. Does this mean that it is just reviewed by staff or is the PRC score sheet missing?</w:t>
      </w:r>
    </w:p>
    <w:p w14:paraId="1CEA9844" w14:textId="77777777" w:rsidR="00E83C6A" w:rsidRPr="007F6709" w:rsidRDefault="00E83C6A" w:rsidP="00E83C6A">
      <w:pPr>
        <w:pStyle w:val="ListParagraph"/>
        <w:numPr>
          <w:ilvl w:val="0"/>
          <w:numId w:val="81"/>
        </w:numPr>
        <w:spacing w:line="278" w:lineRule="auto"/>
        <w:rPr>
          <w:rFonts w:eastAsia="Times New Roman" w:cstheme="minorHAnsi"/>
          <w:color w:val="0F4761" w:themeColor="accent1" w:themeShade="BF"/>
          <w:kern w:val="0"/>
          <w14:ligatures w14:val="none"/>
        </w:rPr>
      </w:pPr>
      <w:r w:rsidRPr="007F6709">
        <w:rPr>
          <w:rFonts w:eastAsia="Times New Roman" w:cstheme="minorHAnsi"/>
          <w:color w:val="0F4761" w:themeColor="accent1" w:themeShade="BF"/>
          <w:kern w:val="0"/>
          <w14:ligatures w14:val="none"/>
        </w:rPr>
        <w:t xml:space="preserve">Yes, internal staff will be reviewing the </w:t>
      </w:r>
      <w:r>
        <w:rPr>
          <w:rFonts w:eastAsia="Times New Roman" w:cstheme="minorHAnsi"/>
          <w:color w:val="0F4761" w:themeColor="accent1" w:themeShade="BF"/>
          <w:kern w:val="0"/>
          <w14:ligatures w14:val="none"/>
        </w:rPr>
        <w:t>Lucas County Transportation Only applications, the Lucas County Home Delivered Meals Only applications and the Caregiver Support and Plan4Home Applications.</w:t>
      </w:r>
    </w:p>
    <w:p w14:paraId="6EE02192" w14:textId="77777777" w:rsidR="00E83C6A" w:rsidRDefault="00E83C6A" w:rsidP="00E83C6A">
      <w:pPr>
        <w:pStyle w:val="ListParagraph"/>
        <w:numPr>
          <w:ilvl w:val="0"/>
          <w:numId w:val="74"/>
        </w:numPr>
        <w:spacing w:line="278" w:lineRule="auto"/>
        <w:rPr>
          <w:rFonts w:eastAsia="Times New Roman" w:cstheme="minorHAnsi"/>
          <w:color w:val="000000"/>
          <w:kern w:val="0"/>
          <w14:ligatures w14:val="none"/>
        </w:rPr>
      </w:pPr>
      <w:r w:rsidRPr="005B0240">
        <w:rPr>
          <w:rFonts w:eastAsia="Times New Roman" w:cstheme="minorHAnsi"/>
          <w:color w:val="000000"/>
          <w:kern w:val="0"/>
          <w14:ligatures w14:val="none"/>
        </w:rPr>
        <w:t>On page 44, Caregiver/P4H Average Unit rate</w:t>
      </w:r>
      <w:r>
        <w:rPr>
          <w:rFonts w:eastAsia="Times New Roman" w:cstheme="minorHAnsi"/>
          <w:color w:val="000000"/>
          <w:kern w:val="0"/>
          <w14:ligatures w14:val="none"/>
        </w:rPr>
        <w:t xml:space="preserve"> is missing for transportation. Can you let us know what that is for those of us who would like to apply for transportation services as it is a requested service to bid on for Caregiver Support Program?</w:t>
      </w:r>
    </w:p>
    <w:p w14:paraId="2774D913" w14:textId="77777777" w:rsidR="00E83C6A" w:rsidRDefault="00E83C6A" w:rsidP="00E83C6A">
      <w:pPr>
        <w:pStyle w:val="ListParagraph"/>
        <w:numPr>
          <w:ilvl w:val="0"/>
          <w:numId w:val="82"/>
        </w:numPr>
        <w:spacing w:line="278" w:lineRule="auto"/>
        <w:rPr>
          <w:rFonts w:eastAsia="Times New Roman" w:cstheme="minorHAnsi"/>
          <w:color w:val="000000"/>
          <w:kern w:val="0"/>
          <w14:ligatures w14:val="none"/>
        </w:rPr>
      </w:pPr>
      <w:r>
        <w:rPr>
          <w:rFonts w:eastAsia="Times New Roman" w:cstheme="minorHAnsi"/>
          <w:color w:val="000000"/>
          <w:kern w:val="0"/>
          <w14:ligatures w14:val="none"/>
        </w:rPr>
        <w:t xml:space="preserve"> </w:t>
      </w:r>
      <w:r>
        <w:rPr>
          <w:rFonts w:eastAsia="Times New Roman" w:cstheme="minorHAnsi"/>
          <w:color w:val="0F4761" w:themeColor="accent1" w:themeShade="BF"/>
          <w:kern w:val="0"/>
          <w14:ligatures w14:val="none"/>
        </w:rPr>
        <w:t xml:space="preserve">There is a field in the Caregiver Support and Plan4Home application to enter the unit rate for each service.  </w:t>
      </w:r>
    </w:p>
    <w:p w14:paraId="48B86B45" w14:textId="77777777" w:rsidR="00E83C6A" w:rsidRDefault="00E83C6A" w:rsidP="00E83C6A">
      <w:pPr>
        <w:pStyle w:val="ListParagraph"/>
        <w:numPr>
          <w:ilvl w:val="0"/>
          <w:numId w:val="74"/>
        </w:numPr>
        <w:spacing w:line="278" w:lineRule="auto"/>
        <w:rPr>
          <w:rFonts w:eastAsia="Times New Roman" w:cstheme="minorHAnsi"/>
          <w:color w:val="000000"/>
          <w:kern w:val="0"/>
          <w14:ligatures w14:val="none"/>
        </w:rPr>
      </w:pPr>
      <w:r>
        <w:rPr>
          <w:rFonts w:eastAsia="Times New Roman" w:cstheme="minorHAnsi"/>
          <w:color w:val="000000"/>
          <w:kern w:val="0"/>
          <w14:ligatures w14:val="none"/>
        </w:rPr>
        <w:t>At the Bidders’ Conference, it was stated that rural areas can use the local levy funds for the 15% match. Can Lucas County bidders use the Lucas County Senior Levy for the required match as well?</w:t>
      </w:r>
    </w:p>
    <w:p w14:paraId="65F806D6" w14:textId="7EC8F4D4" w:rsidR="00E83C6A" w:rsidRPr="00071786" w:rsidRDefault="00E83C6A" w:rsidP="00E83C6A">
      <w:pPr>
        <w:pStyle w:val="ListParagraph"/>
        <w:numPr>
          <w:ilvl w:val="0"/>
          <w:numId w:val="83"/>
        </w:numPr>
        <w:spacing w:line="278" w:lineRule="auto"/>
        <w:rPr>
          <w:rFonts w:eastAsia="Times New Roman" w:cstheme="minorHAnsi"/>
          <w:color w:val="000000"/>
          <w:kern w:val="0"/>
          <w14:ligatures w14:val="none"/>
        </w:rPr>
      </w:pPr>
      <w:r>
        <w:rPr>
          <w:rFonts w:eastAsia="Times New Roman" w:cstheme="minorHAnsi"/>
          <w:color w:val="0F4761" w:themeColor="accent1" w:themeShade="BF"/>
          <w:kern w:val="0"/>
          <w14:ligatures w14:val="none"/>
        </w:rPr>
        <w:t xml:space="preserve">If you are </w:t>
      </w:r>
      <w:proofErr w:type="gramStart"/>
      <w:r>
        <w:rPr>
          <w:rFonts w:eastAsia="Times New Roman" w:cstheme="minorHAnsi"/>
          <w:color w:val="0F4761" w:themeColor="accent1" w:themeShade="BF"/>
          <w:kern w:val="0"/>
          <w14:ligatures w14:val="none"/>
        </w:rPr>
        <w:t>submitting an application</w:t>
      </w:r>
      <w:proofErr w:type="gramEnd"/>
      <w:r>
        <w:rPr>
          <w:rFonts w:eastAsia="Times New Roman" w:cstheme="minorHAnsi"/>
          <w:color w:val="0F4761" w:themeColor="accent1" w:themeShade="BF"/>
          <w:kern w:val="0"/>
          <w14:ligatures w14:val="none"/>
        </w:rPr>
        <w:t xml:space="preserve"> for the OAA HCBS Application, you should include in-kind and/or cash match in your budget.</w:t>
      </w:r>
      <w:r w:rsidR="00472CB9">
        <w:rPr>
          <w:rFonts w:eastAsia="Times New Roman" w:cstheme="minorHAnsi"/>
          <w:color w:val="0F4761" w:themeColor="accent1" w:themeShade="BF"/>
          <w:kern w:val="0"/>
          <w14:ligatures w14:val="none"/>
        </w:rPr>
        <w:t xml:space="preserve">  In Defiance, Erie, Fulton, Henry, Ottawa, Paulding, Sandusky and Williams Counties, providers may manage the senior services levy funds.  Therefore, they may use these funds for local cash </w:t>
      </w:r>
      <w:proofErr w:type="gramStart"/>
      <w:r w:rsidR="00472CB9">
        <w:rPr>
          <w:rFonts w:eastAsia="Times New Roman" w:cstheme="minorHAnsi"/>
          <w:color w:val="0F4761" w:themeColor="accent1" w:themeShade="BF"/>
          <w:kern w:val="0"/>
          <w14:ligatures w14:val="none"/>
        </w:rPr>
        <w:t>match</w:t>
      </w:r>
      <w:proofErr w:type="gramEnd"/>
      <w:r w:rsidR="00472CB9">
        <w:rPr>
          <w:rFonts w:eastAsia="Times New Roman" w:cstheme="minorHAnsi"/>
          <w:color w:val="0F4761" w:themeColor="accent1" w:themeShade="BF"/>
          <w:kern w:val="0"/>
          <w14:ligatures w14:val="none"/>
        </w:rPr>
        <w:t xml:space="preserve">.  In Lucas County, the AOoA manages the levy funds and not the provider.  </w:t>
      </w:r>
    </w:p>
    <w:p w14:paraId="772B3899" w14:textId="77777777" w:rsidR="00E83C6A" w:rsidRDefault="00E83C6A" w:rsidP="00E83C6A">
      <w:pPr>
        <w:pStyle w:val="ListParagraph"/>
        <w:numPr>
          <w:ilvl w:val="0"/>
          <w:numId w:val="74"/>
        </w:numPr>
        <w:spacing w:line="278" w:lineRule="auto"/>
        <w:rPr>
          <w:rFonts w:eastAsia="Times New Roman" w:cstheme="minorHAnsi"/>
          <w:color w:val="000000"/>
          <w:kern w:val="0"/>
          <w14:ligatures w14:val="none"/>
        </w:rPr>
      </w:pPr>
      <w:r w:rsidRPr="005C43D8">
        <w:rPr>
          <w:rFonts w:eastAsia="Times New Roman" w:cstheme="minorHAnsi"/>
          <w:color w:val="000000"/>
          <w:kern w:val="0"/>
          <w14:ligatures w14:val="none"/>
        </w:rPr>
        <w:t>The section on</w:t>
      </w:r>
      <w:r>
        <w:rPr>
          <w:rFonts w:eastAsia="Times New Roman" w:cstheme="minorHAnsi"/>
          <w:color w:val="000000"/>
          <w:kern w:val="0"/>
          <w14:ligatures w14:val="none"/>
        </w:rPr>
        <w:t xml:space="preserve"> Applications for</w:t>
      </w:r>
      <w:r w:rsidRPr="005C43D8">
        <w:rPr>
          <w:rFonts w:eastAsia="Times New Roman" w:cstheme="minorHAnsi"/>
          <w:color w:val="000000"/>
          <w:kern w:val="0"/>
          <w14:ligatures w14:val="none"/>
        </w:rPr>
        <w:t xml:space="preserve"> documents to </w:t>
      </w:r>
      <w:r>
        <w:rPr>
          <w:rFonts w:eastAsia="Times New Roman" w:cstheme="minorHAnsi"/>
          <w:color w:val="000000"/>
          <w:kern w:val="0"/>
          <w14:ligatures w14:val="none"/>
        </w:rPr>
        <w:t xml:space="preserve">include states that for “new” providers, they must include audits and taxes. What is the definition of a “new” provider. Is it a first-time applicant? Or is it a provider that has a new </w:t>
      </w:r>
      <w:proofErr w:type="gramStart"/>
      <w:r>
        <w:rPr>
          <w:rFonts w:eastAsia="Times New Roman" w:cstheme="minorHAnsi"/>
          <w:color w:val="000000"/>
          <w:kern w:val="0"/>
          <w14:ligatures w14:val="none"/>
        </w:rPr>
        <w:t>business</w:t>
      </w:r>
      <w:proofErr w:type="gramEnd"/>
      <w:r>
        <w:rPr>
          <w:rFonts w:eastAsia="Times New Roman" w:cstheme="minorHAnsi"/>
          <w:color w:val="000000"/>
          <w:kern w:val="0"/>
          <w14:ligatures w14:val="none"/>
        </w:rPr>
        <w:t xml:space="preserve"> less than 2 years? </w:t>
      </w:r>
    </w:p>
    <w:p w14:paraId="50274542" w14:textId="77777777" w:rsidR="00E83C6A" w:rsidRPr="004F1A3A" w:rsidRDefault="00E83C6A" w:rsidP="00E83C6A">
      <w:pPr>
        <w:pStyle w:val="ListParagraph"/>
        <w:numPr>
          <w:ilvl w:val="0"/>
          <w:numId w:val="84"/>
        </w:numPr>
        <w:spacing w:line="278" w:lineRule="auto"/>
        <w:rPr>
          <w:rFonts w:eastAsia="Times New Roman" w:cstheme="minorHAnsi"/>
          <w:color w:val="000000"/>
          <w:kern w:val="0"/>
          <w14:ligatures w14:val="none"/>
        </w:rPr>
      </w:pPr>
      <w:r>
        <w:rPr>
          <w:rFonts w:eastAsia="Times New Roman" w:cstheme="minorHAnsi"/>
          <w:color w:val="0F4761" w:themeColor="accent1" w:themeShade="BF"/>
          <w:kern w:val="0"/>
          <w14:ligatures w14:val="none"/>
        </w:rPr>
        <w:t>A new provider is any applicant that is not currently an AOoA contracted provider for Caregiver Support and Plan4Home, Older Americans Act, and/or PASSPORT.</w:t>
      </w:r>
    </w:p>
    <w:p w14:paraId="0D98E29A" w14:textId="77777777" w:rsidR="00E83C6A" w:rsidRDefault="00E83C6A" w:rsidP="00E83C6A">
      <w:pPr>
        <w:pStyle w:val="ListParagraph"/>
        <w:numPr>
          <w:ilvl w:val="0"/>
          <w:numId w:val="74"/>
        </w:numPr>
        <w:spacing w:line="278" w:lineRule="auto"/>
        <w:rPr>
          <w:rFonts w:eastAsia="Times New Roman" w:cstheme="minorHAnsi"/>
          <w:color w:val="000000"/>
          <w:kern w:val="0"/>
          <w14:ligatures w14:val="none"/>
        </w:rPr>
      </w:pPr>
      <w:r>
        <w:rPr>
          <w:rFonts w:eastAsia="Times New Roman" w:cstheme="minorHAnsi"/>
          <w:color w:val="000000"/>
          <w:kern w:val="0"/>
          <w14:ligatures w14:val="none"/>
        </w:rPr>
        <w:t>Additionally, the section on audits and taxes for the Application for Home and Community Based Services states that all applicants must submit past taxes and audits? Is this correct or is this a typo?</w:t>
      </w:r>
    </w:p>
    <w:p w14:paraId="3D39D775" w14:textId="77777777" w:rsidR="00E83C6A" w:rsidRDefault="00E83C6A" w:rsidP="00E83C6A">
      <w:pPr>
        <w:pStyle w:val="ListParagraph"/>
        <w:numPr>
          <w:ilvl w:val="0"/>
          <w:numId w:val="75"/>
        </w:numPr>
        <w:spacing w:line="278" w:lineRule="auto"/>
        <w:rPr>
          <w:rFonts w:eastAsia="Times New Roman" w:cstheme="minorHAnsi"/>
          <w:color w:val="000000"/>
          <w:kern w:val="0"/>
          <w14:ligatures w14:val="none"/>
        </w:rPr>
      </w:pPr>
      <w:r>
        <w:rPr>
          <w:rFonts w:eastAsia="Times New Roman" w:cstheme="minorHAnsi"/>
          <w:color w:val="000000"/>
          <w:kern w:val="0"/>
          <w14:ligatures w14:val="none"/>
        </w:rPr>
        <w:t>On Page 8 of Application for Lucas County Transportation Providers “</w:t>
      </w:r>
      <w:r w:rsidRPr="001850CE">
        <w:rPr>
          <w:rFonts w:eastAsia="Times New Roman" w:cstheme="minorHAnsi"/>
          <w:color w:val="000000"/>
          <w:kern w:val="0"/>
          <w14:ligatures w14:val="none"/>
        </w:rPr>
        <w:t>Last 2 years of audited financial statements and IRS tax returns (NEW providers)</w:t>
      </w:r>
      <w:r>
        <w:rPr>
          <w:rFonts w:eastAsia="Times New Roman" w:cstheme="minorHAnsi"/>
          <w:color w:val="000000"/>
          <w:kern w:val="0"/>
          <w14:ligatures w14:val="none"/>
        </w:rPr>
        <w:t>”</w:t>
      </w:r>
    </w:p>
    <w:p w14:paraId="6F0B6F1B" w14:textId="77777777" w:rsidR="00E83C6A" w:rsidRPr="004F1A3A" w:rsidRDefault="00E83C6A" w:rsidP="00E83C6A">
      <w:pPr>
        <w:pStyle w:val="ListParagraph"/>
        <w:numPr>
          <w:ilvl w:val="0"/>
          <w:numId w:val="75"/>
        </w:numPr>
        <w:spacing w:line="278" w:lineRule="auto"/>
        <w:rPr>
          <w:rFonts w:asciiTheme="minorHAnsi" w:eastAsia="Times New Roman" w:hAnsiTheme="minorHAnsi" w:cstheme="minorHAnsi"/>
          <w:color w:val="000000"/>
          <w:kern w:val="0"/>
          <w:sz w:val="24"/>
          <w:szCs w:val="24"/>
          <w14:ligatures w14:val="none"/>
        </w:rPr>
      </w:pPr>
      <w:r>
        <w:rPr>
          <w:rFonts w:eastAsia="Times New Roman" w:cstheme="minorHAnsi"/>
          <w:color w:val="000000"/>
          <w:kern w:val="0"/>
          <w14:ligatures w14:val="none"/>
        </w:rPr>
        <w:t>On Page 18 of Application for Community Based Services it states: “</w:t>
      </w:r>
      <w:r>
        <w:rPr>
          <w:rFonts w:ascii="ArialRegular" w:hAnsi="ArialRegular" w:cs="ArialRegular"/>
          <w:color w:val="6D6D72"/>
          <w:kern w:val="0"/>
        </w:rPr>
        <w:t>Submit last two years of audited Financial Statements and last three years of IRS tax return”</w:t>
      </w:r>
    </w:p>
    <w:p w14:paraId="24B24337" w14:textId="77777777" w:rsidR="00E83C6A" w:rsidRPr="004F1A3A" w:rsidRDefault="00E83C6A" w:rsidP="00E83C6A">
      <w:pPr>
        <w:pStyle w:val="ListParagraph"/>
        <w:numPr>
          <w:ilvl w:val="0"/>
          <w:numId w:val="85"/>
        </w:numPr>
        <w:spacing w:line="278" w:lineRule="auto"/>
        <w:rPr>
          <w:rFonts w:eastAsia="Times New Roman" w:cstheme="minorHAnsi"/>
          <w:color w:val="000000"/>
          <w:kern w:val="0"/>
          <w14:ligatures w14:val="none"/>
        </w:rPr>
      </w:pPr>
      <w:r>
        <w:rPr>
          <w:rFonts w:eastAsia="Times New Roman" w:cstheme="minorHAnsi"/>
          <w:color w:val="0F4761" w:themeColor="accent1" w:themeShade="BF"/>
          <w:kern w:val="0"/>
          <w14:ligatures w14:val="none"/>
        </w:rPr>
        <w:t>All new providers should submit the last two years of audited financial statements and IRS tax returns.</w:t>
      </w:r>
    </w:p>
    <w:p w14:paraId="0EE6F1F4" w14:textId="2C01BC44" w:rsidR="00AC51B4" w:rsidRPr="00AC51B4" w:rsidRDefault="00AC51B4" w:rsidP="00AC51B4">
      <w:pPr>
        <w:pStyle w:val="ListParagraph"/>
        <w:numPr>
          <w:ilvl w:val="0"/>
          <w:numId w:val="74"/>
        </w:numPr>
        <w:spacing w:line="278" w:lineRule="auto"/>
        <w:rPr>
          <w:rFonts w:eastAsia="Times New Roman" w:cstheme="minorHAnsi"/>
          <w:color w:val="000000"/>
          <w:kern w:val="0"/>
          <w14:ligatures w14:val="none"/>
        </w:rPr>
      </w:pPr>
      <w:r w:rsidRPr="00AC51B4">
        <w:rPr>
          <w:rFonts w:eastAsia="Times New Roman" w:cstheme="minorHAnsi"/>
          <w:color w:val="000000"/>
          <w:kern w:val="0"/>
          <w14:ligatures w14:val="none"/>
        </w:rPr>
        <w:lastRenderedPageBreak/>
        <w:t xml:space="preserve">We have 2 companies with 2 different EIN’s. Can we submit on one RFP for both companies </w:t>
      </w:r>
      <w:proofErr w:type="gramStart"/>
      <w:r w:rsidRPr="00AC51B4">
        <w:rPr>
          <w:rFonts w:eastAsia="Times New Roman" w:cstheme="minorHAnsi"/>
          <w:color w:val="000000"/>
          <w:kern w:val="0"/>
          <w14:ligatures w14:val="none"/>
        </w:rPr>
        <w:t>or</w:t>
      </w:r>
      <w:proofErr w:type="gramEnd"/>
      <w:r w:rsidRPr="00AC51B4">
        <w:rPr>
          <w:rFonts w:eastAsia="Times New Roman" w:cstheme="minorHAnsi"/>
          <w:color w:val="000000"/>
          <w:kern w:val="0"/>
          <w14:ligatures w14:val="none"/>
        </w:rPr>
        <w:t xml:space="preserve"> do we need to submit 2?</w:t>
      </w:r>
    </w:p>
    <w:p w14:paraId="4CDCC953" w14:textId="7B6DCE2A" w:rsidR="00AC51B4" w:rsidRPr="00AC51B4" w:rsidRDefault="00AC51B4" w:rsidP="00AC51B4">
      <w:pPr>
        <w:pStyle w:val="ListParagraph"/>
        <w:numPr>
          <w:ilvl w:val="0"/>
          <w:numId w:val="88"/>
        </w:numPr>
        <w:spacing w:after="0" w:line="240" w:lineRule="auto"/>
        <w:rPr>
          <w:rFonts w:ascii="Calibri" w:eastAsia="Times New Roman" w:hAnsi="Calibri" w:cs="Calibri"/>
          <w:color w:val="000000"/>
          <w:kern w:val="0"/>
          <w:sz w:val="24"/>
          <w:szCs w:val="24"/>
          <w14:ligatures w14:val="none"/>
        </w:rPr>
      </w:pPr>
      <w:r w:rsidRPr="00AC51B4">
        <w:rPr>
          <w:rFonts w:ascii="Calibri" w:eastAsia="Times New Roman" w:hAnsi="Calibri" w:cs="Calibri"/>
          <w:color w:val="0F4761" w:themeColor="accent1" w:themeShade="BF"/>
          <w:kern w:val="0"/>
          <w:sz w:val="24"/>
          <w:szCs w:val="24"/>
          <w14:ligatures w14:val="none"/>
        </w:rPr>
        <w:t>Each application/proposal requires one EIN.  Therefore, a separate application will need to be submitted for each company/EIN.</w:t>
      </w:r>
    </w:p>
    <w:p w14:paraId="4FAE4FC4" w14:textId="568E5D91" w:rsidR="0076535B" w:rsidRPr="00A81175" w:rsidRDefault="0076535B" w:rsidP="0076535B">
      <w:pPr>
        <w:rPr>
          <w:i/>
          <w:iCs/>
          <w:color w:val="215E99" w:themeColor="text2" w:themeTint="BF"/>
        </w:rPr>
      </w:pPr>
    </w:p>
    <w:p w14:paraId="7C8CE0CE" w14:textId="4035C7C9" w:rsidR="0054197F" w:rsidRPr="0054197F" w:rsidRDefault="0054197F" w:rsidP="0054197F">
      <w:r>
        <w:t>I</w:t>
      </w:r>
      <w:r w:rsidRPr="0054197F">
        <w:t>s a Pilot program just new to the center or new to anyone and no one else has?</w:t>
      </w:r>
    </w:p>
    <w:p w14:paraId="678A662C" w14:textId="77777777" w:rsidR="0054197F" w:rsidRPr="0054197F" w:rsidRDefault="0054197F" w:rsidP="0054197F">
      <w:pPr>
        <w:numPr>
          <w:ilvl w:val="0"/>
          <w:numId w:val="89"/>
        </w:numPr>
        <w:rPr>
          <w:color w:val="0F4761" w:themeColor="accent1" w:themeShade="BF"/>
        </w:rPr>
      </w:pPr>
      <w:r w:rsidRPr="0054197F">
        <w:rPr>
          <w:color w:val="0F4761" w:themeColor="accent1" w:themeShade="BF"/>
        </w:rPr>
        <w:t>A Pilot Program may be both something new to the center or new to the region.</w:t>
      </w:r>
    </w:p>
    <w:p w14:paraId="17A97919" w14:textId="77777777" w:rsidR="00076CFA" w:rsidRPr="00076CFA" w:rsidRDefault="00076CFA" w:rsidP="00076CFA">
      <w:r w:rsidRPr="00076CFA">
        <w:t>What does the In-Kind Personnel revenue item consist of? </w:t>
      </w:r>
    </w:p>
    <w:p w14:paraId="5C9A5188" w14:textId="77777777" w:rsidR="00076CFA" w:rsidRPr="00076CFA" w:rsidRDefault="00076CFA" w:rsidP="00076CFA">
      <w:pPr>
        <w:numPr>
          <w:ilvl w:val="0"/>
          <w:numId w:val="90"/>
        </w:numPr>
        <w:rPr>
          <w:rFonts w:ascii="Calibri" w:hAnsi="Calibri" w:cs="Calibri"/>
          <w:i/>
          <w:iCs/>
          <w:color w:val="0F4761" w:themeColor="accent1" w:themeShade="BF"/>
          <w:sz w:val="24"/>
          <w:szCs w:val="24"/>
        </w:rPr>
      </w:pPr>
      <w:r w:rsidRPr="00076CFA">
        <w:rPr>
          <w:rFonts w:ascii="Calibri" w:hAnsi="Calibri" w:cs="Calibri"/>
          <w:color w:val="0F4761" w:themeColor="accent1" w:themeShade="BF"/>
          <w:sz w:val="24"/>
          <w:szCs w:val="24"/>
        </w:rPr>
        <w:t xml:space="preserve">Please reference pages 30-31 of the Overview and Instructions.  </w:t>
      </w:r>
      <w:r w:rsidRPr="00076CFA">
        <w:rPr>
          <w:rFonts w:ascii="Calibri" w:hAnsi="Calibri" w:cs="Calibri"/>
          <w:i/>
          <w:iCs/>
          <w:color w:val="0F4761" w:themeColor="accent1" w:themeShade="BF"/>
          <w:sz w:val="24"/>
          <w:szCs w:val="24"/>
        </w:rPr>
        <w:t>The budgeted In-kind Expenses should be the same as the In-kind Revenue</w:t>
      </w:r>
      <w:r w:rsidRPr="00076CFA">
        <w:rPr>
          <w:rFonts w:ascii="Calibri" w:hAnsi="Calibri" w:cs="Calibri"/>
          <w:color w:val="0F4761" w:themeColor="accent1" w:themeShade="BF"/>
          <w:sz w:val="24"/>
          <w:szCs w:val="24"/>
        </w:rPr>
        <w:t xml:space="preserve">. </w:t>
      </w:r>
      <w:r w:rsidRPr="00076CFA">
        <w:rPr>
          <w:rFonts w:ascii="Calibri" w:hAnsi="Calibri" w:cs="Calibri"/>
          <w:bCs/>
          <w:i/>
          <w:iCs/>
          <w:color w:val="0F4761" w:themeColor="accent1" w:themeShade="BF"/>
          <w:sz w:val="24"/>
          <w:szCs w:val="24"/>
        </w:rPr>
        <w:t>Examples of in-kind contributions:</w:t>
      </w:r>
    </w:p>
    <w:p w14:paraId="77BBC0BA" w14:textId="77777777" w:rsidR="00076CFA" w:rsidRPr="00076CFA" w:rsidRDefault="00076CFA" w:rsidP="00076CFA">
      <w:pPr>
        <w:numPr>
          <w:ilvl w:val="0"/>
          <w:numId w:val="91"/>
        </w:numPr>
        <w:rPr>
          <w:rFonts w:ascii="Calibri" w:hAnsi="Calibri" w:cs="Calibri"/>
          <w:i/>
          <w:iCs/>
          <w:color w:val="0F4761" w:themeColor="accent1" w:themeShade="BF"/>
          <w:sz w:val="24"/>
          <w:szCs w:val="24"/>
        </w:rPr>
      </w:pPr>
      <w:r w:rsidRPr="00076CFA">
        <w:rPr>
          <w:rFonts w:ascii="Calibri" w:hAnsi="Calibri" w:cs="Calibri"/>
          <w:i/>
          <w:iCs/>
          <w:color w:val="0F4761" w:themeColor="accent1" w:themeShade="BF"/>
          <w:sz w:val="24"/>
          <w:szCs w:val="24"/>
        </w:rPr>
        <w:t xml:space="preserve">volunteer services (a reasonable hourly rate applied to a volunteer’s time multiplied by the number of hours he/she works). For example, advisory/grievance council members, kitchen help, servers, receptionist, HDM drivers. </w:t>
      </w:r>
    </w:p>
    <w:p w14:paraId="78DD9907" w14:textId="77777777" w:rsidR="00076CFA" w:rsidRPr="00076CFA" w:rsidRDefault="00076CFA" w:rsidP="00076CFA">
      <w:pPr>
        <w:numPr>
          <w:ilvl w:val="0"/>
          <w:numId w:val="91"/>
        </w:numPr>
        <w:rPr>
          <w:rFonts w:ascii="Calibri" w:hAnsi="Calibri" w:cs="Calibri"/>
          <w:i/>
          <w:iCs/>
          <w:color w:val="0F4761" w:themeColor="accent1" w:themeShade="BF"/>
          <w:sz w:val="24"/>
          <w:szCs w:val="24"/>
        </w:rPr>
      </w:pPr>
      <w:r w:rsidRPr="00076CFA">
        <w:rPr>
          <w:rFonts w:ascii="Calibri" w:hAnsi="Calibri" w:cs="Calibri"/>
          <w:i/>
          <w:iCs/>
          <w:color w:val="0F4761" w:themeColor="accent1" w:themeShade="BF"/>
          <w:sz w:val="24"/>
          <w:szCs w:val="24"/>
        </w:rPr>
        <w:t xml:space="preserve">donated </w:t>
      </w:r>
      <w:proofErr w:type="gramStart"/>
      <w:r w:rsidRPr="00076CFA">
        <w:rPr>
          <w:rFonts w:ascii="Calibri" w:hAnsi="Calibri" w:cs="Calibri"/>
          <w:i/>
          <w:iCs/>
          <w:color w:val="0F4761" w:themeColor="accent1" w:themeShade="BF"/>
          <w:sz w:val="24"/>
          <w:szCs w:val="24"/>
        </w:rPr>
        <w:t>time of employees</w:t>
      </w:r>
      <w:proofErr w:type="gramEnd"/>
      <w:r w:rsidRPr="00076CFA">
        <w:rPr>
          <w:rFonts w:ascii="Calibri" w:hAnsi="Calibri" w:cs="Calibri"/>
          <w:i/>
          <w:iCs/>
          <w:color w:val="0F4761" w:themeColor="accent1" w:themeShade="BF"/>
          <w:sz w:val="24"/>
          <w:szCs w:val="24"/>
        </w:rPr>
        <w:t xml:space="preserve"> from other organizations (salaries or positions must not be supported by Federal funds). </w:t>
      </w:r>
    </w:p>
    <w:p w14:paraId="68448C50" w14:textId="77777777" w:rsidR="00076CFA" w:rsidRPr="00076CFA" w:rsidRDefault="00076CFA" w:rsidP="00076CFA">
      <w:pPr>
        <w:numPr>
          <w:ilvl w:val="0"/>
          <w:numId w:val="91"/>
        </w:numPr>
        <w:rPr>
          <w:rFonts w:ascii="Calibri" w:hAnsi="Calibri" w:cs="Calibri"/>
          <w:i/>
          <w:iCs/>
          <w:color w:val="0F4761" w:themeColor="accent1" w:themeShade="BF"/>
          <w:sz w:val="24"/>
          <w:szCs w:val="24"/>
        </w:rPr>
      </w:pPr>
      <w:r w:rsidRPr="00076CFA">
        <w:rPr>
          <w:rFonts w:ascii="Calibri" w:hAnsi="Calibri" w:cs="Calibri"/>
          <w:i/>
          <w:iCs/>
          <w:color w:val="0F4761" w:themeColor="accent1" w:themeShade="BF"/>
          <w:sz w:val="24"/>
          <w:szCs w:val="24"/>
        </w:rPr>
        <w:t xml:space="preserve">unpaid interns or fellows. </w:t>
      </w:r>
    </w:p>
    <w:p w14:paraId="1251841D" w14:textId="77777777" w:rsidR="000C4E29" w:rsidRPr="000C4E29" w:rsidRDefault="000C4E29" w:rsidP="000C4E29">
      <w:r w:rsidRPr="000C4E29">
        <w:t xml:space="preserve">Will we be </w:t>
      </w:r>
      <w:proofErr w:type="gramStart"/>
      <w:r w:rsidRPr="000C4E29">
        <w:t>submitting an application</w:t>
      </w:r>
      <w:proofErr w:type="gramEnd"/>
      <w:r w:rsidRPr="000C4E29">
        <w:t xml:space="preserve"> for a 4-year grant (through December 31, 2030)?  Some preliminary conversations we had previously indicated a 3-year grant.</w:t>
      </w:r>
    </w:p>
    <w:p w14:paraId="5C460AE0" w14:textId="77777777" w:rsidR="000C4E29" w:rsidRPr="000C4E29" w:rsidRDefault="000C4E29" w:rsidP="000C4E29">
      <w:pPr>
        <w:numPr>
          <w:ilvl w:val="0"/>
          <w:numId w:val="92"/>
        </w:numPr>
        <w:rPr>
          <w:color w:val="0F4761" w:themeColor="accent1" w:themeShade="BF"/>
        </w:rPr>
      </w:pPr>
      <w:r w:rsidRPr="000C4E29">
        <w:rPr>
          <w:color w:val="0F4761" w:themeColor="accent1" w:themeShade="BF"/>
        </w:rPr>
        <w:t xml:space="preserve">This request for proposal is for </w:t>
      </w:r>
      <w:proofErr w:type="gramStart"/>
      <w:r w:rsidRPr="000C4E29">
        <w:rPr>
          <w:color w:val="0F4761" w:themeColor="accent1" w:themeShade="BF"/>
        </w:rPr>
        <w:t>4-years</w:t>
      </w:r>
      <w:proofErr w:type="gramEnd"/>
      <w:r w:rsidRPr="000C4E29">
        <w:rPr>
          <w:color w:val="0F4761" w:themeColor="accent1" w:themeShade="BF"/>
        </w:rPr>
        <w:t>.  For the OAA HCBS proposal, the contracts are renewed and funding allocated every year as approved by the AOoA Board of Directors.</w:t>
      </w:r>
    </w:p>
    <w:p w14:paraId="061C1203" w14:textId="77777777" w:rsidR="000C4E29" w:rsidRPr="000C4E29" w:rsidRDefault="000C4E29" w:rsidP="000C4E29"/>
    <w:p w14:paraId="7DEBC05F" w14:textId="77777777" w:rsidR="000C4E29" w:rsidRPr="000C4E29" w:rsidRDefault="000C4E29" w:rsidP="000C4E29">
      <w:r w:rsidRPr="000C4E29">
        <w:t>Also, are the actual out-of-pocket expenses we incur delivering services to our seniors the only items that are reimbursable under the grant?  If so, then does the value of our volunteer hours count as our matching funds?</w:t>
      </w:r>
    </w:p>
    <w:p w14:paraId="5840010F" w14:textId="77777777" w:rsidR="000C4E29" w:rsidRPr="000C4E29" w:rsidRDefault="000C4E29" w:rsidP="000C4E29">
      <w:pPr>
        <w:numPr>
          <w:ilvl w:val="0"/>
          <w:numId w:val="93"/>
        </w:numPr>
        <w:rPr>
          <w:i/>
          <w:iCs/>
          <w:color w:val="0F4761" w:themeColor="accent1" w:themeShade="BF"/>
        </w:rPr>
      </w:pPr>
      <w:r w:rsidRPr="000C4E29">
        <w:rPr>
          <w:color w:val="0F4761" w:themeColor="accent1" w:themeShade="BF"/>
        </w:rPr>
        <w:t xml:space="preserve">Please reference pages 30-32 of the Overview and Instructions for detailed guidance about in-kind </w:t>
      </w:r>
      <w:proofErr w:type="gramStart"/>
      <w:r w:rsidRPr="000C4E29">
        <w:rPr>
          <w:color w:val="0F4761" w:themeColor="accent1" w:themeShade="BF"/>
        </w:rPr>
        <w:t>match</w:t>
      </w:r>
      <w:proofErr w:type="gramEnd"/>
      <w:r w:rsidRPr="000C4E29">
        <w:rPr>
          <w:color w:val="0F4761" w:themeColor="accent1" w:themeShade="BF"/>
        </w:rPr>
        <w:t xml:space="preserve">.  </w:t>
      </w:r>
      <w:r w:rsidRPr="000C4E29">
        <w:rPr>
          <w:i/>
          <w:iCs/>
          <w:color w:val="0F4761" w:themeColor="accent1" w:themeShade="BF"/>
        </w:rPr>
        <w:t xml:space="preserve">The budgeted In-kind Expenses should be the same as the In-kind Revenue. </w:t>
      </w:r>
      <w:r w:rsidRPr="000C4E29">
        <w:rPr>
          <w:color w:val="0F4761" w:themeColor="accent1" w:themeShade="BF"/>
        </w:rPr>
        <w:t>The budget example on page 32 includes in-kind personnel, i.e. volunteer hours to provide the service.  In-kind volunteer hours may count as matching funds.</w:t>
      </w:r>
    </w:p>
    <w:p w14:paraId="2A7582BA" w14:textId="10B00E11" w:rsidR="000C4E29" w:rsidRDefault="008C3618" w:rsidP="000C4E29">
      <w:pPr>
        <w:rPr>
          <w:sz w:val="24"/>
          <w:szCs w:val="24"/>
        </w:rPr>
      </w:pPr>
      <w:r>
        <w:rPr>
          <w:sz w:val="24"/>
          <w:szCs w:val="24"/>
        </w:rPr>
        <w:t>I am a home repair/home modification provider.  How do I respond to the unit rate?  How do I respond to the total amount of funds requested?</w:t>
      </w:r>
    </w:p>
    <w:p w14:paraId="4FF71CFF" w14:textId="2E35A090" w:rsidR="008C3618" w:rsidRDefault="008C3618" w:rsidP="008C3618">
      <w:pPr>
        <w:pStyle w:val="ListParagraph"/>
        <w:numPr>
          <w:ilvl w:val="0"/>
          <w:numId w:val="94"/>
        </w:numPr>
        <w:rPr>
          <w:color w:val="0F4761" w:themeColor="accent1" w:themeShade="BF"/>
          <w:sz w:val="24"/>
          <w:szCs w:val="24"/>
        </w:rPr>
      </w:pPr>
      <w:r>
        <w:rPr>
          <w:color w:val="0F4761" w:themeColor="accent1" w:themeShade="BF"/>
          <w:sz w:val="24"/>
          <w:szCs w:val="24"/>
        </w:rPr>
        <w:t xml:space="preserve">Home repair/home modification services are included in the OAA HCBS proposal and the Caregiver Support and Plan4Home Application.  There is no set unit rate for this service.  It varies based upon the actual cost for the repair.  A </w:t>
      </w:r>
      <w:r>
        <w:rPr>
          <w:color w:val="0F4761" w:themeColor="accent1" w:themeShade="BF"/>
          <w:sz w:val="24"/>
          <w:szCs w:val="24"/>
        </w:rPr>
        <w:lastRenderedPageBreak/>
        <w:t xml:space="preserve">quote is submitted to the AOoA for approval prior to completing the home repair.  </w:t>
      </w:r>
    </w:p>
    <w:p w14:paraId="1F369C00" w14:textId="558EBDBA" w:rsidR="006A7401" w:rsidRDefault="008C3618" w:rsidP="00641E16">
      <w:pPr>
        <w:pStyle w:val="ListParagraph"/>
        <w:numPr>
          <w:ilvl w:val="0"/>
          <w:numId w:val="94"/>
        </w:numPr>
      </w:pPr>
      <w:r w:rsidRPr="00A43E27">
        <w:rPr>
          <w:color w:val="0F4761" w:themeColor="accent1" w:themeShade="BF"/>
          <w:sz w:val="24"/>
          <w:szCs w:val="24"/>
        </w:rPr>
        <w:t xml:space="preserve">For the Caregiver Support and Plan4Home program referrals for home repair/home modification are sent to the provider.  </w:t>
      </w:r>
      <w:r w:rsidRPr="00A43E27">
        <w:rPr>
          <w:color w:val="0F4761" w:themeColor="accent1" w:themeShade="BF"/>
          <w:sz w:val="24"/>
          <w:szCs w:val="24"/>
        </w:rPr>
        <w:t xml:space="preserve">Therefore, </w:t>
      </w:r>
      <w:r w:rsidR="00A43E27" w:rsidRPr="00A43E27">
        <w:rPr>
          <w:color w:val="0F4761" w:themeColor="accent1" w:themeShade="BF"/>
          <w:sz w:val="24"/>
          <w:szCs w:val="24"/>
        </w:rPr>
        <w:t>the total amount</w:t>
      </w:r>
      <w:r w:rsidRPr="00A43E27">
        <w:rPr>
          <w:color w:val="0F4761" w:themeColor="accent1" w:themeShade="BF"/>
          <w:sz w:val="24"/>
          <w:szCs w:val="24"/>
        </w:rPr>
        <w:t xml:space="preserve"> of </w:t>
      </w:r>
      <w:r w:rsidR="00A43E27" w:rsidRPr="00A43E27">
        <w:rPr>
          <w:color w:val="0F4761" w:themeColor="accent1" w:themeShade="BF"/>
          <w:sz w:val="24"/>
          <w:szCs w:val="24"/>
        </w:rPr>
        <w:t>funds requested</w:t>
      </w:r>
      <w:r w:rsidRPr="00A43E27">
        <w:rPr>
          <w:color w:val="0F4761" w:themeColor="accent1" w:themeShade="BF"/>
          <w:sz w:val="24"/>
          <w:szCs w:val="24"/>
        </w:rPr>
        <w:t xml:space="preserve"> is not included in the application.  For the OAA HCBS proposal, providers are allocated funds each year to complete home repairs/home modifications.  The provider should list in the proposal the total amount of funds they are requesting to complete repairs.  </w:t>
      </w:r>
    </w:p>
    <w:p w14:paraId="5D04175D" w14:textId="77777777" w:rsidR="001F6366" w:rsidRPr="001F6366" w:rsidRDefault="001F6366" w:rsidP="001F6366">
      <w:r w:rsidRPr="001F6366">
        <w:t>On our proposal bid do we submit a yearly estimate, or per job estimate? If we are giving an annual estimate, how would we determine how many clients we would be doing monthly to determine a yearly estimate? Thank you for your time in this matter.</w:t>
      </w:r>
    </w:p>
    <w:p w14:paraId="0101211B" w14:textId="77777777" w:rsidR="001F6366" w:rsidRPr="001F6366" w:rsidRDefault="001F6366" w:rsidP="001F6366"/>
    <w:p w14:paraId="235FC5E1" w14:textId="77777777" w:rsidR="001F6366" w:rsidRPr="001F6366" w:rsidRDefault="001F6366" w:rsidP="001F6366">
      <w:pPr>
        <w:numPr>
          <w:ilvl w:val="0"/>
          <w:numId w:val="95"/>
        </w:numPr>
        <w:rPr>
          <w:color w:val="0F4761" w:themeColor="accent1" w:themeShade="BF"/>
        </w:rPr>
      </w:pPr>
      <w:r w:rsidRPr="001F6366">
        <w:rPr>
          <w:color w:val="0F4761" w:themeColor="accent1" w:themeShade="BF"/>
        </w:rPr>
        <w:t xml:space="preserve">The unit for </w:t>
      </w:r>
      <w:proofErr w:type="gramStart"/>
      <w:r w:rsidRPr="001F6366">
        <w:rPr>
          <w:color w:val="0F4761" w:themeColor="accent1" w:themeShade="BF"/>
        </w:rPr>
        <w:t>chore</w:t>
      </w:r>
      <w:proofErr w:type="gramEnd"/>
      <w:r w:rsidRPr="001F6366">
        <w:rPr>
          <w:color w:val="0F4761" w:themeColor="accent1" w:themeShade="BF"/>
        </w:rPr>
        <w:t xml:space="preserve"> is one hour of service provided, excluding pest control.  The rate for pest control is negotiable and is subject to approval by the AOoA before the service is provided.  For the OAA HCBS proposal, the provider is responsible for finding eligible participants and managing funds allocated for services annually.  Please provide the estimated amount of total funds you will need for the year based upon the number of individuals you think you will serve. </w:t>
      </w:r>
    </w:p>
    <w:p w14:paraId="0A9153E6" w14:textId="1CB09C57" w:rsidR="006D60FC" w:rsidRDefault="006D60FC" w:rsidP="006D60FC">
      <w:r w:rsidRPr="006D60FC">
        <w:t>I have been doing a pilot program for nearly two years for nutrition and soc/rec. Do I submit the request for funding for this project in the general application or as a separate pilot project?</w:t>
      </w:r>
    </w:p>
    <w:p w14:paraId="2B470C6F" w14:textId="3A2C3B04" w:rsidR="00862575" w:rsidRDefault="006D60FC" w:rsidP="006D60FC">
      <w:pPr>
        <w:pStyle w:val="ListParagraph"/>
        <w:numPr>
          <w:ilvl w:val="0"/>
          <w:numId w:val="97"/>
        </w:numPr>
        <w:rPr>
          <w:color w:val="0F4761" w:themeColor="accent1" w:themeShade="BF"/>
        </w:rPr>
      </w:pPr>
      <w:r w:rsidRPr="006D60FC">
        <w:rPr>
          <w:color w:val="0F4761" w:themeColor="accent1" w:themeShade="BF"/>
        </w:rPr>
        <w:t>Please include the funding for nutrition and soc/rec in your OAA HCBS application.  The pilot project funding is for new programs.</w:t>
      </w:r>
    </w:p>
    <w:p w14:paraId="0FC0E2AB" w14:textId="77777777" w:rsidR="00BA211F" w:rsidRPr="00BA211F" w:rsidRDefault="00BA211F" w:rsidP="00BA211F">
      <w:r w:rsidRPr="00BA211F">
        <w:t xml:space="preserve">I do not see anything referring to the current service we provide of Social Work/Counseling for </w:t>
      </w:r>
      <w:proofErr w:type="spellStart"/>
      <w:r w:rsidRPr="00BA211F">
        <w:t>Passort</w:t>
      </w:r>
      <w:proofErr w:type="spellEnd"/>
      <w:r w:rsidRPr="00BA211F">
        <w:t>? Can you clarify this for me please.</w:t>
      </w:r>
    </w:p>
    <w:p w14:paraId="0BBE977B" w14:textId="77777777" w:rsidR="00BA211F" w:rsidRPr="00BA211F" w:rsidRDefault="00BA211F" w:rsidP="00BA211F">
      <w:pPr>
        <w:numPr>
          <w:ilvl w:val="0"/>
          <w:numId w:val="98"/>
        </w:numPr>
        <w:rPr>
          <w:color w:val="215E99" w:themeColor="text2" w:themeTint="BF"/>
        </w:rPr>
      </w:pPr>
      <w:r w:rsidRPr="00BA211F">
        <w:rPr>
          <w:color w:val="215E99" w:themeColor="text2" w:themeTint="BF"/>
        </w:rPr>
        <w:t xml:space="preserve">The 2027-2030 OAA HCBS RFP is not for PASSPORT.  However, you may submit a Caregiver Support and Plan4Home application to provide counseling.  </w:t>
      </w:r>
    </w:p>
    <w:p w14:paraId="2B3210CB" w14:textId="3CADAD6F" w:rsidR="00531104" w:rsidRDefault="00531104" w:rsidP="00531104">
      <w:r>
        <w:t>I’m applying to renew our Caregiver Support relationshi</w:t>
      </w:r>
      <w:r>
        <w:t>p</w:t>
      </w:r>
      <w:r>
        <w:t>, and I’m not sure what to put under the first question of Award Requested, because everything we do is based on bids. Should I just put a dollar or something?</w:t>
      </w:r>
    </w:p>
    <w:p w14:paraId="76CBEF88" w14:textId="77777777" w:rsidR="00531104" w:rsidRPr="00531104" w:rsidRDefault="00531104" w:rsidP="00531104">
      <w:pPr>
        <w:pStyle w:val="ListParagraph"/>
        <w:numPr>
          <w:ilvl w:val="0"/>
          <w:numId w:val="100"/>
        </w:numPr>
        <w:rPr>
          <w:color w:val="215E99" w:themeColor="text2" w:themeTint="BF"/>
        </w:rPr>
      </w:pPr>
      <w:r w:rsidRPr="00531104">
        <w:rPr>
          <w:color w:val="215E99" w:themeColor="text2" w:themeTint="BF"/>
        </w:rPr>
        <w:t xml:space="preserve">Yes, putting $1 in for the requested amount is appropriate for bid-based services. You’ll likely run into a question about unit rates in the service specific part of the application, and $1 would be appropriate there as well. </w:t>
      </w:r>
    </w:p>
    <w:p w14:paraId="29C60A59" w14:textId="1D8EE352" w:rsidR="00BA211F" w:rsidRPr="00531104" w:rsidRDefault="00BA211F" w:rsidP="00531104">
      <w:pPr>
        <w:pStyle w:val="ListParagraph"/>
        <w:rPr>
          <w:color w:val="0F4761" w:themeColor="accent1" w:themeShade="BF"/>
        </w:rPr>
      </w:pPr>
    </w:p>
    <w:p w14:paraId="0921B0DC" w14:textId="77777777" w:rsidR="00BA211F" w:rsidRPr="00BA211F" w:rsidRDefault="00BA211F" w:rsidP="00BA211F">
      <w:pPr>
        <w:rPr>
          <w:color w:val="0F4761" w:themeColor="accent1" w:themeShade="BF"/>
        </w:rPr>
      </w:pPr>
    </w:p>
    <w:sectPr w:rsidR="00BA211F" w:rsidRPr="00BA211F">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0047E" w14:textId="77777777" w:rsidR="00055A30" w:rsidRDefault="00055A30" w:rsidP="00EE2236">
      <w:pPr>
        <w:spacing w:after="0" w:line="240" w:lineRule="auto"/>
      </w:pPr>
      <w:r>
        <w:separator/>
      </w:r>
    </w:p>
  </w:endnote>
  <w:endnote w:type="continuationSeparator" w:id="0">
    <w:p w14:paraId="6EE9689A" w14:textId="77777777" w:rsidR="00055A30" w:rsidRDefault="00055A30" w:rsidP="00EE2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Regular">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D5FD7" w14:textId="77777777" w:rsidR="00055A30" w:rsidRDefault="00055A30" w:rsidP="00EE2236">
      <w:pPr>
        <w:spacing w:after="0" w:line="240" w:lineRule="auto"/>
      </w:pPr>
      <w:r>
        <w:separator/>
      </w:r>
    </w:p>
  </w:footnote>
  <w:footnote w:type="continuationSeparator" w:id="0">
    <w:p w14:paraId="3E558DE4" w14:textId="77777777" w:rsidR="00055A30" w:rsidRDefault="00055A30" w:rsidP="00EE2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6AFF4" w14:textId="561E83AB" w:rsidR="002153EA" w:rsidRDefault="002153EA" w:rsidP="002153EA">
    <w:pPr>
      <w:pStyle w:val="Header"/>
      <w:jc w:val="center"/>
    </w:pPr>
    <w:r>
      <w:t>AOoA 2027-2030 OAA HCBS RFP Questions</w:t>
    </w:r>
  </w:p>
  <w:p w14:paraId="45C242CC" w14:textId="77777777" w:rsidR="002153EA" w:rsidRDefault="00215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43E"/>
    <w:multiLevelType w:val="hybridMultilevel"/>
    <w:tmpl w:val="4D8422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B5FD3"/>
    <w:multiLevelType w:val="hybridMultilevel"/>
    <w:tmpl w:val="45E4B966"/>
    <w:lvl w:ilvl="0" w:tplc="B23059E6">
      <w:start w:val="1"/>
      <w:numFmt w:val="upperLetter"/>
      <w:lvlText w:val="%1."/>
      <w:lvlJc w:val="left"/>
      <w:pPr>
        <w:ind w:left="1080" w:hanging="360"/>
      </w:pPr>
      <w:rPr>
        <w:rFonts w:ascii="Segoe UI" w:hAnsi="Segoe UI" w:cs="Segoe UI"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44346"/>
    <w:multiLevelType w:val="hybridMultilevel"/>
    <w:tmpl w:val="0EB23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20DCD"/>
    <w:multiLevelType w:val="hybridMultilevel"/>
    <w:tmpl w:val="7A56B746"/>
    <w:lvl w:ilvl="0" w:tplc="56682C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592BF3"/>
    <w:multiLevelType w:val="hybridMultilevel"/>
    <w:tmpl w:val="10EC69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8F3772"/>
    <w:multiLevelType w:val="multilevel"/>
    <w:tmpl w:val="81EE07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7964075"/>
    <w:multiLevelType w:val="hybridMultilevel"/>
    <w:tmpl w:val="DD082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CA677D"/>
    <w:multiLevelType w:val="hybridMultilevel"/>
    <w:tmpl w:val="92FAF5C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9595BCB"/>
    <w:multiLevelType w:val="hybridMultilevel"/>
    <w:tmpl w:val="57D03FAC"/>
    <w:lvl w:ilvl="0" w:tplc="CAEE98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DB63BA7"/>
    <w:multiLevelType w:val="hybridMultilevel"/>
    <w:tmpl w:val="FBE2B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770DAA"/>
    <w:multiLevelType w:val="hybridMultilevel"/>
    <w:tmpl w:val="37483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402461"/>
    <w:multiLevelType w:val="hybridMultilevel"/>
    <w:tmpl w:val="DBACEB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1D0C93"/>
    <w:multiLevelType w:val="hybridMultilevel"/>
    <w:tmpl w:val="DCE02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826C9A"/>
    <w:multiLevelType w:val="multilevel"/>
    <w:tmpl w:val="445A8C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8733AF2"/>
    <w:multiLevelType w:val="multilevel"/>
    <w:tmpl w:val="2C448C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A0722E2"/>
    <w:multiLevelType w:val="hybridMultilevel"/>
    <w:tmpl w:val="7BCA9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E72E73"/>
    <w:multiLevelType w:val="hybridMultilevel"/>
    <w:tmpl w:val="483CA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F0112AD"/>
    <w:multiLevelType w:val="hybridMultilevel"/>
    <w:tmpl w:val="F7786070"/>
    <w:lvl w:ilvl="0" w:tplc="901CFE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F744F9F"/>
    <w:multiLevelType w:val="hybridMultilevel"/>
    <w:tmpl w:val="52527E2C"/>
    <w:lvl w:ilvl="0" w:tplc="6F6AB1B0">
      <w:start w:val="1"/>
      <w:numFmt w:val="upperLetter"/>
      <w:lvlText w:val="%1."/>
      <w:lvlJc w:val="left"/>
      <w:pPr>
        <w:ind w:left="1080" w:hanging="360"/>
      </w:pPr>
      <w:rPr>
        <w:rFonts w:hint="default"/>
        <w:color w:val="156082" w:themeColor="accen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09E74F9"/>
    <w:multiLevelType w:val="hybridMultilevel"/>
    <w:tmpl w:val="BC5A4D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2C64572"/>
    <w:multiLevelType w:val="hybridMultilevel"/>
    <w:tmpl w:val="F16C82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2D3E2C"/>
    <w:multiLevelType w:val="hybridMultilevel"/>
    <w:tmpl w:val="079648C8"/>
    <w:lvl w:ilvl="0" w:tplc="267A80A0">
      <w:start w:val="1"/>
      <w:numFmt w:val="upp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6A25F23"/>
    <w:multiLevelType w:val="hybridMultilevel"/>
    <w:tmpl w:val="ECDC5EAA"/>
    <w:lvl w:ilvl="0" w:tplc="17F46FB4">
      <w:start w:val="1"/>
      <w:numFmt w:val="upperLetter"/>
      <w:lvlText w:val="%1."/>
      <w:lvlJc w:val="left"/>
      <w:pPr>
        <w:ind w:left="720" w:hanging="360"/>
      </w:pPr>
      <w:rPr>
        <w:rFonts w:hint="default"/>
        <w:color w:val="215E99" w:themeColor="text2" w:themeTint="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E713AA"/>
    <w:multiLevelType w:val="hybridMultilevel"/>
    <w:tmpl w:val="CB02ACB2"/>
    <w:lvl w:ilvl="0" w:tplc="182CCF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7E47FD9"/>
    <w:multiLevelType w:val="hybridMultilevel"/>
    <w:tmpl w:val="C240AECA"/>
    <w:lvl w:ilvl="0" w:tplc="0276CE02">
      <w:start w:val="1"/>
      <w:numFmt w:val="upperLetter"/>
      <w:lvlText w:val="%1."/>
      <w:lvlJc w:val="left"/>
      <w:pPr>
        <w:ind w:left="1080" w:hanging="360"/>
      </w:pPr>
      <w:rPr>
        <w:rFonts w:hint="default"/>
        <w:color w:val="215E99" w:themeColor="text2" w:themeTint="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95D0658"/>
    <w:multiLevelType w:val="hybridMultilevel"/>
    <w:tmpl w:val="0BF04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9C7E51"/>
    <w:multiLevelType w:val="hybridMultilevel"/>
    <w:tmpl w:val="B10CB4C6"/>
    <w:lvl w:ilvl="0" w:tplc="FD1A5B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B755ABD"/>
    <w:multiLevelType w:val="hybridMultilevel"/>
    <w:tmpl w:val="B99C37E4"/>
    <w:lvl w:ilvl="0" w:tplc="726AB6FE">
      <w:start w:val="1"/>
      <w:numFmt w:val="upperLetter"/>
      <w:lvlText w:val="%1."/>
      <w:lvlJc w:val="left"/>
      <w:pPr>
        <w:ind w:left="810" w:hanging="360"/>
      </w:pPr>
      <w:rPr>
        <w:color w:val="215E99" w:themeColor="text2" w:themeTint="BF"/>
        <w14:textFill>
          <w14:solidFill>
            <w14:srgbClr w14:val="000000"/>
          </w14:solidFill>
        </w14:textFill>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8" w15:restartNumberingAfterBreak="0">
    <w:nsid w:val="2D0309D4"/>
    <w:multiLevelType w:val="hybridMultilevel"/>
    <w:tmpl w:val="62AE3CE6"/>
    <w:lvl w:ilvl="0" w:tplc="CF92CC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DE144D2"/>
    <w:multiLevelType w:val="hybridMultilevel"/>
    <w:tmpl w:val="14844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A45381"/>
    <w:multiLevelType w:val="hybridMultilevel"/>
    <w:tmpl w:val="273EEDB2"/>
    <w:lvl w:ilvl="0" w:tplc="01C651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08D58F8"/>
    <w:multiLevelType w:val="hybridMultilevel"/>
    <w:tmpl w:val="EB9E9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C1077F"/>
    <w:multiLevelType w:val="hybridMultilevel"/>
    <w:tmpl w:val="B2C263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33557DA2"/>
    <w:multiLevelType w:val="hybridMultilevel"/>
    <w:tmpl w:val="4CE66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C07F34"/>
    <w:multiLevelType w:val="hybridMultilevel"/>
    <w:tmpl w:val="F4DE7170"/>
    <w:lvl w:ilvl="0" w:tplc="F0C2FB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4D922A4"/>
    <w:multiLevelType w:val="hybridMultilevel"/>
    <w:tmpl w:val="5290CA32"/>
    <w:lvl w:ilvl="0" w:tplc="705296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4F72007"/>
    <w:multiLevelType w:val="multilevel"/>
    <w:tmpl w:val="D9D2EF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363F51E9"/>
    <w:multiLevelType w:val="hybridMultilevel"/>
    <w:tmpl w:val="A64C37BA"/>
    <w:lvl w:ilvl="0" w:tplc="6696E7B8">
      <w:start w:val="1"/>
      <w:numFmt w:val="upperLetter"/>
      <w:lvlText w:val="%1."/>
      <w:lvlJc w:val="left"/>
      <w:pPr>
        <w:ind w:left="720" w:hanging="360"/>
      </w:pPr>
      <w:rPr>
        <w:color w:val="0F4761" w:themeColor="accent1" w:themeShade="B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36465F4C"/>
    <w:multiLevelType w:val="hybridMultilevel"/>
    <w:tmpl w:val="2A848F42"/>
    <w:lvl w:ilvl="0" w:tplc="5A30681A">
      <w:start w:val="1"/>
      <w:numFmt w:val="upperLetter"/>
      <w:lvlText w:val="%1."/>
      <w:lvlJc w:val="left"/>
      <w:pPr>
        <w:ind w:left="720" w:hanging="360"/>
      </w:pPr>
      <w:rPr>
        <w:rFonts w:ascii="Aptos" w:eastAsia="Times New Roman" w:hAnsi="Aptos" w:cs="Apto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36B8609C"/>
    <w:multiLevelType w:val="hybridMultilevel"/>
    <w:tmpl w:val="4F1A2570"/>
    <w:lvl w:ilvl="0" w:tplc="AC408B28">
      <w:start w:val="1"/>
      <w:numFmt w:val="upperLetter"/>
      <w:lvlText w:val="%1."/>
      <w:lvlJc w:val="left"/>
      <w:pPr>
        <w:ind w:left="1440" w:hanging="360"/>
      </w:pPr>
      <w:rPr>
        <w:rFonts w:hint="default"/>
        <w:color w:val="215E99" w:themeColor="text2" w:themeTint="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7156709"/>
    <w:multiLevelType w:val="hybridMultilevel"/>
    <w:tmpl w:val="8B166EC8"/>
    <w:lvl w:ilvl="0" w:tplc="083E8FC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AB5881"/>
    <w:multiLevelType w:val="multilevel"/>
    <w:tmpl w:val="1E786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382A58A3"/>
    <w:multiLevelType w:val="multilevel"/>
    <w:tmpl w:val="5B86C1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399E1435"/>
    <w:multiLevelType w:val="hybridMultilevel"/>
    <w:tmpl w:val="4238D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99F375F"/>
    <w:multiLevelType w:val="hybridMultilevel"/>
    <w:tmpl w:val="6FC0AF98"/>
    <w:lvl w:ilvl="0" w:tplc="F05697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A911715"/>
    <w:multiLevelType w:val="hybridMultilevel"/>
    <w:tmpl w:val="7406A7AC"/>
    <w:lvl w:ilvl="0" w:tplc="8E64F8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C3B5D98"/>
    <w:multiLevelType w:val="hybridMultilevel"/>
    <w:tmpl w:val="17881E3E"/>
    <w:lvl w:ilvl="0" w:tplc="3EC45C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CD85D3B"/>
    <w:multiLevelType w:val="hybridMultilevel"/>
    <w:tmpl w:val="EE7A86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180BE1"/>
    <w:multiLevelType w:val="hybridMultilevel"/>
    <w:tmpl w:val="2474B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E6A198C"/>
    <w:multiLevelType w:val="hybridMultilevel"/>
    <w:tmpl w:val="3410D780"/>
    <w:lvl w:ilvl="0" w:tplc="EC505C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400952F6"/>
    <w:multiLevelType w:val="hybridMultilevel"/>
    <w:tmpl w:val="19A8ADB6"/>
    <w:lvl w:ilvl="0" w:tplc="73529052">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1" w15:restartNumberingAfterBreak="0">
    <w:nsid w:val="40C176AA"/>
    <w:multiLevelType w:val="multilevel"/>
    <w:tmpl w:val="5B0681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40FA09FF"/>
    <w:multiLevelType w:val="multilevel"/>
    <w:tmpl w:val="648A99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419067F6"/>
    <w:multiLevelType w:val="hybridMultilevel"/>
    <w:tmpl w:val="6F3EF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2226417"/>
    <w:multiLevelType w:val="hybridMultilevel"/>
    <w:tmpl w:val="85A204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59F2BAC"/>
    <w:multiLevelType w:val="hybridMultilevel"/>
    <w:tmpl w:val="6F6E72C2"/>
    <w:lvl w:ilvl="0" w:tplc="EF3203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5C43984"/>
    <w:multiLevelType w:val="hybridMultilevel"/>
    <w:tmpl w:val="CC0A1BB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5C96115"/>
    <w:multiLevelType w:val="hybridMultilevel"/>
    <w:tmpl w:val="5F72FB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6F7280D"/>
    <w:multiLevelType w:val="hybridMultilevel"/>
    <w:tmpl w:val="20EEBF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705467C"/>
    <w:multiLevelType w:val="hybridMultilevel"/>
    <w:tmpl w:val="59FC9304"/>
    <w:lvl w:ilvl="0" w:tplc="018A8C3C">
      <w:start w:val="1"/>
      <w:numFmt w:val="upperLetter"/>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A333F18"/>
    <w:multiLevelType w:val="hybridMultilevel"/>
    <w:tmpl w:val="CA140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4DC538A5"/>
    <w:multiLevelType w:val="hybridMultilevel"/>
    <w:tmpl w:val="B8AC54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DD07199"/>
    <w:multiLevelType w:val="hybridMultilevel"/>
    <w:tmpl w:val="5F083D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E3F1806"/>
    <w:multiLevelType w:val="hybridMultilevel"/>
    <w:tmpl w:val="63948EBE"/>
    <w:lvl w:ilvl="0" w:tplc="DB0600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EEA280C"/>
    <w:multiLevelType w:val="hybridMultilevel"/>
    <w:tmpl w:val="68785D24"/>
    <w:lvl w:ilvl="0" w:tplc="B194F800">
      <w:start w:val="1"/>
      <w:numFmt w:val="upperLetter"/>
      <w:lvlText w:val="%1."/>
      <w:lvlJc w:val="left"/>
      <w:pPr>
        <w:ind w:left="1080" w:hanging="360"/>
      </w:pPr>
      <w:rPr>
        <w:rFonts w:eastAsiaTheme="minorEastAsia" w:hint="default"/>
        <w:color w:val="215E99" w:themeColor="text2" w:themeTint="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EFA099A"/>
    <w:multiLevelType w:val="hybridMultilevel"/>
    <w:tmpl w:val="9BA8F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0761555"/>
    <w:multiLevelType w:val="hybridMultilevel"/>
    <w:tmpl w:val="92821B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2461808"/>
    <w:multiLevelType w:val="hybridMultilevel"/>
    <w:tmpl w:val="7B9ECD38"/>
    <w:lvl w:ilvl="0" w:tplc="9AF40436">
      <w:start w:val="1"/>
      <w:numFmt w:val="upperLetter"/>
      <w:lvlText w:val="%1."/>
      <w:lvlJc w:val="left"/>
      <w:pPr>
        <w:ind w:left="720" w:hanging="360"/>
      </w:pPr>
      <w:rPr>
        <w:rFonts w:hint="default"/>
        <w:color w:val="0F476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4953004"/>
    <w:multiLevelType w:val="hybridMultilevel"/>
    <w:tmpl w:val="0164C0DC"/>
    <w:lvl w:ilvl="0" w:tplc="EA4041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5741875"/>
    <w:multiLevelType w:val="hybridMultilevel"/>
    <w:tmpl w:val="BD505304"/>
    <w:lvl w:ilvl="0" w:tplc="240671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56FE0642"/>
    <w:multiLevelType w:val="hybridMultilevel"/>
    <w:tmpl w:val="843428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7559C07"/>
    <w:multiLevelType w:val="hybridMultilevel"/>
    <w:tmpl w:val="FFFFFFFF"/>
    <w:lvl w:ilvl="0" w:tplc="6D9A1C2C">
      <w:start w:val="1"/>
      <w:numFmt w:val="decimal"/>
      <w:lvlText w:val="%1."/>
      <w:lvlJc w:val="left"/>
      <w:pPr>
        <w:ind w:left="720" w:hanging="360"/>
      </w:pPr>
    </w:lvl>
    <w:lvl w:ilvl="1" w:tplc="1E54C18E">
      <w:start w:val="1"/>
      <w:numFmt w:val="lowerLetter"/>
      <w:lvlText w:val="%2."/>
      <w:lvlJc w:val="left"/>
      <w:pPr>
        <w:ind w:left="1440" w:hanging="360"/>
      </w:pPr>
    </w:lvl>
    <w:lvl w:ilvl="2" w:tplc="04E65AD8">
      <w:start w:val="1"/>
      <w:numFmt w:val="lowerRoman"/>
      <w:lvlText w:val="%3."/>
      <w:lvlJc w:val="right"/>
      <w:pPr>
        <w:ind w:left="2160" w:hanging="180"/>
      </w:pPr>
    </w:lvl>
    <w:lvl w:ilvl="3" w:tplc="A0542102">
      <w:start w:val="1"/>
      <w:numFmt w:val="decimal"/>
      <w:lvlText w:val="%4."/>
      <w:lvlJc w:val="left"/>
      <w:pPr>
        <w:ind w:left="2880" w:hanging="360"/>
      </w:pPr>
    </w:lvl>
    <w:lvl w:ilvl="4" w:tplc="D1728566">
      <w:start w:val="1"/>
      <w:numFmt w:val="lowerLetter"/>
      <w:lvlText w:val="%5."/>
      <w:lvlJc w:val="left"/>
      <w:pPr>
        <w:ind w:left="3600" w:hanging="360"/>
      </w:pPr>
    </w:lvl>
    <w:lvl w:ilvl="5" w:tplc="0C66ED64">
      <w:start w:val="1"/>
      <w:numFmt w:val="lowerRoman"/>
      <w:lvlText w:val="%6."/>
      <w:lvlJc w:val="right"/>
      <w:pPr>
        <w:ind w:left="4320" w:hanging="180"/>
      </w:pPr>
    </w:lvl>
    <w:lvl w:ilvl="6" w:tplc="A5C63B2A">
      <w:start w:val="1"/>
      <w:numFmt w:val="decimal"/>
      <w:lvlText w:val="%7."/>
      <w:lvlJc w:val="left"/>
      <w:pPr>
        <w:ind w:left="5040" w:hanging="360"/>
      </w:pPr>
    </w:lvl>
    <w:lvl w:ilvl="7" w:tplc="28C8E11A">
      <w:start w:val="1"/>
      <w:numFmt w:val="lowerLetter"/>
      <w:lvlText w:val="%8."/>
      <w:lvlJc w:val="left"/>
      <w:pPr>
        <w:ind w:left="5760" w:hanging="360"/>
      </w:pPr>
    </w:lvl>
    <w:lvl w:ilvl="8" w:tplc="308CC670">
      <w:start w:val="1"/>
      <w:numFmt w:val="lowerRoman"/>
      <w:lvlText w:val="%9."/>
      <w:lvlJc w:val="right"/>
      <w:pPr>
        <w:ind w:left="6480" w:hanging="180"/>
      </w:pPr>
    </w:lvl>
  </w:abstractNum>
  <w:abstractNum w:abstractNumId="72" w15:restartNumberingAfterBreak="0">
    <w:nsid w:val="579E0C82"/>
    <w:multiLevelType w:val="hybridMultilevel"/>
    <w:tmpl w:val="1870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7AB7949"/>
    <w:multiLevelType w:val="hybridMultilevel"/>
    <w:tmpl w:val="38882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B3C46FC"/>
    <w:multiLevelType w:val="multilevel"/>
    <w:tmpl w:val="CDEC6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5B8834A7"/>
    <w:multiLevelType w:val="hybridMultilevel"/>
    <w:tmpl w:val="06BA7FA2"/>
    <w:lvl w:ilvl="0" w:tplc="52DC51AE">
      <w:start w:val="1"/>
      <w:numFmt w:val="upperLetter"/>
      <w:lvlText w:val="%1."/>
      <w:lvlJc w:val="left"/>
      <w:pPr>
        <w:ind w:left="1080" w:hanging="360"/>
      </w:pPr>
      <w:rPr>
        <w:rFonts w:ascii="Segoe UI" w:hAnsi="Segoe UI" w:cs="Segoe UI"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5CB0204C"/>
    <w:multiLevelType w:val="hybridMultilevel"/>
    <w:tmpl w:val="E3280D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60624E46"/>
    <w:multiLevelType w:val="hybridMultilevel"/>
    <w:tmpl w:val="DC5EB2FA"/>
    <w:lvl w:ilvl="0" w:tplc="0FBCF6E8">
      <w:start w:val="1"/>
      <w:numFmt w:val="upperLetter"/>
      <w:lvlText w:val="%1."/>
      <w:lvlJc w:val="left"/>
      <w:pPr>
        <w:ind w:left="720" w:hanging="360"/>
      </w:pPr>
      <w:rPr>
        <w:rFonts w:cstheme="min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11940A2"/>
    <w:multiLevelType w:val="hybridMultilevel"/>
    <w:tmpl w:val="B526069E"/>
    <w:lvl w:ilvl="0" w:tplc="76BEC8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2AE0801"/>
    <w:multiLevelType w:val="hybridMultilevel"/>
    <w:tmpl w:val="5C908878"/>
    <w:lvl w:ilvl="0" w:tplc="0B947012">
      <w:start w:val="1"/>
      <w:numFmt w:val="upperLetter"/>
      <w:lvlText w:val="%1."/>
      <w:lvlJc w:val="left"/>
      <w:pPr>
        <w:ind w:left="1080" w:hanging="360"/>
      </w:pPr>
      <w:rPr>
        <w:rFonts w:hint="default"/>
        <w:color w:val="215E99" w:themeColor="text2" w:themeTint="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3075496"/>
    <w:multiLevelType w:val="hybridMultilevel"/>
    <w:tmpl w:val="AC3C2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84C08A0"/>
    <w:multiLevelType w:val="hybridMultilevel"/>
    <w:tmpl w:val="B846FC76"/>
    <w:lvl w:ilvl="0" w:tplc="24A405AA">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69D553EE"/>
    <w:multiLevelType w:val="hybridMultilevel"/>
    <w:tmpl w:val="BBCAB7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B225159"/>
    <w:multiLevelType w:val="hybridMultilevel"/>
    <w:tmpl w:val="48AC83C6"/>
    <w:lvl w:ilvl="0" w:tplc="D924B70C">
      <w:start w:val="1"/>
      <w:numFmt w:val="upperLetter"/>
      <w:lvlText w:val="%1."/>
      <w:lvlJc w:val="left"/>
      <w:pPr>
        <w:ind w:left="1080" w:hanging="360"/>
      </w:pPr>
      <w:rPr>
        <w:rFonts w:hint="default"/>
        <w:color w:val="215E99" w:themeColor="text2" w:themeTint="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B416E04"/>
    <w:multiLevelType w:val="hybridMultilevel"/>
    <w:tmpl w:val="419A168E"/>
    <w:lvl w:ilvl="0" w:tplc="FB8CB6CC">
      <w:start w:val="10"/>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0D32AD0"/>
    <w:multiLevelType w:val="hybridMultilevel"/>
    <w:tmpl w:val="3632846E"/>
    <w:lvl w:ilvl="0" w:tplc="E1C28E0C">
      <w:start w:val="1"/>
      <w:numFmt w:val="upperLetter"/>
      <w:lvlText w:val="%1."/>
      <w:lvlJc w:val="left"/>
      <w:pPr>
        <w:ind w:left="720" w:hanging="360"/>
      </w:pPr>
      <w:rPr>
        <w:rFonts w:hint="default"/>
        <w:color w:val="215E99" w:themeColor="text2" w:themeTint="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1510376"/>
    <w:multiLevelType w:val="hybridMultilevel"/>
    <w:tmpl w:val="1226A3D4"/>
    <w:lvl w:ilvl="0" w:tplc="F0E4FB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71E237CF"/>
    <w:multiLevelType w:val="hybridMultilevel"/>
    <w:tmpl w:val="BFEE8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49D7268"/>
    <w:multiLevelType w:val="hybridMultilevel"/>
    <w:tmpl w:val="A0320778"/>
    <w:lvl w:ilvl="0" w:tplc="C1AA41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63C385F"/>
    <w:multiLevelType w:val="hybridMultilevel"/>
    <w:tmpl w:val="FCFAC8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6892574"/>
    <w:multiLevelType w:val="multilevel"/>
    <w:tmpl w:val="3056B6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15:restartNumberingAfterBreak="0">
    <w:nsid w:val="7840128B"/>
    <w:multiLevelType w:val="hybridMultilevel"/>
    <w:tmpl w:val="B9347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84136FE"/>
    <w:multiLevelType w:val="hybridMultilevel"/>
    <w:tmpl w:val="1A101794"/>
    <w:lvl w:ilvl="0" w:tplc="145EA0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789B18A3"/>
    <w:multiLevelType w:val="hybridMultilevel"/>
    <w:tmpl w:val="E738E724"/>
    <w:lvl w:ilvl="0" w:tplc="41FE15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78F2347A"/>
    <w:multiLevelType w:val="hybridMultilevel"/>
    <w:tmpl w:val="E5908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9E50694"/>
    <w:multiLevelType w:val="hybridMultilevel"/>
    <w:tmpl w:val="7A325A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A3C1CDE"/>
    <w:multiLevelType w:val="hybridMultilevel"/>
    <w:tmpl w:val="41B2B41C"/>
    <w:lvl w:ilvl="0" w:tplc="B7884A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7C564226"/>
    <w:multiLevelType w:val="hybridMultilevel"/>
    <w:tmpl w:val="85628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D307C59"/>
    <w:multiLevelType w:val="hybridMultilevel"/>
    <w:tmpl w:val="CC0A1B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F0B1BD5"/>
    <w:multiLevelType w:val="hybridMultilevel"/>
    <w:tmpl w:val="64546CEA"/>
    <w:lvl w:ilvl="0" w:tplc="2DA8F7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8998282">
    <w:abstractNumId w:val="2"/>
  </w:num>
  <w:num w:numId="2" w16cid:durableId="12731457">
    <w:abstractNumId w:val="95"/>
  </w:num>
  <w:num w:numId="3" w16cid:durableId="381171708">
    <w:abstractNumId w:val="20"/>
  </w:num>
  <w:num w:numId="4" w16cid:durableId="1167551440">
    <w:abstractNumId w:val="82"/>
  </w:num>
  <w:num w:numId="5" w16cid:durableId="1362853678">
    <w:abstractNumId w:val="91"/>
  </w:num>
  <w:num w:numId="6" w16cid:durableId="369961933">
    <w:abstractNumId w:val="40"/>
  </w:num>
  <w:num w:numId="7" w16cid:durableId="1149907871">
    <w:abstractNumId w:val="0"/>
  </w:num>
  <w:num w:numId="8" w16cid:durableId="2113426700">
    <w:abstractNumId w:val="89"/>
  </w:num>
  <w:num w:numId="9" w16cid:durableId="1197504496">
    <w:abstractNumId w:val="25"/>
  </w:num>
  <w:num w:numId="10" w16cid:durableId="1957517997">
    <w:abstractNumId w:val="47"/>
  </w:num>
  <w:num w:numId="11" w16cid:durableId="1212889479">
    <w:abstractNumId w:val="43"/>
  </w:num>
  <w:num w:numId="12" w16cid:durableId="1698460645">
    <w:abstractNumId w:val="98"/>
  </w:num>
  <w:num w:numId="13" w16cid:durableId="1121143467">
    <w:abstractNumId w:val="56"/>
  </w:num>
  <w:num w:numId="14" w16cid:durableId="7951845">
    <w:abstractNumId w:val="12"/>
  </w:num>
  <w:num w:numId="15" w16cid:durableId="184269505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7877753">
    <w:abstractNumId w:val="49"/>
  </w:num>
  <w:num w:numId="17" w16cid:durableId="939415663">
    <w:abstractNumId w:val="61"/>
  </w:num>
  <w:num w:numId="18" w16cid:durableId="34741526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5323556">
    <w:abstractNumId w:val="50"/>
  </w:num>
  <w:num w:numId="20" w16cid:durableId="69639644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2344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34660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27358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17662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68915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39540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23300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48136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6367666">
    <w:abstractNumId w:val="58"/>
  </w:num>
  <w:num w:numId="30" w16cid:durableId="1575696871">
    <w:abstractNumId w:val="48"/>
  </w:num>
  <w:num w:numId="31" w16cid:durableId="1378092607">
    <w:abstractNumId w:val="70"/>
  </w:num>
  <w:num w:numId="32" w16cid:durableId="612054542">
    <w:abstractNumId w:val="6"/>
  </w:num>
  <w:num w:numId="33" w16cid:durableId="1020350400">
    <w:abstractNumId w:val="62"/>
  </w:num>
  <w:num w:numId="34" w16cid:durableId="1051425105">
    <w:abstractNumId w:val="11"/>
  </w:num>
  <w:num w:numId="35" w16cid:durableId="884635043">
    <w:abstractNumId w:val="65"/>
  </w:num>
  <w:num w:numId="36" w16cid:durableId="2134443026">
    <w:abstractNumId w:val="66"/>
  </w:num>
  <w:num w:numId="37" w16cid:durableId="1908761329">
    <w:abstractNumId w:val="9"/>
  </w:num>
  <w:num w:numId="38" w16cid:durableId="642273511">
    <w:abstractNumId w:val="31"/>
  </w:num>
  <w:num w:numId="39" w16cid:durableId="496262498">
    <w:abstractNumId w:val="71"/>
  </w:num>
  <w:num w:numId="40" w16cid:durableId="1757894148">
    <w:abstractNumId w:val="69"/>
  </w:num>
  <w:num w:numId="41" w16cid:durableId="55131837">
    <w:abstractNumId w:val="75"/>
  </w:num>
  <w:num w:numId="42" w16cid:durableId="1769152223">
    <w:abstractNumId w:val="26"/>
  </w:num>
  <w:num w:numId="43" w16cid:durableId="1919442857">
    <w:abstractNumId w:val="99"/>
  </w:num>
  <w:num w:numId="44" w16cid:durableId="1509707545">
    <w:abstractNumId w:val="78"/>
  </w:num>
  <w:num w:numId="45" w16cid:durableId="1434745572">
    <w:abstractNumId w:val="96"/>
  </w:num>
  <w:num w:numId="46" w16cid:durableId="1726635488">
    <w:abstractNumId w:val="57"/>
  </w:num>
  <w:num w:numId="47" w16cid:durableId="61491618">
    <w:abstractNumId w:val="93"/>
  </w:num>
  <w:num w:numId="48" w16cid:durableId="54472615">
    <w:abstractNumId w:val="28"/>
  </w:num>
  <w:num w:numId="49" w16cid:durableId="1720325544">
    <w:abstractNumId w:val="55"/>
  </w:num>
  <w:num w:numId="50" w16cid:durableId="121386634">
    <w:abstractNumId w:val="34"/>
  </w:num>
  <w:num w:numId="51" w16cid:durableId="1877308101">
    <w:abstractNumId w:val="35"/>
  </w:num>
  <w:num w:numId="52" w16cid:durableId="293104016">
    <w:abstractNumId w:val="44"/>
  </w:num>
  <w:num w:numId="53" w16cid:durableId="1767995635">
    <w:abstractNumId w:val="8"/>
  </w:num>
  <w:num w:numId="54" w16cid:durableId="809128429">
    <w:abstractNumId w:val="17"/>
  </w:num>
  <w:num w:numId="55" w16cid:durableId="1232421631">
    <w:abstractNumId w:val="68"/>
  </w:num>
  <w:num w:numId="56" w16cid:durableId="1767462550">
    <w:abstractNumId w:val="30"/>
  </w:num>
  <w:num w:numId="57" w16cid:durableId="402413947">
    <w:abstractNumId w:val="92"/>
  </w:num>
  <w:num w:numId="58" w16cid:durableId="1053582471">
    <w:abstractNumId w:val="88"/>
  </w:num>
  <w:num w:numId="59" w16cid:durableId="930702959">
    <w:abstractNumId w:val="77"/>
  </w:num>
  <w:num w:numId="60" w16cid:durableId="1674797349">
    <w:abstractNumId w:val="59"/>
  </w:num>
  <w:num w:numId="61" w16cid:durableId="1091045112">
    <w:abstractNumId w:val="86"/>
  </w:num>
  <w:num w:numId="62" w16cid:durableId="2012560978">
    <w:abstractNumId w:val="79"/>
  </w:num>
  <w:num w:numId="63" w16cid:durableId="369573487">
    <w:abstractNumId w:val="63"/>
  </w:num>
  <w:num w:numId="64" w16cid:durableId="1420560461">
    <w:abstractNumId w:val="24"/>
  </w:num>
  <w:num w:numId="65" w16cid:durableId="561137358">
    <w:abstractNumId w:val="23"/>
  </w:num>
  <w:num w:numId="66" w16cid:durableId="1313484861">
    <w:abstractNumId w:val="97"/>
  </w:num>
  <w:num w:numId="67" w16cid:durableId="1487818218">
    <w:abstractNumId w:val="1"/>
  </w:num>
  <w:num w:numId="68" w16cid:durableId="793596444">
    <w:abstractNumId w:val="39"/>
  </w:num>
  <w:num w:numId="69" w16cid:durableId="2021738419">
    <w:abstractNumId w:val="83"/>
  </w:num>
  <w:num w:numId="70" w16cid:durableId="729499142">
    <w:abstractNumId w:val="81"/>
  </w:num>
  <w:num w:numId="71" w16cid:durableId="1708217276">
    <w:abstractNumId w:val="21"/>
  </w:num>
  <w:num w:numId="72" w16cid:durableId="720598672">
    <w:abstractNumId w:val="64"/>
  </w:num>
  <w:num w:numId="73" w16cid:durableId="1632249993">
    <w:abstractNumId w:val="72"/>
  </w:num>
  <w:num w:numId="74" w16cid:durableId="923103615">
    <w:abstractNumId w:val="94"/>
  </w:num>
  <w:num w:numId="75" w16cid:durableId="1816876456">
    <w:abstractNumId w:val="60"/>
  </w:num>
  <w:num w:numId="76" w16cid:durableId="184293560">
    <w:abstractNumId w:val="29"/>
  </w:num>
  <w:num w:numId="77" w16cid:durableId="297685488">
    <w:abstractNumId w:val="85"/>
  </w:num>
  <w:num w:numId="78" w16cid:durableId="1221942111">
    <w:abstractNumId w:val="46"/>
  </w:num>
  <w:num w:numId="79" w16cid:durableId="1413771645">
    <w:abstractNumId w:val="33"/>
  </w:num>
  <w:num w:numId="80" w16cid:durableId="958682685">
    <w:abstractNumId w:val="53"/>
  </w:num>
  <w:num w:numId="81" w16cid:durableId="873037146">
    <w:abstractNumId w:val="45"/>
  </w:num>
  <w:num w:numId="82" w16cid:durableId="1617105491">
    <w:abstractNumId w:val="3"/>
  </w:num>
  <w:num w:numId="83" w16cid:durableId="1598519231">
    <w:abstractNumId w:val="15"/>
  </w:num>
  <w:num w:numId="84" w16cid:durableId="611593155">
    <w:abstractNumId w:val="73"/>
  </w:num>
  <w:num w:numId="85" w16cid:durableId="376242600">
    <w:abstractNumId w:val="54"/>
  </w:num>
  <w:num w:numId="86" w16cid:durableId="1457720989">
    <w:abstractNumId w:val="87"/>
  </w:num>
  <w:num w:numId="87" w16cid:durableId="669482082">
    <w:abstractNumId w:val="84"/>
  </w:num>
  <w:num w:numId="88" w16cid:durableId="1027095383">
    <w:abstractNumId w:val="18"/>
  </w:num>
  <w:num w:numId="89" w16cid:durableId="19969568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979743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5906245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228226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96641265">
    <w:abstractNumId w:val="16"/>
    <w:lvlOverride w:ilvl="0"/>
    <w:lvlOverride w:ilvl="1"/>
    <w:lvlOverride w:ilvl="2"/>
    <w:lvlOverride w:ilvl="3"/>
    <w:lvlOverride w:ilvl="4"/>
    <w:lvlOverride w:ilvl="5"/>
    <w:lvlOverride w:ilvl="6"/>
    <w:lvlOverride w:ilvl="7"/>
    <w:lvlOverride w:ilvl="8"/>
  </w:num>
  <w:num w:numId="94" w16cid:durableId="1017076273">
    <w:abstractNumId w:val="80"/>
  </w:num>
  <w:num w:numId="95" w16cid:durableId="20349908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498423248">
    <w:abstractNumId w:val="10"/>
  </w:num>
  <w:num w:numId="97" w16cid:durableId="2043896262">
    <w:abstractNumId w:val="67"/>
  </w:num>
  <w:num w:numId="98" w16cid:durableId="18748765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823036291">
    <w:abstractNumId w:val="4"/>
  </w:num>
  <w:num w:numId="100" w16cid:durableId="928262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B71"/>
    <w:rsid w:val="000143E4"/>
    <w:rsid w:val="00015ED3"/>
    <w:rsid w:val="00031525"/>
    <w:rsid w:val="00055A30"/>
    <w:rsid w:val="00076CFA"/>
    <w:rsid w:val="000C4E29"/>
    <w:rsid w:val="00150918"/>
    <w:rsid w:val="001B6A4F"/>
    <w:rsid w:val="001E3F6D"/>
    <w:rsid w:val="001F6366"/>
    <w:rsid w:val="002153EA"/>
    <w:rsid w:val="00241307"/>
    <w:rsid w:val="002731EA"/>
    <w:rsid w:val="002B4A8E"/>
    <w:rsid w:val="002E132F"/>
    <w:rsid w:val="00321DE9"/>
    <w:rsid w:val="00333B71"/>
    <w:rsid w:val="00395375"/>
    <w:rsid w:val="00472CB9"/>
    <w:rsid w:val="00483861"/>
    <w:rsid w:val="0048521F"/>
    <w:rsid w:val="004D3818"/>
    <w:rsid w:val="004E3964"/>
    <w:rsid w:val="00513081"/>
    <w:rsid w:val="00531104"/>
    <w:rsid w:val="005356A7"/>
    <w:rsid w:val="0054197F"/>
    <w:rsid w:val="005447A4"/>
    <w:rsid w:val="005F2B8A"/>
    <w:rsid w:val="00641E16"/>
    <w:rsid w:val="006974CA"/>
    <w:rsid w:val="006A7401"/>
    <w:rsid w:val="006D60FC"/>
    <w:rsid w:val="0071624A"/>
    <w:rsid w:val="00762C39"/>
    <w:rsid w:val="0076535B"/>
    <w:rsid w:val="007866A1"/>
    <w:rsid w:val="007B1A2D"/>
    <w:rsid w:val="007D6A9C"/>
    <w:rsid w:val="007E09CD"/>
    <w:rsid w:val="00820F63"/>
    <w:rsid w:val="00862575"/>
    <w:rsid w:val="00897246"/>
    <w:rsid w:val="008C3618"/>
    <w:rsid w:val="00905360"/>
    <w:rsid w:val="009960B6"/>
    <w:rsid w:val="009C403D"/>
    <w:rsid w:val="009D1ED3"/>
    <w:rsid w:val="00A43E27"/>
    <w:rsid w:val="00A45FEC"/>
    <w:rsid w:val="00A52E41"/>
    <w:rsid w:val="00A80F4E"/>
    <w:rsid w:val="00A81175"/>
    <w:rsid w:val="00AB58F5"/>
    <w:rsid w:val="00AC46D7"/>
    <w:rsid w:val="00AC51B4"/>
    <w:rsid w:val="00B70332"/>
    <w:rsid w:val="00BA211F"/>
    <w:rsid w:val="00BF1EA8"/>
    <w:rsid w:val="00C32E59"/>
    <w:rsid w:val="00C75107"/>
    <w:rsid w:val="00CE6DD7"/>
    <w:rsid w:val="00CF0BEC"/>
    <w:rsid w:val="00D61955"/>
    <w:rsid w:val="00D851DD"/>
    <w:rsid w:val="00DD3DC6"/>
    <w:rsid w:val="00DE3362"/>
    <w:rsid w:val="00E00FA8"/>
    <w:rsid w:val="00E137D9"/>
    <w:rsid w:val="00E2444C"/>
    <w:rsid w:val="00E83C6A"/>
    <w:rsid w:val="00EC63E8"/>
    <w:rsid w:val="00EE2236"/>
    <w:rsid w:val="00EE3F56"/>
    <w:rsid w:val="00FA3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F96B3"/>
  <w15:chartTrackingRefBased/>
  <w15:docId w15:val="{113EFB0D-314A-4A7E-B3DB-DE341F6D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B7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B7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33B7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33B7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3B7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3B7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3B7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B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B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B7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B7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33B7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33B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3B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3B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3B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3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B7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B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3B71"/>
    <w:pPr>
      <w:spacing w:before="160"/>
      <w:jc w:val="center"/>
    </w:pPr>
    <w:rPr>
      <w:i/>
      <w:iCs/>
      <w:color w:val="404040" w:themeColor="text1" w:themeTint="BF"/>
    </w:rPr>
  </w:style>
  <w:style w:type="character" w:customStyle="1" w:styleId="QuoteChar">
    <w:name w:val="Quote Char"/>
    <w:basedOn w:val="DefaultParagraphFont"/>
    <w:link w:val="Quote"/>
    <w:uiPriority w:val="29"/>
    <w:rsid w:val="00333B71"/>
    <w:rPr>
      <w:i/>
      <w:iCs/>
      <w:color w:val="404040" w:themeColor="text1" w:themeTint="BF"/>
    </w:rPr>
  </w:style>
  <w:style w:type="paragraph" w:styleId="ListParagraph">
    <w:name w:val="List Paragraph"/>
    <w:basedOn w:val="Normal"/>
    <w:uiPriority w:val="34"/>
    <w:qFormat/>
    <w:rsid w:val="00333B71"/>
    <w:pPr>
      <w:ind w:left="720"/>
      <w:contextualSpacing/>
    </w:pPr>
  </w:style>
  <w:style w:type="character" w:styleId="IntenseEmphasis">
    <w:name w:val="Intense Emphasis"/>
    <w:basedOn w:val="DefaultParagraphFont"/>
    <w:uiPriority w:val="21"/>
    <w:qFormat/>
    <w:rsid w:val="00333B71"/>
    <w:rPr>
      <w:i/>
      <w:iCs/>
      <w:color w:val="0F4761" w:themeColor="accent1" w:themeShade="BF"/>
    </w:rPr>
  </w:style>
  <w:style w:type="paragraph" w:styleId="IntenseQuote">
    <w:name w:val="Intense Quote"/>
    <w:basedOn w:val="Normal"/>
    <w:next w:val="Normal"/>
    <w:link w:val="IntenseQuoteChar"/>
    <w:uiPriority w:val="30"/>
    <w:qFormat/>
    <w:rsid w:val="00333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B71"/>
    <w:rPr>
      <w:i/>
      <w:iCs/>
      <w:color w:val="0F4761" w:themeColor="accent1" w:themeShade="BF"/>
    </w:rPr>
  </w:style>
  <w:style w:type="character" w:styleId="IntenseReference">
    <w:name w:val="Intense Reference"/>
    <w:basedOn w:val="DefaultParagraphFont"/>
    <w:uiPriority w:val="32"/>
    <w:qFormat/>
    <w:rsid w:val="00333B71"/>
    <w:rPr>
      <w:b/>
      <w:bCs/>
      <w:smallCaps/>
      <w:color w:val="0F4761" w:themeColor="accent1" w:themeShade="BF"/>
      <w:spacing w:val="5"/>
    </w:rPr>
  </w:style>
  <w:style w:type="character" w:styleId="Hyperlink">
    <w:name w:val="Hyperlink"/>
    <w:basedOn w:val="DefaultParagraphFont"/>
    <w:uiPriority w:val="99"/>
    <w:unhideWhenUsed/>
    <w:rsid w:val="00BF1EA8"/>
    <w:rPr>
      <w:color w:val="0000FF"/>
      <w:u w:val="single"/>
    </w:rPr>
  </w:style>
  <w:style w:type="paragraph" w:styleId="Header">
    <w:name w:val="header"/>
    <w:basedOn w:val="Normal"/>
    <w:link w:val="HeaderChar"/>
    <w:uiPriority w:val="99"/>
    <w:unhideWhenUsed/>
    <w:rsid w:val="00EE2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236"/>
  </w:style>
  <w:style w:type="paragraph" w:styleId="Footer">
    <w:name w:val="footer"/>
    <w:basedOn w:val="Normal"/>
    <w:link w:val="FooterChar"/>
    <w:uiPriority w:val="99"/>
    <w:unhideWhenUsed/>
    <w:rsid w:val="00EE2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236"/>
  </w:style>
  <w:style w:type="character" w:styleId="UnresolvedMention">
    <w:name w:val="Unresolved Mention"/>
    <w:basedOn w:val="DefaultParagraphFont"/>
    <w:uiPriority w:val="99"/>
    <w:semiHidden/>
    <w:unhideWhenUsed/>
    <w:rsid w:val="00A45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eaofficeonaging.com" TargetMode="External"/><Relationship Id="rId13" Type="http://schemas.openxmlformats.org/officeDocument/2006/relationships/hyperlink" Target="https://s3.us-east-1.amazonaws.com/areaofficeonaging/documents/2027-2030-Overview-and-Instructions_2026-03-10-141251_jiiu.pdf" TargetMode="External"/><Relationship Id="rId3" Type="http://schemas.openxmlformats.org/officeDocument/2006/relationships/settings" Target="settings.xml"/><Relationship Id="rId7" Type="http://schemas.openxmlformats.org/officeDocument/2006/relationships/hyperlink" Target="https://rooms.vidyard.com/rooms/ysDb67ZUlcCdTAoRNosE7g?vy_player_uuid=WwvcavqbC78rJMBQeyQHLV" TargetMode="External"/><Relationship Id="rId12" Type="http://schemas.openxmlformats.org/officeDocument/2006/relationships/hyperlink" Target="https://www.gotomygrants.com/Public/Opportunities/Details/acdacd16-4271-4f11-be241959cb27091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tomygrants.com/Public/Opportunities/Details/78aa7001-237d-4f7a-af160aeb8b83bdd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tomygrants.com/Public/Opportunities/Details/51013cc3-a970-4c3b-9dd6c7173b9cc40b" TargetMode="External"/><Relationship Id="rId4" Type="http://schemas.openxmlformats.org/officeDocument/2006/relationships/webSettings" Target="webSettings.xml"/><Relationship Id="rId9" Type="http://schemas.openxmlformats.org/officeDocument/2006/relationships/hyperlink" Target="https://www.gotomygrants.com/Public/Opportunities/Details/2a44e5e7-7a86-4dae-96f812dfad26bbd5" TargetMode="External"/><Relationship Id="rId14" Type="http://schemas.openxmlformats.org/officeDocument/2006/relationships/hyperlink" Target="https://codes.ohio.gov/ohio-administrative-code/rule-173-4-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527</TotalTime>
  <Pages>16</Pages>
  <Words>6879</Words>
  <Characters>35015</Characters>
  <Application>Microsoft Office Word</Application>
  <DocSecurity>0</DocSecurity>
  <Lines>593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Heft</dc:creator>
  <cp:keywords/>
  <dc:description/>
  <cp:lastModifiedBy>Autumn Richards, RDN, LD</cp:lastModifiedBy>
  <cp:revision>17</cp:revision>
  <dcterms:created xsi:type="dcterms:W3CDTF">2026-03-18T16:18:00Z</dcterms:created>
  <dcterms:modified xsi:type="dcterms:W3CDTF">2026-04-03T17:20:00Z</dcterms:modified>
</cp:coreProperties>
</file>