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3262C" w14:textId="77777777" w:rsidR="00E16935" w:rsidRPr="00AF714D" w:rsidRDefault="00E16935" w:rsidP="00E16935">
      <w:pPr>
        <w:spacing w:line="278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F714D">
        <w:rPr>
          <w:rFonts w:ascii="Arial" w:hAnsi="Arial" w:cs="Arial"/>
          <w:b/>
          <w:bCs/>
          <w:sz w:val="24"/>
          <w:szCs w:val="24"/>
          <w:u w:val="single"/>
        </w:rPr>
        <w:t>RECURSO ADMINISTRATIVO</w:t>
      </w:r>
    </w:p>
    <w:p w14:paraId="00CC6AE9" w14:textId="77777777" w:rsidR="00E16935" w:rsidRPr="00AF714D" w:rsidRDefault="00E16935" w:rsidP="00E16935">
      <w:pPr>
        <w:spacing w:line="278" w:lineRule="auto"/>
        <w:rPr>
          <w:rFonts w:ascii="Arial" w:hAnsi="Arial" w:cs="Arial"/>
          <w:sz w:val="24"/>
          <w:szCs w:val="24"/>
        </w:rPr>
      </w:pPr>
      <w:r w:rsidRPr="00AF714D">
        <w:rPr>
          <w:rFonts w:ascii="Arial" w:hAnsi="Arial" w:cs="Arial"/>
          <w:b/>
          <w:bCs/>
          <w:sz w:val="24"/>
          <w:szCs w:val="24"/>
        </w:rPr>
        <w:t>Concorrência Eletrônica nº 000001/2026</w:t>
      </w:r>
      <w:r w:rsidRPr="00AF714D">
        <w:rPr>
          <w:rFonts w:ascii="Arial" w:hAnsi="Arial" w:cs="Arial"/>
          <w:sz w:val="24"/>
          <w:szCs w:val="24"/>
        </w:rPr>
        <w:br/>
      </w:r>
      <w:r w:rsidRPr="00AF714D">
        <w:rPr>
          <w:rFonts w:ascii="Arial" w:hAnsi="Arial" w:cs="Arial"/>
          <w:b/>
          <w:bCs/>
          <w:sz w:val="24"/>
          <w:szCs w:val="24"/>
        </w:rPr>
        <w:t>Processo Administrativo nº 3906/2025</w:t>
      </w:r>
      <w:bookmarkStart w:id="0" w:name="_GoBack"/>
      <w:bookmarkEnd w:id="0"/>
      <w:r w:rsidRPr="00AF714D">
        <w:rPr>
          <w:rFonts w:ascii="Arial" w:hAnsi="Arial" w:cs="Arial"/>
          <w:sz w:val="24"/>
          <w:szCs w:val="24"/>
        </w:rPr>
        <w:br/>
      </w:r>
      <w:r w:rsidRPr="00AF714D">
        <w:rPr>
          <w:rFonts w:ascii="Arial" w:hAnsi="Arial" w:cs="Arial"/>
          <w:b/>
          <w:bCs/>
          <w:sz w:val="24"/>
          <w:szCs w:val="24"/>
        </w:rPr>
        <w:t>Objeto:</w:t>
      </w:r>
      <w:r w:rsidRPr="00AF714D">
        <w:rPr>
          <w:rFonts w:ascii="Arial" w:hAnsi="Arial" w:cs="Arial"/>
          <w:sz w:val="24"/>
          <w:szCs w:val="24"/>
        </w:rPr>
        <w:t xml:space="preserve"> Elaboração dos Projetos Complementares do Novo Pavilhão do Centro de Eventos Padre Cleto Caliman</w:t>
      </w:r>
    </w:p>
    <w:p w14:paraId="3D2E291D" w14:textId="77777777" w:rsidR="00E16935" w:rsidRPr="00AF714D" w:rsidRDefault="00E16935" w:rsidP="00E16935">
      <w:pPr>
        <w:spacing w:line="278" w:lineRule="auto"/>
        <w:rPr>
          <w:rFonts w:ascii="Arial" w:hAnsi="Arial" w:cs="Arial"/>
          <w:sz w:val="24"/>
          <w:szCs w:val="24"/>
        </w:rPr>
      </w:pPr>
      <w:r w:rsidRPr="00AF714D">
        <w:rPr>
          <w:rFonts w:ascii="Arial" w:hAnsi="Arial" w:cs="Arial"/>
          <w:sz w:val="24"/>
          <w:szCs w:val="24"/>
        </w:rPr>
        <w:t>À</w:t>
      </w:r>
      <w:r w:rsidRPr="00AF714D">
        <w:rPr>
          <w:rFonts w:ascii="Arial" w:hAnsi="Arial" w:cs="Arial"/>
          <w:sz w:val="24"/>
          <w:szCs w:val="24"/>
        </w:rPr>
        <w:br/>
      </w:r>
      <w:r w:rsidRPr="00AF714D">
        <w:rPr>
          <w:rFonts w:ascii="Arial" w:hAnsi="Arial" w:cs="Arial"/>
          <w:b/>
          <w:bCs/>
          <w:sz w:val="24"/>
          <w:szCs w:val="24"/>
        </w:rPr>
        <w:t>Agente de Contratação do Município de Venda Nova do Imigrante/ES</w:t>
      </w:r>
    </w:p>
    <w:p w14:paraId="2EEC076B" w14:textId="4D10EE48" w:rsidR="00E16935" w:rsidRPr="005F16E2" w:rsidRDefault="00E16935" w:rsidP="00E16935">
      <w:pPr>
        <w:spacing w:line="278" w:lineRule="auto"/>
        <w:jc w:val="both"/>
        <w:rPr>
          <w:rFonts w:ascii="Arial" w:hAnsi="Arial" w:cs="Arial"/>
        </w:rPr>
      </w:pPr>
      <w:r w:rsidRPr="005F16E2">
        <w:rPr>
          <w:rFonts w:ascii="Arial" w:hAnsi="Arial" w:cs="Arial"/>
        </w:rPr>
        <w:t xml:space="preserve">O presente RECURSO ADMINISTRATIVO </w:t>
      </w:r>
      <w:r>
        <w:rPr>
          <w:rFonts w:ascii="Arial" w:hAnsi="Arial" w:cs="Arial"/>
        </w:rPr>
        <w:t>v</w:t>
      </w:r>
      <w:r w:rsidRPr="005F16E2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em</w:t>
      </w:r>
      <w:r w:rsidRPr="005F16E2">
        <w:rPr>
          <w:rFonts w:ascii="Arial" w:hAnsi="Arial" w:cs="Arial"/>
        </w:rPr>
        <w:t xml:space="preserve"> razão de graves irregularidades constatadas no julgamento da Concorrência Eletrônica nº 000001/2026, vinculada ao Processo Administrativo nº 3906/2025, cujo objeto consiste na elaboração dos Projetos Complementares do Novo Pavilhão do Centro de Eventos Padre Cleto Caliman.</w:t>
      </w:r>
    </w:p>
    <w:p w14:paraId="2FE5568F" w14:textId="77777777" w:rsidR="00E16935" w:rsidRPr="005F16E2" w:rsidRDefault="00E16935" w:rsidP="00E16935">
      <w:pPr>
        <w:spacing w:line="278" w:lineRule="auto"/>
        <w:jc w:val="both"/>
        <w:rPr>
          <w:rFonts w:ascii="Arial" w:hAnsi="Arial" w:cs="Arial"/>
        </w:rPr>
      </w:pPr>
      <w:r w:rsidRPr="005F16E2">
        <w:rPr>
          <w:rFonts w:ascii="Arial" w:hAnsi="Arial" w:cs="Arial"/>
        </w:rPr>
        <w:t>A decisão administrativa recorrida culminou na classificação e declaração de vencedora de proposta que se revela manifestamente inexequível, além de em flagrante desconformidade com as exigências expressas do edital e com o regime jurídico instituído pela Lei nº 14.133/2021. Trata-se de proposta cujos valores apresentados não guardam qualquer razoabilidade com a complexidade técnica do objeto licitado, tampouco foram acompanhados da necessária demonstração de viabilidade econômico-financeira, circunstância que compromete a seleção da proposta mais vantajosa e expõe o interesse público a riscos concretos.</w:t>
      </w:r>
    </w:p>
    <w:p w14:paraId="0C3678C1" w14:textId="77777777" w:rsidR="00E16935" w:rsidRPr="005F16E2" w:rsidRDefault="00E16935" w:rsidP="00E16935">
      <w:pPr>
        <w:spacing w:line="278" w:lineRule="auto"/>
        <w:jc w:val="both"/>
        <w:rPr>
          <w:rFonts w:ascii="Arial" w:hAnsi="Arial" w:cs="Arial"/>
        </w:rPr>
      </w:pPr>
      <w:r w:rsidRPr="005F16E2">
        <w:rPr>
          <w:rFonts w:ascii="Arial" w:hAnsi="Arial" w:cs="Arial"/>
        </w:rPr>
        <w:t>As irregularidades identificadas não se limitam a meras falhas formais, mas consistem em vícios materiais graves, capazes de macular a legalidade do julgamento, afetar a isonomia entre os licitantes, comprometer a segurança jurídica do certame e potencializar prejuízos ao erário, inclusive com risco iminente de futura anulação do procedimento.</w:t>
      </w:r>
    </w:p>
    <w:p w14:paraId="20C33E8F" w14:textId="77777777" w:rsidR="00E16935" w:rsidRPr="005F16E2" w:rsidRDefault="00E16935" w:rsidP="00E16935">
      <w:pPr>
        <w:spacing w:line="278" w:lineRule="auto"/>
        <w:jc w:val="both"/>
        <w:rPr>
          <w:rFonts w:ascii="Arial" w:hAnsi="Arial" w:cs="Arial"/>
        </w:rPr>
      </w:pPr>
      <w:r w:rsidRPr="005F16E2">
        <w:rPr>
          <w:rFonts w:ascii="Arial" w:hAnsi="Arial" w:cs="Arial"/>
        </w:rPr>
        <w:t>Diante desse cenário, impõe-se a reapreciação do ato decisório recorrido, à luz dos princípios da legalidade, da vinculação ao instrumento convocatório, da eficiência, da economicidade e da seleção da proposta mais vantajosa, bem como da jurisprudência consolidada dos Tribunais de Contas, a fim de restaurar a regularidade do certame e resguardar o interesse público.</w:t>
      </w:r>
    </w:p>
    <w:p w14:paraId="7D43C17F" w14:textId="77777777" w:rsidR="00E16935" w:rsidRPr="00AF714D" w:rsidRDefault="00E16935" w:rsidP="00E16935">
      <w:pPr>
        <w:spacing w:line="278" w:lineRule="auto"/>
        <w:rPr>
          <w:rFonts w:ascii="Arial" w:hAnsi="Arial" w:cs="Arial"/>
          <w:sz w:val="24"/>
          <w:szCs w:val="24"/>
        </w:rPr>
      </w:pPr>
    </w:p>
    <w:p w14:paraId="2B632544" w14:textId="77777777" w:rsidR="00E16935" w:rsidRPr="00AF714D" w:rsidRDefault="00E16935" w:rsidP="00E16935">
      <w:pPr>
        <w:spacing w:line="278" w:lineRule="auto"/>
        <w:rPr>
          <w:rFonts w:ascii="Arial" w:hAnsi="Arial" w:cs="Arial"/>
          <w:b/>
          <w:bCs/>
          <w:sz w:val="24"/>
          <w:szCs w:val="24"/>
        </w:rPr>
      </w:pPr>
      <w:r w:rsidRPr="00AF714D">
        <w:rPr>
          <w:rFonts w:ascii="Arial" w:hAnsi="Arial" w:cs="Arial"/>
          <w:b/>
          <w:bCs/>
          <w:sz w:val="24"/>
          <w:szCs w:val="24"/>
        </w:rPr>
        <w:t>I – DA LEGITIMIDADE E DO CABIMENTO</w:t>
      </w:r>
    </w:p>
    <w:p w14:paraId="15996C8F" w14:textId="77777777" w:rsidR="00E16935" w:rsidRPr="00AF714D" w:rsidRDefault="00E16935" w:rsidP="00E16935">
      <w:pPr>
        <w:spacing w:line="27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A VITRIOL ENGENHARIA E CONSULTORIA LTDA</w:t>
      </w:r>
      <w:r w:rsidRPr="00AF714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</w:rPr>
        <w:t xml:space="preserve"> já qualificada no certame,</w:t>
      </w:r>
      <w:r w:rsidRPr="00AF714D">
        <w:rPr>
          <w:rFonts w:ascii="Arial" w:hAnsi="Arial" w:cs="Arial"/>
          <w:sz w:val="24"/>
          <w:szCs w:val="24"/>
        </w:rPr>
        <w:t xml:space="preserve"> na condição de interessad</w:t>
      </w:r>
      <w:r>
        <w:rPr>
          <w:rFonts w:ascii="Arial" w:hAnsi="Arial" w:cs="Arial"/>
        </w:rPr>
        <w:t>a</w:t>
      </w:r>
      <w:r w:rsidRPr="00AF714D">
        <w:rPr>
          <w:rFonts w:ascii="Arial" w:hAnsi="Arial" w:cs="Arial"/>
          <w:sz w:val="24"/>
          <w:szCs w:val="24"/>
        </w:rPr>
        <w:t xml:space="preserve"> e diretamente afetad</w:t>
      </w:r>
      <w:r>
        <w:rPr>
          <w:rFonts w:ascii="Arial" w:hAnsi="Arial" w:cs="Arial"/>
        </w:rPr>
        <w:t>a</w:t>
      </w:r>
      <w:r w:rsidRPr="00AF714D">
        <w:rPr>
          <w:rFonts w:ascii="Arial" w:hAnsi="Arial" w:cs="Arial"/>
          <w:sz w:val="24"/>
          <w:szCs w:val="24"/>
        </w:rPr>
        <w:t xml:space="preserve"> pelo resultado do certame, v</w:t>
      </w:r>
      <w:r>
        <w:rPr>
          <w:rFonts w:ascii="Arial" w:hAnsi="Arial" w:cs="Arial"/>
        </w:rPr>
        <w:t>em</w:t>
      </w:r>
      <w:r w:rsidRPr="00AF714D">
        <w:rPr>
          <w:rFonts w:ascii="Arial" w:hAnsi="Arial" w:cs="Arial"/>
          <w:sz w:val="24"/>
          <w:szCs w:val="24"/>
        </w:rPr>
        <w:t xml:space="preserve">, com fundamento no </w:t>
      </w:r>
      <w:r w:rsidRPr="00AF714D">
        <w:rPr>
          <w:rFonts w:ascii="Arial" w:hAnsi="Arial" w:cs="Arial"/>
          <w:b/>
          <w:bCs/>
          <w:sz w:val="24"/>
          <w:szCs w:val="24"/>
        </w:rPr>
        <w:t>art. 165, inciso I, da Lei nº 14.133/2021</w:t>
      </w:r>
      <w:r w:rsidRPr="00AF714D">
        <w:rPr>
          <w:rFonts w:ascii="Arial" w:hAnsi="Arial" w:cs="Arial"/>
          <w:sz w:val="24"/>
          <w:szCs w:val="24"/>
        </w:rPr>
        <w:t xml:space="preserve">, interpor o presente </w:t>
      </w:r>
      <w:r w:rsidRPr="00AF714D">
        <w:rPr>
          <w:rFonts w:ascii="Arial" w:hAnsi="Arial" w:cs="Arial"/>
          <w:b/>
          <w:bCs/>
          <w:sz w:val="24"/>
          <w:szCs w:val="24"/>
        </w:rPr>
        <w:t>RECURSO ADMINISTRATIVO</w:t>
      </w:r>
      <w:r w:rsidRPr="00AF714D">
        <w:rPr>
          <w:rFonts w:ascii="Arial" w:hAnsi="Arial" w:cs="Arial"/>
          <w:sz w:val="24"/>
          <w:szCs w:val="24"/>
        </w:rPr>
        <w:t xml:space="preserve"> em face da decisão que classificou e declarou vencedora proposta</w:t>
      </w:r>
      <w:r w:rsidRPr="00D9517C">
        <w:rPr>
          <w:rFonts w:ascii="Arial" w:hAnsi="Arial" w:cs="Arial"/>
        </w:rPr>
        <w:t xml:space="preserve"> da empresa</w:t>
      </w:r>
      <w:r>
        <w:rPr>
          <w:rFonts w:ascii="Arial" w:hAnsi="Arial" w:cs="Arial"/>
        </w:rPr>
        <w:t xml:space="preserve"> </w:t>
      </w:r>
      <w:r w:rsidRPr="00D9517C">
        <w:rPr>
          <w:rFonts w:ascii="Arial" w:hAnsi="Arial" w:cs="Arial"/>
        </w:rPr>
        <w:t xml:space="preserve">ALPHA ENGENHARIA LTDA </w:t>
      </w:r>
      <w:r w:rsidRPr="00AF714D">
        <w:rPr>
          <w:rFonts w:ascii="Arial" w:hAnsi="Arial" w:cs="Arial"/>
          <w:sz w:val="24"/>
          <w:szCs w:val="24"/>
        </w:rPr>
        <w:t xml:space="preserve"> manifestamente inexequível e em desconformidade com as exigências do instrumento convocatório, requerendo a sua integral reforma, pelas razões de fato e de direito a seguir expostas.</w:t>
      </w:r>
    </w:p>
    <w:p w14:paraId="39E66F09" w14:textId="77777777" w:rsidR="00E16935" w:rsidRPr="00D9517C" w:rsidRDefault="00E16935" w:rsidP="00E16935">
      <w:pPr>
        <w:spacing w:line="278" w:lineRule="auto"/>
        <w:jc w:val="both"/>
        <w:rPr>
          <w:rFonts w:ascii="Arial" w:hAnsi="Arial" w:cs="Arial"/>
        </w:rPr>
      </w:pPr>
      <w:r w:rsidRPr="00D9517C">
        <w:rPr>
          <w:rFonts w:ascii="Arial" w:hAnsi="Arial" w:cs="Arial"/>
        </w:rPr>
        <w:lastRenderedPageBreak/>
        <w:t>O presente recurso é tempestivo, uma vez que foi interposto em estrita observância às disposições editalícias, dentro do prazo expressamente informado e disponibilizado na plataforma eletrônica em que se realiza o certame, conforme comunicação oficial registrada no sistema, razão pela qual deve ser regularmente conhecido e processado.</w:t>
      </w:r>
    </w:p>
    <w:p w14:paraId="583E71E0" w14:textId="77777777" w:rsidR="00E16935" w:rsidRPr="00AF714D" w:rsidRDefault="00E16935" w:rsidP="00E16935">
      <w:pPr>
        <w:spacing w:line="278" w:lineRule="auto"/>
        <w:jc w:val="both"/>
        <w:rPr>
          <w:rFonts w:ascii="Arial" w:hAnsi="Arial" w:cs="Arial"/>
          <w:sz w:val="24"/>
          <w:szCs w:val="24"/>
        </w:rPr>
      </w:pPr>
    </w:p>
    <w:p w14:paraId="6EA394C2" w14:textId="77777777" w:rsidR="00E16935" w:rsidRPr="00AF714D" w:rsidRDefault="00E16935" w:rsidP="00E16935">
      <w:pPr>
        <w:spacing w:line="278" w:lineRule="auto"/>
        <w:rPr>
          <w:rFonts w:ascii="Arial" w:hAnsi="Arial" w:cs="Arial"/>
          <w:b/>
          <w:bCs/>
          <w:sz w:val="24"/>
          <w:szCs w:val="24"/>
        </w:rPr>
      </w:pPr>
      <w:r w:rsidRPr="00AF714D">
        <w:rPr>
          <w:rFonts w:ascii="Arial" w:hAnsi="Arial" w:cs="Arial"/>
          <w:b/>
          <w:bCs/>
          <w:sz w:val="24"/>
          <w:szCs w:val="24"/>
        </w:rPr>
        <w:t>II – SÍNTESE DA DECISÃO RECORRIDA</w:t>
      </w:r>
    </w:p>
    <w:p w14:paraId="148ED662" w14:textId="77777777" w:rsidR="00E16935" w:rsidRPr="00D9517C" w:rsidRDefault="00E16935" w:rsidP="00E16935">
      <w:pPr>
        <w:spacing w:line="278" w:lineRule="auto"/>
        <w:jc w:val="both"/>
        <w:rPr>
          <w:rFonts w:ascii="Arial" w:hAnsi="Arial" w:cs="Arial"/>
        </w:rPr>
      </w:pPr>
      <w:r w:rsidRPr="00D9517C">
        <w:rPr>
          <w:rFonts w:ascii="Arial" w:hAnsi="Arial" w:cs="Arial"/>
        </w:rPr>
        <w:t>O Município declarou vencedora empresa cuja proposta apresenta vícios materiais e formais graves, uma vez que:</w:t>
      </w:r>
    </w:p>
    <w:p w14:paraId="46C3237A" w14:textId="77777777" w:rsidR="00E16935" w:rsidRPr="000264F9" w:rsidRDefault="00E16935" w:rsidP="00E16935">
      <w:pPr>
        <w:pStyle w:val="PargrafodaLista"/>
        <w:numPr>
          <w:ilvl w:val="0"/>
          <w:numId w:val="8"/>
        </w:numPr>
        <w:jc w:val="both"/>
        <w:rPr>
          <w:rFonts w:ascii="Arial" w:hAnsi="Arial" w:cs="Arial"/>
        </w:rPr>
      </w:pPr>
      <w:r w:rsidRPr="000264F9">
        <w:rPr>
          <w:rFonts w:ascii="Arial" w:hAnsi="Arial" w:cs="Arial"/>
        </w:rPr>
        <w:t xml:space="preserve">apresenta valor de apenas </w:t>
      </w:r>
      <w:r w:rsidRPr="000264F9">
        <w:rPr>
          <w:rFonts w:ascii="Arial" w:hAnsi="Arial" w:cs="Arial"/>
          <w:b/>
          <w:bCs/>
        </w:rPr>
        <w:t>R$ 43.998,08 (quarenta e três mil novecentos e noventa e oito reais e oito centavos)</w:t>
      </w:r>
      <w:r w:rsidRPr="000264F9">
        <w:rPr>
          <w:rFonts w:ascii="Arial" w:hAnsi="Arial" w:cs="Arial"/>
        </w:rPr>
        <w:t xml:space="preserve"> para a elaboração dos projetos complementares do Novo Pavilhão do Centro de Eventos Padre Cleto Caliman, valor este manifestamente incompatível com a complexidade, a extensão e a natureza técnica do objeto, que abrange, entre outros serviços, levantamento arquitetônico, projeto elétrico, projeto de SPDA, projeto de lógica, projeto de prevenção e combate a incêndio, bem como a elaboração de planilha orçamentária completa e cronograma físico-financeiro. Destaca-se, ainda, que os valores unitários ofertados, como, por exemplo, R$ 1,09/m² para projeto elétrico e R$ 0,76/m² para projetos de SPDA, lógica e prevenção e combate a incêndio, mostram-se flagrantemente insuficientes para remunerar mão de obra técnica especializada, encargos legais, tributos, despesas indiretas, responsabilidade técnica e riscos inerentes à execução dos serviços, evidenciando a inexequibilidade da proposta;</w:t>
      </w:r>
    </w:p>
    <w:p w14:paraId="4734C9CD" w14:textId="77777777" w:rsidR="00E16935" w:rsidRPr="00D9517C" w:rsidRDefault="00E16935" w:rsidP="00E16935">
      <w:pPr>
        <w:numPr>
          <w:ilvl w:val="0"/>
          <w:numId w:val="8"/>
        </w:numPr>
        <w:spacing w:line="278" w:lineRule="auto"/>
        <w:jc w:val="both"/>
        <w:rPr>
          <w:rFonts w:ascii="Arial" w:hAnsi="Arial" w:cs="Arial"/>
          <w:sz w:val="24"/>
          <w:szCs w:val="24"/>
        </w:rPr>
      </w:pPr>
      <w:r w:rsidRPr="00D9517C">
        <w:rPr>
          <w:rFonts w:ascii="Arial" w:hAnsi="Arial" w:cs="Arial"/>
          <w:b/>
          <w:bCs/>
          <w:sz w:val="24"/>
          <w:szCs w:val="24"/>
        </w:rPr>
        <w:t>descumpre exigências formais expressas do edital</w:t>
      </w:r>
      <w:r w:rsidRPr="00D9517C">
        <w:rPr>
          <w:rFonts w:ascii="Arial" w:hAnsi="Arial" w:cs="Arial"/>
          <w:sz w:val="24"/>
          <w:szCs w:val="24"/>
        </w:rPr>
        <w:t>, uma vez que a documentação de habilitação foi encaminhada em formato diverso do exigido, a planilha orçamentária não foi apresentada em formato editável Excel (.XLS ou .XLSX), conforme determinação editalícia, e os valores unitários foram lançados com número de casas decimais superior ao permitido, além de haver divergência entre o valor global da proposta (R$ 43.998,08) e o valor constante do cronograma físico-financeiro, o que compromete a clareza, a objetividade e a confiabilidade da proposta;</w:t>
      </w:r>
    </w:p>
    <w:p w14:paraId="4F2E8614" w14:textId="77777777" w:rsidR="00E16935" w:rsidRPr="00D9517C" w:rsidRDefault="00E16935" w:rsidP="00E16935">
      <w:pPr>
        <w:numPr>
          <w:ilvl w:val="0"/>
          <w:numId w:val="8"/>
        </w:numPr>
        <w:spacing w:line="278" w:lineRule="auto"/>
        <w:jc w:val="both"/>
        <w:rPr>
          <w:rFonts w:ascii="Arial" w:hAnsi="Arial" w:cs="Arial"/>
          <w:sz w:val="24"/>
          <w:szCs w:val="24"/>
        </w:rPr>
      </w:pPr>
      <w:r w:rsidRPr="00D9517C">
        <w:rPr>
          <w:rFonts w:ascii="Arial" w:hAnsi="Arial" w:cs="Arial"/>
          <w:b/>
          <w:bCs/>
          <w:sz w:val="24"/>
          <w:szCs w:val="24"/>
        </w:rPr>
        <w:t>não demonstra, de forma técnica e objetiva, a exequibilidade econômico-financeira dos serviços propostos</w:t>
      </w:r>
      <w:r w:rsidRPr="00D9517C">
        <w:rPr>
          <w:rFonts w:ascii="Arial" w:hAnsi="Arial" w:cs="Arial"/>
          <w:sz w:val="24"/>
          <w:szCs w:val="24"/>
        </w:rPr>
        <w:t>, deixando de apresentar memória de cálculo compatível, composições analíticas de custos ou qualquer justificativa técnica idônea capaz de comprovar que o valor global de R$ 43.998,08 é suficiente para a execução integral, adequada e regular do objeto, em afronta direta ao disposto no art. 59 da Lei nº 14.133/2021, o que impede a Administração de aferir a real viabilidade da contratação.</w:t>
      </w:r>
    </w:p>
    <w:p w14:paraId="46DA877B" w14:textId="77777777" w:rsidR="00E16935" w:rsidRPr="00D9517C" w:rsidRDefault="00E16935" w:rsidP="00E16935">
      <w:pPr>
        <w:spacing w:line="278" w:lineRule="auto"/>
        <w:jc w:val="both"/>
        <w:rPr>
          <w:rFonts w:ascii="Arial" w:hAnsi="Arial" w:cs="Arial"/>
          <w:sz w:val="24"/>
          <w:szCs w:val="24"/>
        </w:rPr>
      </w:pPr>
      <w:r w:rsidRPr="00D9517C">
        <w:rPr>
          <w:rFonts w:ascii="Arial" w:hAnsi="Arial" w:cs="Arial"/>
          <w:sz w:val="24"/>
          <w:szCs w:val="24"/>
        </w:rPr>
        <w:lastRenderedPageBreak/>
        <w:t>Ainda assim, a proposta foi aceita, em afronta direta à Lei nº 14.133/2021, às disposições expressas do edital e à jurisprudência consolidada dos Tribunais de Contas, que reiteradamente reconhecem a obrigatoriedade de desclassificação de propostas manifestamente inexequíveis ou em desconformidade com o instrumento convocatório.</w:t>
      </w:r>
    </w:p>
    <w:p w14:paraId="488C47D5" w14:textId="77777777" w:rsidR="00E16935" w:rsidRPr="00AF714D" w:rsidRDefault="00E16935" w:rsidP="00E16935">
      <w:pPr>
        <w:spacing w:line="278" w:lineRule="auto"/>
        <w:rPr>
          <w:rFonts w:ascii="Arial" w:hAnsi="Arial" w:cs="Arial"/>
          <w:sz w:val="24"/>
          <w:szCs w:val="24"/>
        </w:rPr>
      </w:pPr>
    </w:p>
    <w:p w14:paraId="48ACA187" w14:textId="77777777" w:rsidR="00E16935" w:rsidRPr="00AF714D" w:rsidRDefault="00E16935" w:rsidP="00E16935">
      <w:pPr>
        <w:spacing w:line="278" w:lineRule="auto"/>
        <w:rPr>
          <w:rFonts w:ascii="Arial" w:hAnsi="Arial" w:cs="Arial"/>
          <w:b/>
          <w:bCs/>
          <w:sz w:val="24"/>
          <w:szCs w:val="24"/>
        </w:rPr>
      </w:pPr>
      <w:r w:rsidRPr="00AF714D">
        <w:rPr>
          <w:rFonts w:ascii="Arial" w:hAnsi="Arial" w:cs="Arial"/>
          <w:b/>
          <w:bCs/>
          <w:sz w:val="24"/>
          <w:szCs w:val="24"/>
        </w:rPr>
        <w:t>III – DA INEXEQUIBILIDADE DA PROPOSTA</w:t>
      </w:r>
    </w:p>
    <w:p w14:paraId="21BD8825" w14:textId="77777777" w:rsidR="00E16935" w:rsidRPr="00AF714D" w:rsidRDefault="00E16935" w:rsidP="00E16935">
      <w:pPr>
        <w:spacing w:line="278" w:lineRule="auto"/>
        <w:rPr>
          <w:rFonts w:ascii="Arial" w:hAnsi="Arial" w:cs="Arial"/>
          <w:b/>
          <w:bCs/>
          <w:sz w:val="24"/>
          <w:szCs w:val="24"/>
        </w:rPr>
      </w:pPr>
      <w:r w:rsidRPr="00AF714D">
        <w:rPr>
          <w:rFonts w:ascii="Arial" w:hAnsi="Arial" w:cs="Arial"/>
          <w:b/>
          <w:bCs/>
          <w:sz w:val="24"/>
          <w:szCs w:val="24"/>
        </w:rPr>
        <w:t>1. Do parâmetro legal objetivo</w:t>
      </w:r>
    </w:p>
    <w:p w14:paraId="7F1CAD95" w14:textId="77777777" w:rsidR="00E16935" w:rsidRPr="00AF714D" w:rsidRDefault="00E16935" w:rsidP="00E16935">
      <w:pPr>
        <w:spacing w:line="278" w:lineRule="auto"/>
        <w:rPr>
          <w:rFonts w:ascii="Arial" w:hAnsi="Arial" w:cs="Arial"/>
          <w:sz w:val="24"/>
          <w:szCs w:val="24"/>
        </w:rPr>
      </w:pPr>
      <w:r w:rsidRPr="00AF714D">
        <w:rPr>
          <w:rFonts w:ascii="Arial" w:hAnsi="Arial" w:cs="Arial"/>
          <w:sz w:val="24"/>
          <w:szCs w:val="24"/>
        </w:rPr>
        <w:t xml:space="preserve">Nos termos do </w:t>
      </w:r>
      <w:r w:rsidRPr="00AF714D">
        <w:rPr>
          <w:rFonts w:ascii="Arial" w:hAnsi="Arial" w:cs="Arial"/>
          <w:b/>
          <w:bCs/>
          <w:sz w:val="24"/>
          <w:szCs w:val="24"/>
        </w:rPr>
        <w:t>art. 59, §4º, da Lei nº 14.133/2021</w:t>
      </w:r>
      <w:r w:rsidRPr="00AF714D">
        <w:rPr>
          <w:rFonts w:ascii="Arial" w:hAnsi="Arial" w:cs="Arial"/>
          <w:sz w:val="24"/>
          <w:szCs w:val="24"/>
        </w:rPr>
        <w:t>, nas contratações de obras e serviços de engenharia:</w:t>
      </w:r>
    </w:p>
    <w:p w14:paraId="0A3C2B89" w14:textId="77777777" w:rsidR="00E16935" w:rsidRPr="00AF714D" w:rsidRDefault="00E16935" w:rsidP="00E16935">
      <w:pPr>
        <w:spacing w:line="278" w:lineRule="auto"/>
        <w:ind w:left="3402"/>
        <w:rPr>
          <w:rFonts w:ascii="Arial" w:hAnsi="Arial" w:cs="Arial"/>
          <w:sz w:val="24"/>
          <w:szCs w:val="24"/>
        </w:rPr>
      </w:pPr>
      <w:r w:rsidRPr="00AF714D">
        <w:rPr>
          <w:rFonts w:ascii="Arial" w:hAnsi="Arial" w:cs="Arial"/>
          <w:sz w:val="24"/>
          <w:szCs w:val="24"/>
        </w:rPr>
        <w:t>“Serão consideradas inexequíveis as propostas cujos valores forem inferiores a 75% do valor orçado pela Administração.”</w:t>
      </w:r>
    </w:p>
    <w:p w14:paraId="415EEABB" w14:textId="77777777" w:rsidR="00E16935" w:rsidRPr="00AF714D" w:rsidRDefault="00E16935" w:rsidP="00E16935">
      <w:pPr>
        <w:spacing w:line="278" w:lineRule="auto"/>
        <w:rPr>
          <w:rFonts w:ascii="Arial" w:hAnsi="Arial" w:cs="Arial"/>
          <w:sz w:val="24"/>
          <w:szCs w:val="24"/>
        </w:rPr>
      </w:pPr>
      <w:r w:rsidRPr="00AF714D">
        <w:rPr>
          <w:rFonts w:ascii="Arial" w:hAnsi="Arial" w:cs="Arial"/>
          <w:sz w:val="24"/>
          <w:szCs w:val="24"/>
        </w:rPr>
        <w:t xml:space="preserve">O próprio edital, em seu </w:t>
      </w:r>
      <w:r w:rsidRPr="00AF714D">
        <w:rPr>
          <w:rFonts w:ascii="Arial" w:hAnsi="Arial" w:cs="Arial"/>
          <w:b/>
          <w:bCs/>
          <w:sz w:val="24"/>
          <w:szCs w:val="24"/>
        </w:rPr>
        <w:t>item 11.2.9</w:t>
      </w:r>
      <w:r w:rsidRPr="00AF714D">
        <w:rPr>
          <w:rFonts w:ascii="Arial" w:hAnsi="Arial" w:cs="Arial"/>
          <w:sz w:val="24"/>
          <w:szCs w:val="24"/>
        </w:rPr>
        <w:t>, reproduz expressamente esse comando legal, vinculando a Administração ao seu fiel cumprimento.</w:t>
      </w:r>
    </w:p>
    <w:p w14:paraId="715FD81B" w14:textId="77777777" w:rsidR="00E16935" w:rsidRPr="00AF714D" w:rsidRDefault="00E16935" w:rsidP="00E16935">
      <w:pPr>
        <w:spacing w:line="278" w:lineRule="auto"/>
        <w:rPr>
          <w:rFonts w:ascii="Arial" w:hAnsi="Arial" w:cs="Arial"/>
          <w:sz w:val="24"/>
          <w:szCs w:val="24"/>
        </w:rPr>
      </w:pPr>
    </w:p>
    <w:p w14:paraId="04F26B4A" w14:textId="77777777" w:rsidR="00E16935" w:rsidRPr="00AF714D" w:rsidRDefault="00E16935" w:rsidP="00E16935">
      <w:pPr>
        <w:spacing w:line="278" w:lineRule="auto"/>
        <w:rPr>
          <w:rFonts w:ascii="Arial" w:hAnsi="Arial" w:cs="Arial"/>
          <w:b/>
          <w:bCs/>
          <w:sz w:val="24"/>
          <w:szCs w:val="24"/>
        </w:rPr>
      </w:pPr>
      <w:r w:rsidRPr="00AF714D">
        <w:rPr>
          <w:rFonts w:ascii="Arial" w:hAnsi="Arial" w:cs="Arial"/>
          <w:b/>
          <w:bCs/>
          <w:sz w:val="24"/>
          <w:szCs w:val="24"/>
        </w:rPr>
        <w:t>2. Da incompatibilidade dos preços ofertados com o objeto</w:t>
      </w:r>
    </w:p>
    <w:p w14:paraId="630AA383" w14:textId="77777777" w:rsidR="00E16935" w:rsidRPr="00AF714D" w:rsidRDefault="00E16935" w:rsidP="00E16935">
      <w:pPr>
        <w:spacing w:line="278" w:lineRule="auto"/>
        <w:jc w:val="both"/>
        <w:rPr>
          <w:rFonts w:ascii="Arial" w:hAnsi="Arial" w:cs="Arial"/>
          <w:sz w:val="24"/>
          <w:szCs w:val="24"/>
        </w:rPr>
      </w:pPr>
      <w:r w:rsidRPr="00AF714D">
        <w:rPr>
          <w:rFonts w:ascii="Arial" w:hAnsi="Arial" w:cs="Arial"/>
          <w:sz w:val="24"/>
          <w:szCs w:val="24"/>
        </w:rPr>
        <w:t xml:space="preserve">A proposta vencedora apresenta </w:t>
      </w:r>
      <w:r w:rsidRPr="00AF714D">
        <w:rPr>
          <w:rFonts w:ascii="Arial" w:hAnsi="Arial" w:cs="Arial"/>
          <w:b/>
          <w:bCs/>
          <w:sz w:val="24"/>
          <w:szCs w:val="24"/>
        </w:rPr>
        <w:t>valores unitários irrisórios</w:t>
      </w:r>
      <w:r w:rsidRPr="00AF714D">
        <w:rPr>
          <w:rFonts w:ascii="Arial" w:hAnsi="Arial" w:cs="Arial"/>
          <w:sz w:val="24"/>
          <w:szCs w:val="24"/>
        </w:rPr>
        <w:t>, incompatíveis com:</w:t>
      </w:r>
    </w:p>
    <w:p w14:paraId="2A2FCA2F" w14:textId="77777777" w:rsidR="00E16935" w:rsidRPr="00AF714D" w:rsidRDefault="00E16935" w:rsidP="00E16935">
      <w:pPr>
        <w:numPr>
          <w:ilvl w:val="0"/>
          <w:numId w:val="1"/>
        </w:numPr>
        <w:spacing w:line="278" w:lineRule="auto"/>
        <w:jc w:val="both"/>
        <w:rPr>
          <w:rFonts w:ascii="Arial" w:hAnsi="Arial" w:cs="Arial"/>
          <w:sz w:val="24"/>
          <w:szCs w:val="24"/>
        </w:rPr>
      </w:pPr>
      <w:r w:rsidRPr="00AF714D">
        <w:rPr>
          <w:rFonts w:ascii="Arial" w:hAnsi="Arial" w:cs="Arial"/>
          <w:sz w:val="24"/>
          <w:szCs w:val="24"/>
        </w:rPr>
        <w:t>a complexidade técnica dos projetos exigidos;</w:t>
      </w:r>
    </w:p>
    <w:p w14:paraId="066C2EA4" w14:textId="77777777" w:rsidR="00E16935" w:rsidRPr="00AF714D" w:rsidRDefault="00E16935" w:rsidP="00E16935">
      <w:pPr>
        <w:numPr>
          <w:ilvl w:val="0"/>
          <w:numId w:val="1"/>
        </w:numPr>
        <w:spacing w:line="278" w:lineRule="auto"/>
        <w:jc w:val="both"/>
        <w:rPr>
          <w:rFonts w:ascii="Arial" w:hAnsi="Arial" w:cs="Arial"/>
          <w:sz w:val="24"/>
          <w:szCs w:val="24"/>
        </w:rPr>
      </w:pPr>
      <w:r w:rsidRPr="00AF714D">
        <w:rPr>
          <w:rFonts w:ascii="Arial" w:hAnsi="Arial" w:cs="Arial"/>
          <w:sz w:val="24"/>
          <w:szCs w:val="24"/>
        </w:rPr>
        <w:t>a necessidade de profissionais legalmente habilitados;</w:t>
      </w:r>
    </w:p>
    <w:p w14:paraId="7F45FA94" w14:textId="77777777" w:rsidR="00E16935" w:rsidRPr="00AF714D" w:rsidRDefault="00E16935" w:rsidP="00E16935">
      <w:pPr>
        <w:numPr>
          <w:ilvl w:val="0"/>
          <w:numId w:val="1"/>
        </w:numPr>
        <w:spacing w:line="278" w:lineRule="auto"/>
        <w:jc w:val="both"/>
        <w:rPr>
          <w:rFonts w:ascii="Arial" w:hAnsi="Arial" w:cs="Arial"/>
          <w:sz w:val="24"/>
          <w:szCs w:val="24"/>
        </w:rPr>
      </w:pPr>
      <w:r w:rsidRPr="00AF714D">
        <w:rPr>
          <w:rFonts w:ascii="Arial" w:hAnsi="Arial" w:cs="Arial"/>
          <w:sz w:val="24"/>
          <w:szCs w:val="24"/>
        </w:rPr>
        <w:t>a elaboração de projetos elétricos, SPDA, lógica, prevenção e combate a incêndio;</w:t>
      </w:r>
    </w:p>
    <w:p w14:paraId="3AAAF807" w14:textId="77777777" w:rsidR="00E16935" w:rsidRPr="00AF714D" w:rsidRDefault="00E16935" w:rsidP="00E16935">
      <w:pPr>
        <w:numPr>
          <w:ilvl w:val="0"/>
          <w:numId w:val="1"/>
        </w:numPr>
        <w:spacing w:line="278" w:lineRule="auto"/>
        <w:jc w:val="both"/>
        <w:rPr>
          <w:rFonts w:ascii="Arial" w:hAnsi="Arial" w:cs="Arial"/>
          <w:sz w:val="24"/>
          <w:szCs w:val="24"/>
        </w:rPr>
      </w:pPr>
      <w:r w:rsidRPr="00AF714D">
        <w:rPr>
          <w:rFonts w:ascii="Arial" w:hAnsi="Arial" w:cs="Arial"/>
          <w:sz w:val="24"/>
          <w:szCs w:val="24"/>
        </w:rPr>
        <w:t>a responsabilidade técnica e os riscos inerentes ao objeto.</w:t>
      </w:r>
    </w:p>
    <w:p w14:paraId="4BF9EC8C" w14:textId="77777777" w:rsidR="00E16935" w:rsidRPr="00AF714D" w:rsidRDefault="00E16935" w:rsidP="00E16935">
      <w:pPr>
        <w:spacing w:line="278" w:lineRule="auto"/>
        <w:jc w:val="both"/>
        <w:rPr>
          <w:rFonts w:ascii="Arial" w:hAnsi="Arial" w:cs="Arial"/>
          <w:sz w:val="24"/>
          <w:szCs w:val="24"/>
        </w:rPr>
      </w:pPr>
      <w:r w:rsidRPr="00AF714D">
        <w:rPr>
          <w:rFonts w:ascii="Arial" w:hAnsi="Arial" w:cs="Arial"/>
          <w:sz w:val="24"/>
          <w:szCs w:val="24"/>
        </w:rPr>
        <w:t>Trata-se de serviços de engenharia que exigem:</w:t>
      </w:r>
    </w:p>
    <w:p w14:paraId="4DF4A60D" w14:textId="77777777" w:rsidR="00E16935" w:rsidRPr="00AF714D" w:rsidRDefault="00E16935" w:rsidP="00E16935">
      <w:pPr>
        <w:numPr>
          <w:ilvl w:val="0"/>
          <w:numId w:val="2"/>
        </w:numPr>
        <w:spacing w:line="278" w:lineRule="auto"/>
        <w:jc w:val="both"/>
        <w:rPr>
          <w:rFonts w:ascii="Arial" w:hAnsi="Arial" w:cs="Arial"/>
          <w:sz w:val="24"/>
          <w:szCs w:val="24"/>
        </w:rPr>
      </w:pPr>
      <w:r w:rsidRPr="00AF714D">
        <w:rPr>
          <w:rFonts w:ascii="Arial" w:hAnsi="Arial" w:cs="Arial"/>
          <w:sz w:val="24"/>
          <w:szCs w:val="24"/>
        </w:rPr>
        <w:t>equipe multidisciplinar;</w:t>
      </w:r>
    </w:p>
    <w:p w14:paraId="3D932FD7" w14:textId="77777777" w:rsidR="00E16935" w:rsidRPr="00AF714D" w:rsidRDefault="00E16935" w:rsidP="00E16935">
      <w:pPr>
        <w:numPr>
          <w:ilvl w:val="0"/>
          <w:numId w:val="2"/>
        </w:numPr>
        <w:spacing w:line="278" w:lineRule="auto"/>
        <w:jc w:val="both"/>
        <w:rPr>
          <w:rFonts w:ascii="Arial" w:hAnsi="Arial" w:cs="Arial"/>
          <w:sz w:val="24"/>
          <w:szCs w:val="24"/>
        </w:rPr>
      </w:pPr>
      <w:r w:rsidRPr="00AF714D">
        <w:rPr>
          <w:rFonts w:ascii="Arial" w:hAnsi="Arial" w:cs="Arial"/>
          <w:sz w:val="24"/>
          <w:szCs w:val="24"/>
        </w:rPr>
        <w:t>softwares técnicos especializados;</w:t>
      </w:r>
    </w:p>
    <w:p w14:paraId="529F3341" w14:textId="77777777" w:rsidR="00E16935" w:rsidRPr="00AF714D" w:rsidRDefault="00E16935" w:rsidP="00E16935">
      <w:pPr>
        <w:numPr>
          <w:ilvl w:val="0"/>
          <w:numId w:val="2"/>
        </w:numPr>
        <w:spacing w:line="278" w:lineRule="auto"/>
        <w:jc w:val="both"/>
        <w:rPr>
          <w:rFonts w:ascii="Arial" w:hAnsi="Arial" w:cs="Arial"/>
          <w:sz w:val="24"/>
          <w:szCs w:val="24"/>
        </w:rPr>
      </w:pPr>
      <w:r w:rsidRPr="00AF714D">
        <w:rPr>
          <w:rFonts w:ascii="Arial" w:hAnsi="Arial" w:cs="Arial"/>
          <w:sz w:val="24"/>
          <w:szCs w:val="24"/>
        </w:rPr>
        <w:t>responsabilidade civil e técnica;</w:t>
      </w:r>
    </w:p>
    <w:p w14:paraId="407E30E3" w14:textId="77777777" w:rsidR="00E16935" w:rsidRPr="00AF714D" w:rsidRDefault="00E16935" w:rsidP="00E16935">
      <w:pPr>
        <w:numPr>
          <w:ilvl w:val="0"/>
          <w:numId w:val="2"/>
        </w:numPr>
        <w:spacing w:line="278" w:lineRule="auto"/>
        <w:jc w:val="both"/>
        <w:rPr>
          <w:rFonts w:ascii="Arial" w:hAnsi="Arial" w:cs="Arial"/>
          <w:sz w:val="24"/>
          <w:szCs w:val="24"/>
        </w:rPr>
      </w:pPr>
      <w:r w:rsidRPr="00AF714D">
        <w:rPr>
          <w:rFonts w:ascii="Arial" w:hAnsi="Arial" w:cs="Arial"/>
          <w:sz w:val="24"/>
          <w:szCs w:val="24"/>
        </w:rPr>
        <w:t>observância de normas da ABNT, Corpo de Bombeiros, concessionárias e CREA.</w:t>
      </w:r>
    </w:p>
    <w:p w14:paraId="44263A00" w14:textId="77777777" w:rsidR="00E16935" w:rsidRPr="00AF714D" w:rsidRDefault="00E16935" w:rsidP="00E16935">
      <w:pPr>
        <w:spacing w:line="278" w:lineRule="auto"/>
        <w:jc w:val="both"/>
        <w:rPr>
          <w:rFonts w:ascii="Arial" w:hAnsi="Arial" w:cs="Arial"/>
          <w:sz w:val="24"/>
          <w:szCs w:val="24"/>
        </w:rPr>
      </w:pPr>
      <w:r w:rsidRPr="00AF714D">
        <w:rPr>
          <w:rFonts w:ascii="Arial" w:hAnsi="Arial" w:cs="Arial"/>
          <w:sz w:val="24"/>
          <w:szCs w:val="24"/>
        </w:rPr>
        <w:t xml:space="preserve">Os valores apresentados </w:t>
      </w:r>
      <w:r w:rsidRPr="00AF714D">
        <w:rPr>
          <w:rFonts w:ascii="Arial" w:hAnsi="Arial" w:cs="Arial"/>
          <w:b/>
          <w:bCs/>
          <w:sz w:val="24"/>
          <w:szCs w:val="24"/>
        </w:rPr>
        <w:t>não cobrem sequer os custos mínimos diretos</w:t>
      </w:r>
      <w:r w:rsidRPr="00AF714D">
        <w:rPr>
          <w:rFonts w:ascii="Arial" w:hAnsi="Arial" w:cs="Arial"/>
          <w:sz w:val="24"/>
          <w:szCs w:val="24"/>
        </w:rPr>
        <w:t>, muito menos encargos indiretos, tributos, despesas administrativas e margem operacional.</w:t>
      </w:r>
    </w:p>
    <w:p w14:paraId="098BDB0F" w14:textId="77777777" w:rsidR="00E16935" w:rsidRPr="00AF714D" w:rsidRDefault="00E16935" w:rsidP="00E16935">
      <w:pPr>
        <w:spacing w:line="278" w:lineRule="auto"/>
        <w:rPr>
          <w:rFonts w:ascii="Arial" w:hAnsi="Arial" w:cs="Arial"/>
          <w:sz w:val="24"/>
          <w:szCs w:val="24"/>
        </w:rPr>
      </w:pPr>
    </w:p>
    <w:p w14:paraId="555F85BF" w14:textId="77777777" w:rsidR="00E16935" w:rsidRPr="00AF714D" w:rsidRDefault="00E16935" w:rsidP="00E16935">
      <w:pPr>
        <w:spacing w:line="278" w:lineRule="auto"/>
        <w:rPr>
          <w:rFonts w:ascii="Arial" w:hAnsi="Arial" w:cs="Arial"/>
          <w:b/>
          <w:bCs/>
          <w:sz w:val="24"/>
          <w:szCs w:val="24"/>
        </w:rPr>
      </w:pPr>
      <w:r w:rsidRPr="00AF714D">
        <w:rPr>
          <w:rFonts w:ascii="Arial" w:hAnsi="Arial" w:cs="Arial"/>
          <w:b/>
          <w:bCs/>
          <w:sz w:val="24"/>
          <w:szCs w:val="24"/>
        </w:rPr>
        <w:lastRenderedPageBreak/>
        <w:t>3. Da ausência de demonstração de exequibilidade</w:t>
      </w:r>
    </w:p>
    <w:p w14:paraId="4C9ACC2C" w14:textId="77777777" w:rsidR="00E16935" w:rsidRPr="00AF714D" w:rsidRDefault="00E16935" w:rsidP="00E16935">
      <w:pPr>
        <w:spacing w:line="278" w:lineRule="auto"/>
        <w:jc w:val="both"/>
        <w:rPr>
          <w:rFonts w:ascii="Arial" w:hAnsi="Arial" w:cs="Arial"/>
          <w:sz w:val="24"/>
          <w:szCs w:val="24"/>
        </w:rPr>
      </w:pPr>
      <w:r w:rsidRPr="00AF714D">
        <w:rPr>
          <w:rFonts w:ascii="Arial" w:hAnsi="Arial" w:cs="Arial"/>
          <w:sz w:val="24"/>
          <w:szCs w:val="24"/>
        </w:rPr>
        <w:t xml:space="preserve">Mesmo diante de preços anormalmente baixos, </w:t>
      </w:r>
      <w:r w:rsidRPr="00AF714D">
        <w:rPr>
          <w:rFonts w:ascii="Arial" w:hAnsi="Arial" w:cs="Arial"/>
          <w:b/>
          <w:bCs/>
          <w:sz w:val="24"/>
          <w:szCs w:val="24"/>
        </w:rPr>
        <w:t>não foi apresentada demonstração técnica de exequibilidade</w:t>
      </w:r>
      <w:r w:rsidRPr="00AF714D">
        <w:rPr>
          <w:rFonts w:ascii="Arial" w:hAnsi="Arial" w:cs="Arial"/>
          <w:sz w:val="24"/>
          <w:szCs w:val="24"/>
        </w:rPr>
        <w:t xml:space="preserve">, nos moldes exigidos pelo </w:t>
      </w:r>
      <w:r w:rsidRPr="00AF714D">
        <w:rPr>
          <w:rFonts w:ascii="Arial" w:hAnsi="Arial" w:cs="Arial"/>
          <w:b/>
          <w:bCs/>
          <w:sz w:val="24"/>
          <w:szCs w:val="24"/>
        </w:rPr>
        <w:t>art. 59, §§ 2º e 3º, da Lei nº 14.133/2021</w:t>
      </w:r>
      <w:r w:rsidRPr="00AF714D">
        <w:rPr>
          <w:rFonts w:ascii="Arial" w:hAnsi="Arial" w:cs="Arial"/>
          <w:sz w:val="24"/>
          <w:szCs w:val="24"/>
        </w:rPr>
        <w:t>, tais como:</w:t>
      </w:r>
    </w:p>
    <w:p w14:paraId="6997A161" w14:textId="77777777" w:rsidR="00E16935" w:rsidRPr="00AF714D" w:rsidRDefault="00E16935" w:rsidP="00E16935">
      <w:pPr>
        <w:numPr>
          <w:ilvl w:val="0"/>
          <w:numId w:val="3"/>
        </w:numPr>
        <w:spacing w:line="278" w:lineRule="auto"/>
        <w:jc w:val="both"/>
        <w:rPr>
          <w:rFonts w:ascii="Arial" w:hAnsi="Arial" w:cs="Arial"/>
          <w:sz w:val="24"/>
          <w:szCs w:val="24"/>
        </w:rPr>
      </w:pPr>
      <w:r w:rsidRPr="00AF714D">
        <w:rPr>
          <w:rFonts w:ascii="Arial" w:hAnsi="Arial" w:cs="Arial"/>
          <w:sz w:val="24"/>
          <w:szCs w:val="24"/>
        </w:rPr>
        <w:t>planilhas analíticas coerentes;</w:t>
      </w:r>
    </w:p>
    <w:p w14:paraId="7916E791" w14:textId="77777777" w:rsidR="00E16935" w:rsidRPr="00AF714D" w:rsidRDefault="00E16935" w:rsidP="00E16935">
      <w:pPr>
        <w:numPr>
          <w:ilvl w:val="0"/>
          <w:numId w:val="3"/>
        </w:numPr>
        <w:spacing w:line="278" w:lineRule="auto"/>
        <w:jc w:val="both"/>
        <w:rPr>
          <w:rFonts w:ascii="Arial" w:hAnsi="Arial" w:cs="Arial"/>
          <w:sz w:val="24"/>
          <w:szCs w:val="24"/>
        </w:rPr>
      </w:pPr>
      <w:r w:rsidRPr="00AF714D">
        <w:rPr>
          <w:rFonts w:ascii="Arial" w:hAnsi="Arial" w:cs="Arial"/>
          <w:sz w:val="24"/>
          <w:szCs w:val="24"/>
        </w:rPr>
        <w:t>memória de cálculo detalhada;</w:t>
      </w:r>
    </w:p>
    <w:p w14:paraId="7EBEA400" w14:textId="77777777" w:rsidR="00E16935" w:rsidRPr="00AF714D" w:rsidRDefault="00E16935" w:rsidP="00E16935">
      <w:pPr>
        <w:numPr>
          <w:ilvl w:val="0"/>
          <w:numId w:val="3"/>
        </w:numPr>
        <w:spacing w:line="278" w:lineRule="auto"/>
        <w:jc w:val="both"/>
        <w:rPr>
          <w:rFonts w:ascii="Arial" w:hAnsi="Arial" w:cs="Arial"/>
          <w:sz w:val="24"/>
          <w:szCs w:val="24"/>
        </w:rPr>
      </w:pPr>
      <w:r w:rsidRPr="00AF714D">
        <w:rPr>
          <w:rFonts w:ascii="Arial" w:hAnsi="Arial" w:cs="Arial"/>
          <w:sz w:val="24"/>
          <w:szCs w:val="24"/>
        </w:rPr>
        <w:t>justificativas técnicas compatíveis com os preços praticados no mercado.</w:t>
      </w:r>
    </w:p>
    <w:p w14:paraId="72A69DCA" w14:textId="77777777" w:rsidR="00E16935" w:rsidRPr="00AF714D" w:rsidRDefault="00E16935" w:rsidP="00E16935">
      <w:pPr>
        <w:spacing w:line="278" w:lineRule="auto"/>
        <w:jc w:val="both"/>
        <w:rPr>
          <w:rFonts w:ascii="Arial" w:hAnsi="Arial" w:cs="Arial"/>
          <w:sz w:val="24"/>
          <w:szCs w:val="24"/>
        </w:rPr>
      </w:pPr>
      <w:r w:rsidRPr="00AF714D">
        <w:rPr>
          <w:rFonts w:ascii="Arial" w:hAnsi="Arial" w:cs="Arial"/>
          <w:sz w:val="24"/>
          <w:szCs w:val="24"/>
        </w:rPr>
        <w:t xml:space="preserve">A aceitação automática da proposta viola o dever da Administração de </w:t>
      </w:r>
      <w:r w:rsidRPr="00AF714D">
        <w:rPr>
          <w:rFonts w:ascii="Arial" w:hAnsi="Arial" w:cs="Arial"/>
          <w:b/>
          <w:bCs/>
          <w:sz w:val="24"/>
          <w:szCs w:val="24"/>
        </w:rPr>
        <w:t>avaliar a viabilidade real da execução contratual</w:t>
      </w:r>
      <w:r w:rsidRPr="00AF714D">
        <w:rPr>
          <w:rFonts w:ascii="Arial" w:hAnsi="Arial" w:cs="Arial"/>
          <w:sz w:val="24"/>
          <w:szCs w:val="24"/>
        </w:rPr>
        <w:t>, expondo o interesse público a riscos concretos de:</w:t>
      </w:r>
    </w:p>
    <w:p w14:paraId="7D005015" w14:textId="77777777" w:rsidR="00E16935" w:rsidRPr="00AF714D" w:rsidRDefault="00E16935" w:rsidP="00E16935">
      <w:pPr>
        <w:numPr>
          <w:ilvl w:val="0"/>
          <w:numId w:val="4"/>
        </w:numPr>
        <w:spacing w:line="278" w:lineRule="auto"/>
        <w:jc w:val="both"/>
        <w:rPr>
          <w:rFonts w:ascii="Arial" w:hAnsi="Arial" w:cs="Arial"/>
          <w:sz w:val="24"/>
          <w:szCs w:val="24"/>
        </w:rPr>
      </w:pPr>
      <w:r w:rsidRPr="00AF714D">
        <w:rPr>
          <w:rFonts w:ascii="Arial" w:hAnsi="Arial" w:cs="Arial"/>
          <w:sz w:val="24"/>
          <w:szCs w:val="24"/>
        </w:rPr>
        <w:t>paralisação contratual;</w:t>
      </w:r>
    </w:p>
    <w:p w14:paraId="100D1FA8" w14:textId="77777777" w:rsidR="00E16935" w:rsidRPr="00AF714D" w:rsidRDefault="00E16935" w:rsidP="00E16935">
      <w:pPr>
        <w:numPr>
          <w:ilvl w:val="0"/>
          <w:numId w:val="4"/>
        </w:numPr>
        <w:spacing w:line="278" w:lineRule="auto"/>
        <w:jc w:val="both"/>
        <w:rPr>
          <w:rFonts w:ascii="Arial" w:hAnsi="Arial" w:cs="Arial"/>
          <w:sz w:val="24"/>
          <w:szCs w:val="24"/>
        </w:rPr>
      </w:pPr>
      <w:r w:rsidRPr="00AF714D">
        <w:rPr>
          <w:rFonts w:ascii="Arial" w:hAnsi="Arial" w:cs="Arial"/>
          <w:sz w:val="24"/>
          <w:szCs w:val="24"/>
        </w:rPr>
        <w:t>aditivos indevidos;</w:t>
      </w:r>
    </w:p>
    <w:p w14:paraId="62842468" w14:textId="77777777" w:rsidR="00E16935" w:rsidRPr="00AF714D" w:rsidRDefault="00E16935" w:rsidP="00E16935">
      <w:pPr>
        <w:numPr>
          <w:ilvl w:val="0"/>
          <w:numId w:val="4"/>
        </w:numPr>
        <w:spacing w:line="278" w:lineRule="auto"/>
        <w:jc w:val="both"/>
        <w:rPr>
          <w:rFonts w:ascii="Arial" w:hAnsi="Arial" w:cs="Arial"/>
          <w:sz w:val="24"/>
          <w:szCs w:val="24"/>
        </w:rPr>
      </w:pPr>
      <w:r w:rsidRPr="00AF714D">
        <w:rPr>
          <w:rFonts w:ascii="Arial" w:hAnsi="Arial" w:cs="Arial"/>
          <w:sz w:val="24"/>
          <w:szCs w:val="24"/>
        </w:rPr>
        <w:t>projetos incompletos ou tecnicamente falhos;</w:t>
      </w:r>
    </w:p>
    <w:p w14:paraId="0275825A" w14:textId="77777777" w:rsidR="00E16935" w:rsidRPr="00AF714D" w:rsidRDefault="00E16935" w:rsidP="00E16935">
      <w:pPr>
        <w:numPr>
          <w:ilvl w:val="0"/>
          <w:numId w:val="4"/>
        </w:numPr>
        <w:spacing w:line="278" w:lineRule="auto"/>
        <w:jc w:val="both"/>
        <w:rPr>
          <w:rFonts w:ascii="Arial" w:hAnsi="Arial" w:cs="Arial"/>
          <w:sz w:val="24"/>
          <w:szCs w:val="24"/>
        </w:rPr>
      </w:pPr>
      <w:r w:rsidRPr="00AF714D">
        <w:rPr>
          <w:rFonts w:ascii="Arial" w:hAnsi="Arial" w:cs="Arial"/>
          <w:sz w:val="24"/>
          <w:szCs w:val="24"/>
        </w:rPr>
        <w:t>responsabilização futura do ente público.</w:t>
      </w:r>
    </w:p>
    <w:p w14:paraId="71165EA1" w14:textId="77777777" w:rsidR="00E16935" w:rsidRPr="00AF714D" w:rsidRDefault="00E16935" w:rsidP="00E16935">
      <w:pPr>
        <w:spacing w:line="278" w:lineRule="auto"/>
        <w:rPr>
          <w:rFonts w:ascii="Arial" w:hAnsi="Arial" w:cs="Arial"/>
          <w:sz w:val="24"/>
          <w:szCs w:val="24"/>
        </w:rPr>
      </w:pPr>
    </w:p>
    <w:p w14:paraId="02393F94" w14:textId="77777777" w:rsidR="00E16935" w:rsidRPr="00AF714D" w:rsidRDefault="00E16935" w:rsidP="00E16935">
      <w:pPr>
        <w:spacing w:line="278" w:lineRule="auto"/>
        <w:rPr>
          <w:rFonts w:ascii="Arial" w:hAnsi="Arial" w:cs="Arial"/>
          <w:b/>
          <w:bCs/>
          <w:sz w:val="24"/>
          <w:szCs w:val="24"/>
        </w:rPr>
      </w:pPr>
      <w:r w:rsidRPr="00AF714D">
        <w:rPr>
          <w:rFonts w:ascii="Arial" w:hAnsi="Arial" w:cs="Arial"/>
          <w:b/>
          <w:bCs/>
          <w:sz w:val="24"/>
          <w:szCs w:val="24"/>
        </w:rPr>
        <w:t>4. Da jurisprudência aplicável</w:t>
      </w:r>
    </w:p>
    <w:p w14:paraId="6948C956" w14:textId="77777777" w:rsidR="00E16935" w:rsidRPr="00AF714D" w:rsidRDefault="00E16935" w:rsidP="00E16935">
      <w:pPr>
        <w:spacing w:line="278" w:lineRule="auto"/>
        <w:jc w:val="both"/>
        <w:rPr>
          <w:rFonts w:ascii="Arial" w:hAnsi="Arial" w:cs="Arial"/>
          <w:sz w:val="24"/>
          <w:szCs w:val="24"/>
        </w:rPr>
      </w:pPr>
      <w:r w:rsidRPr="00AF714D">
        <w:rPr>
          <w:rFonts w:ascii="Arial" w:hAnsi="Arial" w:cs="Arial"/>
          <w:sz w:val="24"/>
          <w:szCs w:val="24"/>
        </w:rPr>
        <w:t>A jurisprudência do Tribunal de Contas da União é firme no sentido de que preços manifestamente inexequíveis impõem a desclassificação da proposta, não se tratando de faculdade, mas de dever da Administração:</w:t>
      </w:r>
    </w:p>
    <w:p w14:paraId="2860C768" w14:textId="77777777" w:rsidR="00E16935" w:rsidRPr="000264F9" w:rsidRDefault="00E16935" w:rsidP="00E16935">
      <w:pPr>
        <w:ind w:left="3402"/>
        <w:jc w:val="both"/>
        <w:rPr>
          <w:rFonts w:ascii="Arial" w:hAnsi="Arial" w:cs="Arial"/>
          <w:sz w:val="24"/>
          <w:szCs w:val="24"/>
        </w:rPr>
      </w:pPr>
      <w:r w:rsidRPr="00AF714D">
        <w:rPr>
          <w:rFonts w:ascii="Arial" w:hAnsi="Arial" w:cs="Arial"/>
          <w:sz w:val="24"/>
          <w:szCs w:val="24"/>
        </w:rPr>
        <w:t>“A Administração deve desclassificar proposta com preços manifestamente inexequíveis, sob pena de violação aos princípios da seleção da proposta mais vantajosa e da eficiência.”</w:t>
      </w:r>
    </w:p>
    <w:p w14:paraId="23CE9F20" w14:textId="77777777" w:rsidR="00E16935" w:rsidRPr="00AF714D" w:rsidRDefault="00E16935" w:rsidP="00E16935">
      <w:pPr>
        <w:spacing w:line="278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AF714D">
        <w:rPr>
          <w:rFonts w:ascii="Arial" w:hAnsi="Arial" w:cs="Arial"/>
          <w:b/>
          <w:bCs/>
          <w:sz w:val="24"/>
          <w:szCs w:val="24"/>
        </w:rPr>
        <w:t>TCU – Acórdão nº 1.214/2013 – Plenário</w:t>
      </w:r>
    </w:p>
    <w:p w14:paraId="48BB46E5" w14:textId="77777777" w:rsidR="00E16935" w:rsidRPr="00AF714D" w:rsidRDefault="00E16935" w:rsidP="00E16935">
      <w:pPr>
        <w:spacing w:line="278" w:lineRule="auto"/>
        <w:rPr>
          <w:rFonts w:ascii="Arial" w:hAnsi="Arial" w:cs="Arial"/>
          <w:sz w:val="24"/>
          <w:szCs w:val="24"/>
        </w:rPr>
      </w:pPr>
      <w:r w:rsidRPr="00AF714D">
        <w:rPr>
          <w:rFonts w:ascii="Arial" w:hAnsi="Arial" w:cs="Arial"/>
          <w:sz w:val="24"/>
          <w:szCs w:val="24"/>
        </w:rPr>
        <w:t>No mesmo sentido:</w:t>
      </w:r>
    </w:p>
    <w:p w14:paraId="539BA8D7" w14:textId="77777777" w:rsidR="00E16935" w:rsidRPr="00AF714D" w:rsidRDefault="00E16935" w:rsidP="00E16935">
      <w:pPr>
        <w:spacing w:line="278" w:lineRule="auto"/>
        <w:ind w:left="3402"/>
        <w:rPr>
          <w:rFonts w:ascii="Arial" w:hAnsi="Arial" w:cs="Arial"/>
          <w:sz w:val="24"/>
          <w:szCs w:val="24"/>
        </w:rPr>
      </w:pPr>
      <w:r w:rsidRPr="00AF714D">
        <w:rPr>
          <w:rFonts w:ascii="Arial" w:hAnsi="Arial" w:cs="Arial"/>
          <w:sz w:val="24"/>
          <w:szCs w:val="24"/>
        </w:rPr>
        <w:t>“A aceitação de proposta inexequível compromete a execução contratual e afronta o interesse público, sendo irregular a sua manutenção no certame.”</w:t>
      </w:r>
      <w:r w:rsidRPr="00AF714D">
        <w:rPr>
          <w:rFonts w:ascii="Arial" w:hAnsi="Arial" w:cs="Arial"/>
          <w:sz w:val="24"/>
          <w:szCs w:val="24"/>
        </w:rPr>
        <w:br/>
      </w:r>
      <w:r w:rsidRPr="00AF714D">
        <w:rPr>
          <w:rFonts w:ascii="Arial" w:hAnsi="Arial" w:cs="Arial"/>
          <w:b/>
          <w:bCs/>
          <w:sz w:val="24"/>
          <w:szCs w:val="24"/>
        </w:rPr>
        <w:t>TCU – Acórdão nº 2.622/2015 – Plenário</w:t>
      </w:r>
    </w:p>
    <w:p w14:paraId="15A91E4B" w14:textId="77777777" w:rsidR="00E16935" w:rsidRPr="00AF714D" w:rsidRDefault="00E16935" w:rsidP="00E16935">
      <w:pPr>
        <w:spacing w:line="278" w:lineRule="auto"/>
        <w:rPr>
          <w:rFonts w:ascii="Arial" w:hAnsi="Arial" w:cs="Arial"/>
          <w:sz w:val="24"/>
          <w:szCs w:val="24"/>
        </w:rPr>
      </w:pPr>
      <w:r w:rsidRPr="00AF714D">
        <w:rPr>
          <w:rFonts w:ascii="Arial" w:hAnsi="Arial" w:cs="Arial"/>
          <w:sz w:val="24"/>
          <w:szCs w:val="24"/>
        </w:rPr>
        <w:t>Os Tribunais de Contas Estaduais seguem idêntica orientação:</w:t>
      </w:r>
    </w:p>
    <w:p w14:paraId="13FBE317" w14:textId="77777777" w:rsidR="00E16935" w:rsidRPr="00AF714D" w:rsidRDefault="00E16935" w:rsidP="00E16935">
      <w:pPr>
        <w:spacing w:line="278" w:lineRule="auto"/>
        <w:ind w:left="3402"/>
        <w:rPr>
          <w:rFonts w:ascii="Arial" w:hAnsi="Arial" w:cs="Arial"/>
          <w:sz w:val="24"/>
          <w:szCs w:val="24"/>
        </w:rPr>
      </w:pPr>
      <w:r w:rsidRPr="00AF714D">
        <w:rPr>
          <w:rFonts w:ascii="Arial" w:hAnsi="Arial" w:cs="Arial"/>
          <w:sz w:val="24"/>
          <w:szCs w:val="24"/>
        </w:rPr>
        <w:lastRenderedPageBreak/>
        <w:t>“Caracterizada a inexequibilidade da proposta, impõe-se sua desclassificação, sendo vedada a contratação baseada em preços incompatíveis com a realidade do mercado.”</w:t>
      </w:r>
      <w:r w:rsidRPr="00AF714D">
        <w:rPr>
          <w:rFonts w:ascii="Arial" w:hAnsi="Arial" w:cs="Arial"/>
          <w:sz w:val="24"/>
          <w:szCs w:val="24"/>
        </w:rPr>
        <w:br/>
      </w:r>
      <w:r w:rsidRPr="00AF714D">
        <w:rPr>
          <w:rFonts w:ascii="Arial" w:hAnsi="Arial" w:cs="Arial"/>
          <w:b/>
          <w:bCs/>
          <w:sz w:val="24"/>
          <w:szCs w:val="24"/>
        </w:rPr>
        <w:t>TCE-MG – Processo nº 1.089.234</w:t>
      </w:r>
    </w:p>
    <w:p w14:paraId="4143938A" w14:textId="77777777" w:rsidR="00E16935" w:rsidRPr="00AF714D" w:rsidRDefault="00E16935" w:rsidP="00E16935">
      <w:pPr>
        <w:spacing w:line="278" w:lineRule="auto"/>
        <w:rPr>
          <w:rFonts w:ascii="Arial" w:hAnsi="Arial" w:cs="Arial"/>
          <w:b/>
          <w:bCs/>
          <w:sz w:val="24"/>
          <w:szCs w:val="24"/>
        </w:rPr>
      </w:pPr>
      <w:r w:rsidRPr="00AF714D">
        <w:rPr>
          <w:rFonts w:ascii="Arial" w:hAnsi="Arial" w:cs="Arial"/>
          <w:b/>
          <w:bCs/>
          <w:sz w:val="24"/>
          <w:szCs w:val="24"/>
        </w:rPr>
        <w:t>IV – DOS DEMAIS VÍCIOS QUE AGRAVAM A INEXEQUIBILIDADE</w:t>
      </w:r>
    </w:p>
    <w:p w14:paraId="587FF916" w14:textId="77777777" w:rsidR="00E16935" w:rsidRPr="00AF714D" w:rsidRDefault="00E16935" w:rsidP="00E16935">
      <w:pPr>
        <w:spacing w:line="278" w:lineRule="auto"/>
        <w:jc w:val="both"/>
        <w:rPr>
          <w:rFonts w:ascii="Arial" w:hAnsi="Arial" w:cs="Arial"/>
          <w:sz w:val="24"/>
          <w:szCs w:val="24"/>
        </w:rPr>
      </w:pPr>
      <w:r w:rsidRPr="00AF714D">
        <w:rPr>
          <w:rFonts w:ascii="Arial" w:hAnsi="Arial" w:cs="Arial"/>
          <w:sz w:val="24"/>
          <w:szCs w:val="24"/>
        </w:rPr>
        <w:t>Ainda que se afastasse a inexequibilidade (o que se admite apenas por argumentar), a proposta vencedora também descumpre exigências objetivas do edital, tais como:</w:t>
      </w:r>
    </w:p>
    <w:p w14:paraId="4083A6AC" w14:textId="77777777" w:rsidR="00E16935" w:rsidRPr="00AF714D" w:rsidRDefault="00E16935" w:rsidP="00E16935">
      <w:pPr>
        <w:numPr>
          <w:ilvl w:val="0"/>
          <w:numId w:val="5"/>
        </w:numPr>
        <w:spacing w:line="278" w:lineRule="auto"/>
        <w:rPr>
          <w:rFonts w:ascii="Arial" w:hAnsi="Arial" w:cs="Arial"/>
          <w:sz w:val="24"/>
          <w:szCs w:val="24"/>
        </w:rPr>
      </w:pPr>
      <w:r w:rsidRPr="00AF714D">
        <w:rPr>
          <w:rFonts w:ascii="Arial" w:hAnsi="Arial" w:cs="Arial"/>
          <w:sz w:val="24"/>
          <w:szCs w:val="24"/>
        </w:rPr>
        <w:t xml:space="preserve">envio de documentos em </w:t>
      </w:r>
      <w:r w:rsidRPr="00AF714D">
        <w:rPr>
          <w:rFonts w:ascii="Arial" w:hAnsi="Arial" w:cs="Arial"/>
          <w:b/>
          <w:bCs/>
          <w:sz w:val="24"/>
          <w:szCs w:val="24"/>
        </w:rPr>
        <w:t>formato RAR</w:t>
      </w:r>
      <w:r w:rsidRPr="00AF714D">
        <w:rPr>
          <w:rFonts w:ascii="Arial" w:hAnsi="Arial" w:cs="Arial"/>
          <w:sz w:val="24"/>
          <w:szCs w:val="24"/>
        </w:rPr>
        <w:t xml:space="preserve">, quando o edital exigiu </w:t>
      </w:r>
      <w:r w:rsidRPr="00AF714D">
        <w:rPr>
          <w:rFonts w:ascii="Arial" w:hAnsi="Arial" w:cs="Arial"/>
          <w:b/>
          <w:bCs/>
          <w:sz w:val="24"/>
          <w:szCs w:val="24"/>
        </w:rPr>
        <w:t>ZIP</w:t>
      </w:r>
      <w:r w:rsidRPr="00AF714D">
        <w:rPr>
          <w:rFonts w:ascii="Arial" w:hAnsi="Arial" w:cs="Arial"/>
          <w:sz w:val="24"/>
          <w:szCs w:val="24"/>
        </w:rPr>
        <w:t>;</w:t>
      </w:r>
    </w:p>
    <w:p w14:paraId="159DDA9F" w14:textId="77777777" w:rsidR="00E16935" w:rsidRPr="00AF714D" w:rsidRDefault="00E16935" w:rsidP="00E16935">
      <w:pPr>
        <w:numPr>
          <w:ilvl w:val="0"/>
          <w:numId w:val="5"/>
        </w:numPr>
        <w:spacing w:line="278" w:lineRule="auto"/>
        <w:rPr>
          <w:rFonts w:ascii="Arial" w:hAnsi="Arial" w:cs="Arial"/>
          <w:sz w:val="24"/>
          <w:szCs w:val="24"/>
        </w:rPr>
      </w:pPr>
      <w:r w:rsidRPr="00AF714D">
        <w:rPr>
          <w:rFonts w:ascii="Arial" w:hAnsi="Arial" w:cs="Arial"/>
          <w:sz w:val="24"/>
          <w:szCs w:val="24"/>
        </w:rPr>
        <w:t xml:space="preserve">ausência de </w:t>
      </w:r>
      <w:r w:rsidRPr="00AF714D">
        <w:rPr>
          <w:rFonts w:ascii="Arial" w:hAnsi="Arial" w:cs="Arial"/>
          <w:b/>
          <w:bCs/>
          <w:sz w:val="24"/>
          <w:szCs w:val="24"/>
        </w:rPr>
        <w:t>planilha orçamentária em formato Excel (.XLS/.XLSX)</w:t>
      </w:r>
      <w:r w:rsidRPr="00AF714D">
        <w:rPr>
          <w:rFonts w:ascii="Arial" w:hAnsi="Arial" w:cs="Arial"/>
          <w:sz w:val="24"/>
          <w:szCs w:val="24"/>
        </w:rPr>
        <w:t>;</w:t>
      </w:r>
    </w:p>
    <w:p w14:paraId="63D8B9D6" w14:textId="77777777" w:rsidR="00E16935" w:rsidRPr="00AF714D" w:rsidRDefault="00E16935" w:rsidP="00E16935">
      <w:pPr>
        <w:numPr>
          <w:ilvl w:val="0"/>
          <w:numId w:val="5"/>
        </w:numPr>
        <w:spacing w:line="278" w:lineRule="auto"/>
        <w:rPr>
          <w:rFonts w:ascii="Arial" w:hAnsi="Arial" w:cs="Arial"/>
          <w:sz w:val="24"/>
          <w:szCs w:val="24"/>
        </w:rPr>
      </w:pPr>
      <w:r w:rsidRPr="00AF714D">
        <w:rPr>
          <w:rFonts w:ascii="Arial" w:hAnsi="Arial" w:cs="Arial"/>
          <w:sz w:val="24"/>
          <w:szCs w:val="24"/>
        </w:rPr>
        <w:t xml:space="preserve">utilização de </w:t>
      </w:r>
      <w:r w:rsidRPr="00AF714D">
        <w:rPr>
          <w:rFonts w:ascii="Arial" w:hAnsi="Arial" w:cs="Arial"/>
          <w:b/>
          <w:bCs/>
          <w:sz w:val="24"/>
          <w:szCs w:val="24"/>
        </w:rPr>
        <w:t>03 casas decimais</w:t>
      </w:r>
      <w:r w:rsidRPr="00AF714D">
        <w:rPr>
          <w:rFonts w:ascii="Arial" w:hAnsi="Arial" w:cs="Arial"/>
          <w:sz w:val="24"/>
          <w:szCs w:val="24"/>
        </w:rPr>
        <w:t xml:space="preserve">, quando o edital limitou a </w:t>
      </w:r>
      <w:r w:rsidRPr="00AF714D">
        <w:rPr>
          <w:rFonts w:ascii="Arial" w:hAnsi="Arial" w:cs="Arial"/>
          <w:b/>
          <w:bCs/>
          <w:sz w:val="24"/>
          <w:szCs w:val="24"/>
        </w:rPr>
        <w:t>02 casas decimais</w:t>
      </w:r>
      <w:r w:rsidRPr="00AF714D">
        <w:rPr>
          <w:rFonts w:ascii="Arial" w:hAnsi="Arial" w:cs="Arial"/>
          <w:sz w:val="24"/>
          <w:szCs w:val="24"/>
        </w:rPr>
        <w:t>;</w:t>
      </w:r>
    </w:p>
    <w:p w14:paraId="0C5E29CD" w14:textId="77777777" w:rsidR="00E16935" w:rsidRPr="00AF714D" w:rsidRDefault="00E16935" w:rsidP="00E16935">
      <w:pPr>
        <w:numPr>
          <w:ilvl w:val="0"/>
          <w:numId w:val="5"/>
        </w:numPr>
        <w:spacing w:line="278" w:lineRule="auto"/>
        <w:rPr>
          <w:rFonts w:ascii="Arial" w:hAnsi="Arial" w:cs="Arial"/>
          <w:sz w:val="24"/>
          <w:szCs w:val="24"/>
        </w:rPr>
      </w:pPr>
      <w:r w:rsidRPr="00AF714D">
        <w:rPr>
          <w:rFonts w:ascii="Arial" w:hAnsi="Arial" w:cs="Arial"/>
          <w:sz w:val="24"/>
          <w:szCs w:val="24"/>
        </w:rPr>
        <w:t>divergência entre o valor global da proposta e o cronograma físico-financeiro;</w:t>
      </w:r>
    </w:p>
    <w:p w14:paraId="137655E6" w14:textId="77777777" w:rsidR="00E16935" w:rsidRPr="00AF714D" w:rsidRDefault="00E16935" w:rsidP="00E16935">
      <w:pPr>
        <w:numPr>
          <w:ilvl w:val="0"/>
          <w:numId w:val="5"/>
        </w:numPr>
        <w:spacing w:line="278" w:lineRule="auto"/>
        <w:rPr>
          <w:rFonts w:ascii="Arial" w:hAnsi="Arial" w:cs="Arial"/>
          <w:sz w:val="24"/>
          <w:szCs w:val="24"/>
        </w:rPr>
      </w:pPr>
      <w:r w:rsidRPr="00AF714D">
        <w:rPr>
          <w:rFonts w:ascii="Arial" w:hAnsi="Arial" w:cs="Arial"/>
          <w:sz w:val="24"/>
          <w:szCs w:val="24"/>
        </w:rPr>
        <w:t xml:space="preserve">ausência de </w:t>
      </w:r>
      <w:r w:rsidRPr="00AF714D">
        <w:rPr>
          <w:rFonts w:ascii="Arial" w:hAnsi="Arial" w:cs="Arial"/>
          <w:b/>
          <w:bCs/>
          <w:sz w:val="24"/>
          <w:szCs w:val="24"/>
        </w:rPr>
        <w:t>CAT compatível do engenheiro eletricista</w:t>
      </w:r>
      <w:r w:rsidRPr="00AF714D">
        <w:rPr>
          <w:rFonts w:ascii="Arial" w:hAnsi="Arial" w:cs="Arial"/>
          <w:sz w:val="24"/>
          <w:szCs w:val="24"/>
        </w:rPr>
        <w:t>, exigida no item 11.5 do edital.</w:t>
      </w:r>
    </w:p>
    <w:p w14:paraId="3DCA036A" w14:textId="77777777" w:rsidR="00E16935" w:rsidRPr="00AF714D" w:rsidRDefault="00E16935" w:rsidP="00E16935">
      <w:pPr>
        <w:spacing w:line="278" w:lineRule="auto"/>
        <w:rPr>
          <w:rFonts w:ascii="Arial" w:hAnsi="Arial" w:cs="Arial"/>
          <w:sz w:val="24"/>
          <w:szCs w:val="24"/>
        </w:rPr>
      </w:pPr>
      <w:r w:rsidRPr="00AF714D">
        <w:rPr>
          <w:rFonts w:ascii="Arial" w:hAnsi="Arial" w:cs="Arial"/>
          <w:sz w:val="24"/>
          <w:szCs w:val="24"/>
        </w:rPr>
        <w:t xml:space="preserve">Tais falhas </w:t>
      </w:r>
      <w:r w:rsidRPr="00AF714D">
        <w:rPr>
          <w:rFonts w:ascii="Arial" w:hAnsi="Arial" w:cs="Arial"/>
          <w:b/>
          <w:bCs/>
          <w:sz w:val="24"/>
          <w:szCs w:val="24"/>
        </w:rPr>
        <w:t>não são meramente formais</w:t>
      </w:r>
      <w:r w:rsidRPr="00AF714D">
        <w:rPr>
          <w:rFonts w:ascii="Arial" w:hAnsi="Arial" w:cs="Arial"/>
          <w:sz w:val="24"/>
          <w:szCs w:val="24"/>
        </w:rPr>
        <w:t>, mas afetam diretamente:</w:t>
      </w:r>
    </w:p>
    <w:p w14:paraId="09F1CF74" w14:textId="77777777" w:rsidR="00E16935" w:rsidRPr="00AF714D" w:rsidRDefault="00E16935" w:rsidP="00E16935">
      <w:pPr>
        <w:numPr>
          <w:ilvl w:val="0"/>
          <w:numId w:val="6"/>
        </w:numPr>
        <w:spacing w:line="278" w:lineRule="auto"/>
        <w:rPr>
          <w:rFonts w:ascii="Arial" w:hAnsi="Arial" w:cs="Arial"/>
          <w:sz w:val="24"/>
          <w:szCs w:val="24"/>
        </w:rPr>
      </w:pPr>
      <w:r w:rsidRPr="00AF714D">
        <w:rPr>
          <w:rFonts w:ascii="Arial" w:hAnsi="Arial" w:cs="Arial"/>
          <w:sz w:val="24"/>
          <w:szCs w:val="24"/>
        </w:rPr>
        <w:t>o julgamento objetivo;</w:t>
      </w:r>
    </w:p>
    <w:p w14:paraId="1CB055BB" w14:textId="77777777" w:rsidR="00E16935" w:rsidRPr="00AF714D" w:rsidRDefault="00E16935" w:rsidP="00E16935">
      <w:pPr>
        <w:numPr>
          <w:ilvl w:val="0"/>
          <w:numId w:val="6"/>
        </w:numPr>
        <w:spacing w:line="278" w:lineRule="auto"/>
        <w:rPr>
          <w:rFonts w:ascii="Arial" w:hAnsi="Arial" w:cs="Arial"/>
          <w:sz w:val="24"/>
          <w:szCs w:val="24"/>
        </w:rPr>
      </w:pPr>
      <w:r w:rsidRPr="00AF714D">
        <w:rPr>
          <w:rFonts w:ascii="Arial" w:hAnsi="Arial" w:cs="Arial"/>
          <w:sz w:val="24"/>
          <w:szCs w:val="24"/>
        </w:rPr>
        <w:t>a isonomia entre os licitantes;</w:t>
      </w:r>
    </w:p>
    <w:p w14:paraId="33D5B070" w14:textId="77777777" w:rsidR="00E16935" w:rsidRPr="00AF714D" w:rsidRDefault="00E16935" w:rsidP="00E16935">
      <w:pPr>
        <w:numPr>
          <w:ilvl w:val="0"/>
          <w:numId w:val="6"/>
        </w:numPr>
        <w:spacing w:line="278" w:lineRule="auto"/>
        <w:rPr>
          <w:rFonts w:ascii="Arial" w:hAnsi="Arial" w:cs="Arial"/>
          <w:sz w:val="24"/>
          <w:szCs w:val="24"/>
        </w:rPr>
      </w:pPr>
      <w:r w:rsidRPr="00AF714D">
        <w:rPr>
          <w:rFonts w:ascii="Arial" w:hAnsi="Arial" w:cs="Arial"/>
          <w:sz w:val="24"/>
          <w:szCs w:val="24"/>
        </w:rPr>
        <w:t>a segurança jurídica do certame.</w:t>
      </w:r>
    </w:p>
    <w:p w14:paraId="27DE99CC" w14:textId="77777777" w:rsidR="00E16935" w:rsidRPr="00AF714D" w:rsidRDefault="00E16935" w:rsidP="00E16935">
      <w:pPr>
        <w:spacing w:line="278" w:lineRule="auto"/>
        <w:rPr>
          <w:rFonts w:ascii="Arial" w:hAnsi="Arial" w:cs="Arial"/>
          <w:sz w:val="24"/>
          <w:szCs w:val="24"/>
        </w:rPr>
      </w:pPr>
    </w:p>
    <w:p w14:paraId="21BEEA2C" w14:textId="77777777" w:rsidR="00E16935" w:rsidRPr="00AF714D" w:rsidRDefault="00E16935" w:rsidP="00E16935">
      <w:pPr>
        <w:spacing w:line="278" w:lineRule="auto"/>
        <w:rPr>
          <w:rFonts w:ascii="Arial" w:hAnsi="Arial" w:cs="Arial"/>
          <w:b/>
          <w:bCs/>
          <w:sz w:val="24"/>
          <w:szCs w:val="24"/>
        </w:rPr>
      </w:pPr>
      <w:r w:rsidRPr="00AF714D">
        <w:rPr>
          <w:rFonts w:ascii="Arial" w:hAnsi="Arial" w:cs="Arial"/>
          <w:b/>
          <w:bCs/>
          <w:sz w:val="24"/>
          <w:szCs w:val="24"/>
        </w:rPr>
        <w:t>V – DA OBRIGATORIEDADE DE DESCLASSIFICAÇÃO</w:t>
      </w:r>
    </w:p>
    <w:p w14:paraId="342A6344" w14:textId="77777777" w:rsidR="00E16935" w:rsidRPr="000264F9" w:rsidRDefault="00E16935" w:rsidP="00E16935">
      <w:pPr>
        <w:spacing w:line="278" w:lineRule="auto"/>
        <w:jc w:val="both"/>
        <w:rPr>
          <w:rFonts w:ascii="Arial" w:hAnsi="Arial" w:cs="Arial"/>
        </w:rPr>
      </w:pPr>
      <w:r w:rsidRPr="000264F9">
        <w:rPr>
          <w:rFonts w:ascii="Arial" w:hAnsi="Arial" w:cs="Arial"/>
        </w:rPr>
        <w:t xml:space="preserve">Nos termos do </w:t>
      </w:r>
      <w:r w:rsidRPr="000264F9">
        <w:rPr>
          <w:rFonts w:ascii="Arial" w:hAnsi="Arial" w:cs="Arial"/>
          <w:b/>
          <w:bCs/>
        </w:rPr>
        <w:t>art. 10.2 do edital</w:t>
      </w:r>
      <w:r w:rsidRPr="000264F9">
        <w:rPr>
          <w:rFonts w:ascii="Arial" w:hAnsi="Arial" w:cs="Arial"/>
        </w:rPr>
        <w:t>, restou expressamente estabelecido que:</w:t>
      </w:r>
    </w:p>
    <w:p w14:paraId="592EF3E7" w14:textId="77777777" w:rsidR="00E16935" w:rsidRPr="000264F9" w:rsidRDefault="00E16935" w:rsidP="00E16935">
      <w:pPr>
        <w:spacing w:line="278" w:lineRule="auto"/>
        <w:ind w:left="3402"/>
        <w:jc w:val="both"/>
        <w:rPr>
          <w:rFonts w:ascii="Arial" w:hAnsi="Arial" w:cs="Arial"/>
        </w:rPr>
      </w:pPr>
      <w:r w:rsidRPr="000264F9">
        <w:rPr>
          <w:rFonts w:ascii="Arial" w:hAnsi="Arial" w:cs="Arial"/>
        </w:rPr>
        <w:t>“10.2 Serão desclassificadas as propostas que:</w:t>
      </w:r>
      <w:r w:rsidRPr="000264F9">
        <w:rPr>
          <w:rFonts w:ascii="Arial" w:hAnsi="Arial" w:cs="Arial"/>
        </w:rPr>
        <w:br/>
        <w:t>10.2.1 contiverem vícios insanáveis;</w:t>
      </w:r>
      <w:r w:rsidRPr="000264F9">
        <w:rPr>
          <w:rFonts w:ascii="Arial" w:hAnsi="Arial" w:cs="Arial"/>
        </w:rPr>
        <w:br/>
        <w:t>10.2.2 não obedecerem às especificações técnicas pormenorizadas no edital;</w:t>
      </w:r>
      <w:r w:rsidRPr="000264F9">
        <w:rPr>
          <w:rFonts w:ascii="Arial" w:hAnsi="Arial" w:cs="Arial"/>
        </w:rPr>
        <w:br/>
        <w:t>10.2.3 apresentarem preços inexequíveis ou permanecerem acima do orçamento estimado para a contratação;</w:t>
      </w:r>
      <w:r w:rsidRPr="000264F9">
        <w:rPr>
          <w:rFonts w:ascii="Arial" w:hAnsi="Arial" w:cs="Arial"/>
        </w:rPr>
        <w:br/>
        <w:t>10.2.4 não tiverem sua exequibilidade demonstrada, quando exigido pela Administração;</w:t>
      </w:r>
      <w:r w:rsidRPr="000264F9">
        <w:rPr>
          <w:rFonts w:ascii="Arial" w:hAnsi="Arial" w:cs="Arial"/>
        </w:rPr>
        <w:br/>
        <w:t>10.2.5 apresentarem desconformidade com quaisquer outras exigências do edital, desde que insanável.”</w:t>
      </w:r>
    </w:p>
    <w:p w14:paraId="794FDAB4" w14:textId="77777777" w:rsidR="00E16935" w:rsidRPr="000264F9" w:rsidRDefault="00E16935" w:rsidP="00E16935">
      <w:pPr>
        <w:spacing w:line="278" w:lineRule="auto"/>
        <w:jc w:val="both"/>
        <w:rPr>
          <w:rFonts w:ascii="Arial" w:hAnsi="Arial" w:cs="Arial"/>
        </w:rPr>
      </w:pPr>
      <w:r w:rsidRPr="000264F9">
        <w:rPr>
          <w:rFonts w:ascii="Arial" w:hAnsi="Arial" w:cs="Arial"/>
        </w:rPr>
        <w:lastRenderedPageBreak/>
        <w:t>Em consonância com o instrumento convocatório</w:t>
      </w:r>
      <w:r w:rsidRPr="000264F9">
        <w:rPr>
          <w:rFonts w:ascii="Arial" w:hAnsi="Arial" w:cs="Arial"/>
          <w:b/>
          <w:bCs/>
        </w:rPr>
        <w:t>, o art. 59 da Lei nº 14.133/2021</w:t>
      </w:r>
      <w:r w:rsidRPr="000264F9">
        <w:rPr>
          <w:rFonts w:ascii="Arial" w:hAnsi="Arial" w:cs="Arial"/>
        </w:rPr>
        <w:t xml:space="preserve"> dispõe, de forma clara e vinculante, que:</w:t>
      </w:r>
    </w:p>
    <w:p w14:paraId="078619EA" w14:textId="77777777" w:rsidR="00E16935" w:rsidRPr="000264F9" w:rsidRDefault="00E16935" w:rsidP="00E16935">
      <w:pPr>
        <w:spacing w:line="278" w:lineRule="auto"/>
        <w:ind w:left="3402"/>
        <w:jc w:val="both"/>
        <w:rPr>
          <w:rFonts w:ascii="Arial" w:hAnsi="Arial" w:cs="Arial"/>
        </w:rPr>
      </w:pPr>
      <w:r w:rsidRPr="000264F9">
        <w:rPr>
          <w:rFonts w:ascii="Arial" w:hAnsi="Arial" w:cs="Arial"/>
        </w:rPr>
        <w:t>“Art. 59. Serão desclassificadas as propostas que:</w:t>
      </w:r>
      <w:r w:rsidRPr="000264F9">
        <w:rPr>
          <w:rFonts w:ascii="Arial" w:hAnsi="Arial" w:cs="Arial"/>
        </w:rPr>
        <w:br/>
        <w:t>I – contiverem vícios insanáveis;</w:t>
      </w:r>
      <w:r w:rsidRPr="000264F9">
        <w:rPr>
          <w:rFonts w:ascii="Arial" w:hAnsi="Arial" w:cs="Arial"/>
        </w:rPr>
        <w:br/>
        <w:t>II – não obedecerem às especificações técnicas pormenorizadas no edital;</w:t>
      </w:r>
      <w:r w:rsidRPr="000264F9">
        <w:rPr>
          <w:rFonts w:ascii="Arial" w:hAnsi="Arial" w:cs="Arial"/>
        </w:rPr>
        <w:br/>
        <w:t>III – apresentarem preços inexequíveis ou permanecerem acima do orçamento estimado para a contratação;</w:t>
      </w:r>
      <w:r w:rsidRPr="000264F9">
        <w:rPr>
          <w:rFonts w:ascii="Arial" w:hAnsi="Arial" w:cs="Arial"/>
        </w:rPr>
        <w:br/>
        <w:t>IV – não tiverem sua exequibilidade demonstrada, quando exigido pela Administração.”</w:t>
      </w:r>
    </w:p>
    <w:p w14:paraId="3E9CD67D" w14:textId="77777777" w:rsidR="00E16935" w:rsidRPr="000264F9" w:rsidRDefault="00E16935" w:rsidP="00E16935">
      <w:pPr>
        <w:spacing w:line="278" w:lineRule="auto"/>
        <w:jc w:val="both"/>
        <w:rPr>
          <w:rFonts w:ascii="Arial" w:hAnsi="Arial" w:cs="Arial"/>
        </w:rPr>
      </w:pPr>
      <w:r w:rsidRPr="000264F9">
        <w:rPr>
          <w:rFonts w:ascii="Arial" w:hAnsi="Arial" w:cs="Arial"/>
        </w:rPr>
        <w:t xml:space="preserve">Além disso, </w:t>
      </w:r>
      <w:r w:rsidRPr="000264F9">
        <w:rPr>
          <w:rFonts w:ascii="Arial" w:hAnsi="Arial" w:cs="Arial"/>
          <w:b/>
          <w:bCs/>
        </w:rPr>
        <w:t>o § 4º do referido artigo</w:t>
      </w:r>
      <w:r w:rsidRPr="000264F9">
        <w:rPr>
          <w:rFonts w:ascii="Arial" w:hAnsi="Arial" w:cs="Arial"/>
        </w:rPr>
        <w:t xml:space="preserve"> estabelece critério objetivo para a aferição da inexequibilidade nas contratações de obras e serviços de engenharia:</w:t>
      </w:r>
    </w:p>
    <w:p w14:paraId="21DD40E5" w14:textId="77777777" w:rsidR="00E16935" w:rsidRPr="000264F9" w:rsidRDefault="00E16935" w:rsidP="00E16935">
      <w:pPr>
        <w:spacing w:line="278" w:lineRule="auto"/>
        <w:ind w:left="3402"/>
        <w:jc w:val="both"/>
        <w:rPr>
          <w:rFonts w:ascii="Arial" w:hAnsi="Arial" w:cs="Arial"/>
        </w:rPr>
      </w:pPr>
      <w:r w:rsidRPr="000264F9">
        <w:rPr>
          <w:rFonts w:ascii="Arial" w:hAnsi="Arial" w:cs="Arial"/>
        </w:rPr>
        <w:t>“§ 4º Nas contratações de obras e serviços de engenharia, serão consideradas inexequíveis as propostas cujos valores forem inferiores a 75% (setenta e cinco por cento) do valor orçado pela Administração.”</w:t>
      </w:r>
    </w:p>
    <w:p w14:paraId="400F4F9B" w14:textId="77777777" w:rsidR="00E16935" w:rsidRPr="000264F9" w:rsidRDefault="00E16935" w:rsidP="00E16935">
      <w:pPr>
        <w:spacing w:line="278" w:lineRule="auto"/>
        <w:jc w:val="both"/>
        <w:rPr>
          <w:rFonts w:ascii="Arial" w:hAnsi="Arial" w:cs="Arial"/>
        </w:rPr>
      </w:pPr>
      <w:r w:rsidRPr="000264F9">
        <w:rPr>
          <w:rFonts w:ascii="Arial" w:hAnsi="Arial" w:cs="Arial"/>
        </w:rPr>
        <w:t>Diante desse arcabouço normativo, verifica-se que a proposta vencedora preenche cumulativamente diversas hipóteses legais e editalícias de desclassificação, uma vez que se revela manifestamente inexequível, encontra-se em desconformidade objetiva com as exigências do edital e não demonstra a capacidade real de execução do objeto, por ausência de comprovação técnica idônea de sua viabilidade econômico-financeira.</w:t>
      </w:r>
    </w:p>
    <w:p w14:paraId="266DD2EA" w14:textId="77777777" w:rsidR="00E16935" w:rsidRPr="000264F9" w:rsidRDefault="00E16935" w:rsidP="00E16935">
      <w:pPr>
        <w:spacing w:line="278" w:lineRule="auto"/>
        <w:jc w:val="both"/>
        <w:rPr>
          <w:rFonts w:ascii="Arial" w:hAnsi="Arial" w:cs="Arial"/>
        </w:rPr>
      </w:pPr>
      <w:r w:rsidRPr="000264F9">
        <w:rPr>
          <w:rFonts w:ascii="Arial" w:hAnsi="Arial" w:cs="Arial"/>
        </w:rPr>
        <w:t>A manutenção da decisão recorrida, apesar da presença de vícios graves, objetivos e expressamente tipificados tanto no edital quanto na legislação, configura violação direta e inequívoca aos princípios da legalidade, da vinculação ao instrumento convocatório, da seleção da proposta mais vantajosa e da eficiência administrativa, comprometendo a segurança jurídica do certame, a isonomia entre os licitantes e a adequada proteção do interesse público.</w:t>
      </w:r>
    </w:p>
    <w:p w14:paraId="5E411A2C" w14:textId="77777777" w:rsidR="00E16935" w:rsidRPr="000264F9" w:rsidRDefault="00E16935" w:rsidP="00E16935">
      <w:pPr>
        <w:spacing w:line="278" w:lineRule="auto"/>
        <w:jc w:val="both"/>
        <w:rPr>
          <w:rFonts w:ascii="Arial" w:hAnsi="Arial" w:cs="Arial"/>
        </w:rPr>
      </w:pPr>
      <w:r w:rsidRPr="000264F9">
        <w:rPr>
          <w:rFonts w:ascii="Arial" w:hAnsi="Arial" w:cs="Arial"/>
        </w:rPr>
        <w:t>Ao admitir proposta que deveria ter sido desclassificada de ofício, a Administração afasta-se do regime jurídico obrigatório das contratações públicas, expõe o erário a riscos concretos e potencializa a nulidade futura do certame, com consequente responsabilização administrativa dos agentes envolvidos, conforme reiteradamente reconhecido pela jurisprudência dos Tribunais de Contas.</w:t>
      </w:r>
    </w:p>
    <w:p w14:paraId="0295E88C" w14:textId="77777777" w:rsidR="00E16935" w:rsidRPr="00AF714D" w:rsidRDefault="00E16935" w:rsidP="00E16935">
      <w:pPr>
        <w:spacing w:line="278" w:lineRule="auto"/>
        <w:rPr>
          <w:rFonts w:ascii="Arial" w:hAnsi="Arial" w:cs="Arial"/>
          <w:sz w:val="24"/>
          <w:szCs w:val="24"/>
        </w:rPr>
      </w:pPr>
    </w:p>
    <w:p w14:paraId="4C06FF2D" w14:textId="77777777" w:rsidR="00E16935" w:rsidRPr="00AF714D" w:rsidRDefault="00E16935" w:rsidP="00E16935">
      <w:pPr>
        <w:spacing w:line="278" w:lineRule="auto"/>
        <w:rPr>
          <w:rFonts w:ascii="Arial" w:hAnsi="Arial" w:cs="Arial"/>
          <w:b/>
          <w:bCs/>
          <w:sz w:val="24"/>
          <w:szCs w:val="24"/>
        </w:rPr>
      </w:pPr>
      <w:r w:rsidRPr="00AF714D">
        <w:rPr>
          <w:rFonts w:ascii="Arial" w:hAnsi="Arial" w:cs="Arial"/>
          <w:b/>
          <w:bCs/>
          <w:sz w:val="24"/>
          <w:szCs w:val="24"/>
        </w:rPr>
        <w:t>VI – DOS PEDIDOS</w:t>
      </w:r>
    </w:p>
    <w:p w14:paraId="437843A8" w14:textId="77777777" w:rsidR="00E16935" w:rsidRPr="00AF714D" w:rsidRDefault="00E16935" w:rsidP="00E16935">
      <w:pPr>
        <w:spacing w:line="278" w:lineRule="auto"/>
        <w:rPr>
          <w:rFonts w:ascii="Arial" w:hAnsi="Arial" w:cs="Arial"/>
          <w:sz w:val="24"/>
          <w:szCs w:val="24"/>
        </w:rPr>
      </w:pPr>
      <w:r w:rsidRPr="00AF714D">
        <w:rPr>
          <w:rFonts w:ascii="Arial" w:hAnsi="Arial" w:cs="Arial"/>
          <w:sz w:val="24"/>
          <w:szCs w:val="24"/>
        </w:rPr>
        <w:t>Diante do exposto, requer-se:</w:t>
      </w:r>
    </w:p>
    <w:p w14:paraId="77C85A7F" w14:textId="77777777" w:rsidR="00E16935" w:rsidRPr="00AF714D" w:rsidRDefault="00E16935" w:rsidP="00E16935">
      <w:pPr>
        <w:numPr>
          <w:ilvl w:val="0"/>
          <w:numId w:val="7"/>
        </w:numPr>
        <w:spacing w:line="278" w:lineRule="auto"/>
        <w:rPr>
          <w:rFonts w:ascii="Arial" w:hAnsi="Arial" w:cs="Arial"/>
          <w:sz w:val="24"/>
          <w:szCs w:val="24"/>
        </w:rPr>
      </w:pPr>
      <w:r w:rsidRPr="00AF714D">
        <w:rPr>
          <w:rFonts w:ascii="Arial" w:hAnsi="Arial" w:cs="Arial"/>
          <w:b/>
          <w:bCs/>
          <w:sz w:val="24"/>
          <w:szCs w:val="24"/>
        </w:rPr>
        <w:t>O conhecimento e provimento do presente recurso administrativo</w:t>
      </w:r>
      <w:r w:rsidRPr="00AF714D">
        <w:rPr>
          <w:rFonts w:ascii="Arial" w:hAnsi="Arial" w:cs="Arial"/>
          <w:sz w:val="24"/>
          <w:szCs w:val="24"/>
        </w:rPr>
        <w:t>;</w:t>
      </w:r>
    </w:p>
    <w:p w14:paraId="5C44AB80" w14:textId="77777777" w:rsidR="00E16935" w:rsidRPr="00AF714D" w:rsidRDefault="00E16935" w:rsidP="00E16935">
      <w:pPr>
        <w:numPr>
          <w:ilvl w:val="0"/>
          <w:numId w:val="7"/>
        </w:numPr>
        <w:spacing w:line="278" w:lineRule="auto"/>
        <w:jc w:val="both"/>
        <w:rPr>
          <w:rFonts w:ascii="Arial" w:hAnsi="Arial" w:cs="Arial"/>
          <w:sz w:val="24"/>
          <w:szCs w:val="24"/>
        </w:rPr>
      </w:pPr>
      <w:r w:rsidRPr="00AF714D">
        <w:rPr>
          <w:rFonts w:ascii="Arial" w:hAnsi="Arial" w:cs="Arial"/>
          <w:b/>
          <w:bCs/>
          <w:sz w:val="24"/>
          <w:szCs w:val="24"/>
        </w:rPr>
        <w:lastRenderedPageBreak/>
        <w:t>A desclassificação da proposta da empresa declarada vencedora</w:t>
      </w:r>
      <w:r w:rsidRPr="00AF714D">
        <w:rPr>
          <w:rFonts w:ascii="Arial" w:hAnsi="Arial" w:cs="Arial"/>
          <w:sz w:val="24"/>
          <w:szCs w:val="24"/>
        </w:rPr>
        <w:t>, por inexequibilidade e descumprimento do edital;</w:t>
      </w:r>
    </w:p>
    <w:p w14:paraId="517446F5" w14:textId="77777777" w:rsidR="00E16935" w:rsidRPr="00AF714D" w:rsidRDefault="00E16935" w:rsidP="00E16935">
      <w:pPr>
        <w:numPr>
          <w:ilvl w:val="0"/>
          <w:numId w:val="7"/>
        </w:numPr>
        <w:spacing w:line="278" w:lineRule="auto"/>
        <w:rPr>
          <w:rFonts w:ascii="Arial" w:hAnsi="Arial" w:cs="Arial"/>
          <w:sz w:val="24"/>
          <w:szCs w:val="24"/>
        </w:rPr>
      </w:pPr>
      <w:r w:rsidRPr="00AF714D">
        <w:rPr>
          <w:rFonts w:ascii="Arial" w:hAnsi="Arial" w:cs="Arial"/>
          <w:sz w:val="24"/>
          <w:szCs w:val="24"/>
        </w:rPr>
        <w:t>O retorno do certame à fase de julgamento, com a correta observância da Lei nº 14.133/2021;</w:t>
      </w:r>
    </w:p>
    <w:p w14:paraId="74D30FB3" w14:textId="77777777" w:rsidR="00E16935" w:rsidRPr="00AF714D" w:rsidRDefault="00E16935" w:rsidP="00E16935">
      <w:pPr>
        <w:numPr>
          <w:ilvl w:val="0"/>
          <w:numId w:val="7"/>
        </w:numPr>
        <w:spacing w:line="278" w:lineRule="auto"/>
        <w:jc w:val="both"/>
        <w:rPr>
          <w:rFonts w:ascii="Arial" w:hAnsi="Arial" w:cs="Arial"/>
          <w:sz w:val="24"/>
          <w:szCs w:val="24"/>
        </w:rPr>
      </w:pPr>
      <w:r w:rsidRPr="00AF714D">
        <w:rPr>
          <w:rFonts w:ascii="Arial" w:hAnsi="Arial" w:cs="Arial"/>
          <w:sz w:val="24"/>
          <w:szCs w:val="24"/>
        </w:rPr>
        <w:t xml:space="preserve">Subsidiariamente, caso mantida a proposta, que seja determinada </w:t>
      </w:r>
      <w:r w:rsidRPr="00AF714D">
        <w:rPr>
          <w:rFonts w:ascii="Arial" w:hAnsi="Arial" w:cs="Arial"/>
          <w:b/>
          <w:bCs/>
          <w:sz w:val="24"/>
          <w:szCs w:val="24"/>
        </w:rPr>
        <w:t>diligência técnica rigorosa</w:t>
      </w:r>
      <w:r w:rsidRPr="00AF714D">
        <w:rPr>
          <w:rFonts w:ascii="Arial" w:hAnsi="Arial" w:cs="Arial"/>
          <w:sz w:val="24"/>
          <w:szCs w:val="24"/>
        </w:rPr>
        <w:t xml:space="preserve"> para comprovação efetiva da exequibilidade, nos termos do art. 59 da Lei nº 14.133/2021;</w:t>
      </w:r>
    </w:p>
    <w:p w14:paraId="600E390A" w14:textId="77777777" w:rsidR="00E16935" w:rsidRPr="00AF714D" w:rsidRDefault="00E16935" w:rsidP="00E16935">
      <w:pPr>
        <w:numPr>
          <w:ilvl w:val="0"/>
          <w:numId w:val="7"/>
        </w:numPr>
        <w:spacing w:line="278" w:lineRule="auto"/>
        <w:jc w:val="both"/>
        <w:rPr>
          <w:rFonts w:ascii="Arial" w:hAnsi="Arial" w:cs="Arial"/>
          <w:sz w:val="24"/>
          <w:szCs w:val="24"/>
        </w:rPr>
      </w:pPr>
      <w:r w:rsidRPr="00AF714D">
        <w:rPr>
          <w:rFonts w:ascii="Arial" w:hAnsi="Arial" w:cs="Arial"/>
          <w:sz w:val="24"/>
          <w:szCs w:val="24"/>
        </w:rPr>
        <w:t>A adoção das demais providências necessárias à preservação do interesse público e da legalidade do certame.</w:t>
      </w:r>
    </w:p>
    <w:p w14:paraId="1CAF2DF2" w14:textId="77777777" w:rsidR="00E16935" w:rsidRPr="00AF714D" w:rsidRDefault="00E16935" w:rsidP="00E16935">
      <w:pPr>
        <w:spacing w:line="278" w:lineRule="auto"/>
        <w:rPr>
          <w:rFonts w:ascii="Arial" w:hAnsi="Arial" w:cs="Arial"/>
          <w:sz w:val="24"/>
          <w:szCs w:val="24"/>
        </w:rPr>
      </w:pPr>
    </w:p>
    <w:p w14:paraId="07825351" w14:textId="77777777" w:rsidR="00E16935" w:rsidRPr="00AF714D" w:rsidRDefault="00E16935" w:rsidP="00E16935">
      <w:pPr>
        <w:spacing w:line="278" w:lineRule="auto"/>
        <w:rPr>
          <w:rFonts w:ascii="Arial" w:hAnsi="Arial" w:cs="Arial"/>
          <w:sz w:val="24"/>
          <w:szCs w:val="24"/>
        </w:rPr>
      </w:pPr>
      <w:r w:rsidRPr="00AF714D">
        <w:rPr>
          <w:rFonts w:ascii="Arial" w:hAnsi="Arial" w:cs="Arial"/>
          <w:sz w:val="24"/>
          <w:szCs w:val="24"/>
        </w:rPr>
        <w:t>Termos em que,</w:t>
      </w:r>
      <w:r w:rsidRPr="00AF714D">
        <w:rPr>
          <w:rFonts w:ascii="Arial" w:hAnsi="Arial" w:cs="Arial"/>
          <w:sz w:val="24"/>
          <w:szCs w:val="24"/>
        </w:rPr>
        <w:br/>
        <w:t>Pede deferimento.</w:t>
      </w:r>
    </w:p>
    <w:p w14:paraId="07D40AA2" w14:textId="77777777" w:rsidR="00E16935" w:rsidRDefault="00E16935" w:rsidP="00E16935">
      <w:pPr>
        <w:spacing w:line="278" w:lineRule="auto"/>
        <w:rPr>
          <w:rFonts w:ascii="Arial" w:hAnsi="Arial" w:cs="Arial"/>
        </w:rPr>
      </w:pPr>
    </w:p>
    <w:p w14:paraId="2DC2F8F5" w14:textId="370B6867" w:rsidR="00E16935" w:rsidRDefault="00E16935" w:rsidP="00E16935">
      <w:pPr>
        <w:spacing w:line="278" w:lineRule="auto"/>
        <w:rPr>
          <w:rFonts w:ascii="Arial" w:hAnsi="Arial" w:cs="Arial"/>
        </w:rPr>
      </w:pPr>
      <w:r>
        <w:rPr>
          <w:rFonts w:ascii="Arial" w:hAnsi="Arial" w:cs="Arial"/>
        </w:rPr>
        <w:t>Coronel Fabriciano</w:t>
      </w:r>
      <w:r>
        <w:rPr>
          <w:rFonts w:ascii="Arial" w:hAnsi="Arial" w:cs="Arial"/>
          <w:sz w:val="24"/>
          <w:szCs w:val="24"/>
        </w:rPr>
        <w:t>,</w:t>
      </w:r>
      <w:r w:rsidRPr="00AF71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TIME \@ "d' de 'MMMM' de 'yyyy" </w:instrText>
      </w:r>
      <w:r>
        <w:rPr>
          <w:rFonts w:ascii="Arial" w:hAnsi="Arial" w:cs="Arial"/>
        </w:rPr>
        <w:fldChar w:fldCharType="separate"/>
      </w:r>
      <w:r w:rsidR="001B5757">
        <w:rPr>
          <w:rFonts w:ascii="Arial" w:hAnsi="Arial" w:cs="Arial"/>
          <w:noProof/>
        </w:rPr>
        <w:t>25 de fevereiro de 2026</w:t>
      </w:r>
      <w:r>
        <w:rPr>
          <w:rFonts w:ascii="Arial" w:hAnsi="Arial" w:cs="Arial"/>
        </w:rPr>
        <w:fldChar w:fldCharType="end"/>
      </w:r>
    </w:p>
    <w:p w14:paraId="19A70872" w14:textId="5CA02E53" w:rsidR="00E16935" w:rsidRDefault="00E16935" w:rsidP="00E16935">
      <w:pPr>
        <w:spacing w:line="278" w:lineRule="auto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578D240B" wp14:editId="0F272ABB">
            <wp:simplePos x="0" y="0"/>
            <wp:positionH relativeFrom="margin">
              <wp:posOffset>2313455</wp:posOffset>
            </wp:positionH>
            <wp:positionV relativeFrom="paragraph">
              <wp:posOffset>77097</wp:posOffset>
            </wp:positionV>
            <wp:extent cx="1161595" cy="656440"/>
            <wp:effectExtent l="0" t="0" r="635" b="0"/>
            <wp:wrapNone/>
            <wp:docPr id="7987294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595" cy="65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BD69F8" w14:textId="6AB5D458" w:rsidR="00E16935" w:rsidRPr="00AF714D" w:rsidRDefault="00E16935" w:rsidP="00E16935">
      <w:pPr>
        <w:spacing w:line="278" w:lineRule="auto"/>
        <w:rPr>
          <w:rFonts w:ascii="Arial" w:hAnsi="Arial" w:cs="Arial"/>
          <w:sz w:val="24"/>
          <w:szCs w:val="24"/>
        </w:rPr>
      </w:pPr>
    </w:p>
    <w:p w14:paraId="3C3FAD26" w14:textId="509C1E17" w:rsidR="00E16935" w:rsidRDefault="00E16935" w:rsidP="00E16935">
      <w:pPr>
        <w:spacing w:line="278" w:lineRule="auto"/>
        <w:jc w:val="center"/>
        <w:rPr>
          <w:rFonts w:ascii="Arial" w:hAnsi="Arial" w:cs="Arial"/>
          <w:sz w:val="24"/>
          <w:szCs w:val="24"/>
        </w:rPr>
      </w:pPr>
      <w:r w:rsidRPr="00E16935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098F74C3" w14:textId="28053C9C" w:rsidR="00E16935" w:rsidRPr="00E16935" w:rsidRDefault="00E16935" w:rsidP="00E1693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6935">
        <w:rPr>
          <w:rFonts w:ascii="Arial" w:hAnsi="Arial" w:cs="Arial"/>
          <w:b/>
          <w:bCs/>
          <w:sz w:val="24"/>
          <w:szCs w:val="24"/>
        </w:rPr>
        <w:t>VITRIOL ENGENHARIA E CONSULTORIA LTDA</w:t>
      </w:r>
    </w:p>
    <w:p w14:paraId="5F5648D7" w14:textId="34B9EF20" w:rsidR="00E16935" w:rsidRDefault="00E16935" w:rsidP="00E169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16935">
        <w:rPr>
          <w:rFonts w:ascii="Arial" w:hAnsi="Arial" w:cs="Arial"/>
          <w:sz w:val="24"/>
          <w:szCs w:val="24"/>
        </w:rPr>
        <w:t>38.322.498/0001-81</w:t>
      </w:r>
    </w:p>
    <w:p w14:paraId="011F2D50" w14:textId="103B4471" w:rsidR="00E16935" w:rsidRDefault="00E16935" w:rsidP="00E169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16935">
        <w:rPr>
          <w:rFonts w:ascii="Arial" w:hAnsi="Arial" w:cs="Arial"/>
          <w:sz w:val="24"/>
          <w:szCs w:val="24"/>
        </w:rPr>
        <w:t>Douglas Prado Barbosa</w:t>
      </w:r>
    </w:p>
    <w:p w14:paraId="6359A516" w14:textId="77777777" w:rsidR="00E16935" w:rsidRPr="00AF714D" w:rsidRDefault="00E16935" w:rsidP="00E169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110FBBB" w14:textId="77777777" w:rsidR="00E16935" w:rsidRPr="00AF714D" w:rsidRDefault="00E16935" w:rsidP="00E16935">
      <w:pPr>
        <w:rPr>
          <w:rFonts w:ascii="Arial" w:hAnsi="Arial" w:cs="Arial"/>
          <w:sz w:val="24"/>
          <w:szCs w:val="24"/>
        </w:rPr>
      </w:pPr>
    </w:p>
    <w:p w14:paraId="32F12F25" w14:textId="74214241" w:rsidR="00193689" w:rsidRPr="004143A3" w:rsidRDefault="005B6745" w:rsidP="004143A3">
      <w:r>
        <w:t xml:space="preserve"> </w:t>
      </w:r>
    </w:p>
    <w:sectPr w:rsidR="00193689" w:rsidRPr="004143A3" w:rsidSect="00543C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134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FC781A" w14:textId="77777777" w:rsidR="00F24269" w:rsidRDefault="00F24269" w:rsidP="0008055F">
      <w:pPr>
        <w:spacing w:after="0" w:line="240" w:lineRule="auto"/>
      </w:pPr>
      <w:r>
        <w:separator/>
      </w:r>
    </w:p>
  </w:endnote>
  <w:endnote w:type="continuationSeparator" w:id="0">
    <w:p w14:paraId="3616E94C" w14:textId="77777777" w:rsidR="00F24269" w:rsidRDefault="00F24269" w:rsidP="00080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2F6B5" w14:textId="77777777" w:rsidR="005B6745" w:rsidRDefault="005B674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AB972" w14:textId="380255F6" w:rsidR="0008055F" w:rsidRDefault="0008055F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CA89A74" wp14:editId="4D1A8C38">
          <wp:simplePos x="0" y="0"/>
          <wp:positionH relativeFrom="page">
            <wp:posOffset>-11126</wp:posOffset>
          </wp:positionH>
          <wp:positionV relativeFrom="paragraph">
            <wp:posOffset>-870585</wp:posOffset>
          </wp:positionV>
          <wp:extent cx="7556092" cy="1562043"/>
          <wp:effectExtent l="0" t="0" r="0" b="635"/>
          <wp:wrapNone/>
          <wp:docPr id="161609977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645159" name="Imagem 18846451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092" cy="1562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11370E" w14:textId="77777777" w:rsidR="005B6745" w:rsidRDefault="005B674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2484ED" w14:textId="77777777" w:rsidR="00F24269" w:rsidRDefault="00F24269" w:rsidP="0008055F">
      <w:pPr>
        <w:spacing w:after="0" w:line="240" w:lineRule="auto"/>
      </w:pPr>
      <w:r>
        <w:separator/>
      </w:r>
    </w:p>
  </w:footnote>
  <w:footnote w:type="continuationSeparator" w:id="0">
    <w:p w14:paraId="73D511B8" w14:textId="77777777" w:rsidR="00F24269" w:rsidRDefault="00F24269" w:rsidP="00080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74520" w14:textId="60D15194" w:rsidR="0008055F" w:rsidRDefault="00F24269">
    <w:pPr>
      <w:pStyle w:val="Cabealho"/>
    </w:pPr>
    <w:r>
      <w:rPr>
        <w:noProof/>
      </w:rPr>
      <w:pict w14:anchorId="59337C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7121032" o:spid="_x0000_s2065" type="#_x0000_t75" style="position:absolute;margin-left:0;margin-top:0;width:1190.8pt;height:1684.3pt;z-index:-251655168;mso-position-horizontal:center;mso-position-horizontal-relative:margin;mso-position-vertical:center;mso-position-vertical-relative:margin" o:allowincell="f">
          <v:imagedata r:id="rId1" o:title="Cópia de PORTFÓLIO VITRIO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E9FD4" w14:textId="0716DD46" w:rsidR="0008055F" w:rsidRDefault="00F24269">
    <w:pPr>
      <w:pStyle w:val="Cabealho"/>
    </w:pPr>
    <w:r>
      <w:rPr>
        <w:noProof/>
      </w:rPr>
      <w:pict w14:anchorId="44BD9C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7121033" o:spid="_x0000_s2066" type="#_x0000_t75" style="position:absolute;margin-left:-319pt;margin-top:-473.55pt;width:1119.9pt;height:22in;z-index:-251654144;mso-position-horizontal-relative:margin;mso-position-vertical-relative:margin" o:allowincell="f">
          <v:imagedata r:id="rId1" o:title="Cópia de PORTFÓLIO VITRIOL" gain="19661f" blacklevel="22938f"/>
          <w10:wrap anchorx="margin" anchory="margin"/>
        </v:shape>
      </w:pict>
    </w:r>
    <w:r w:rsidR="005B6745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751FF8B" wp14:editId="40FE9F4D">
          <wp:simplePos x="0" y="0"/>
          <wp:positionH relativeFrom="column">
            <wp:posOffset>-993774</wp:posOffset>
          </wp:positionH>
          <wp:positionV relativeFrom="paragraph">
            <wp:posOffset>-310515</wp:posOffset>
          </wp:positionV>
          <wp:extent cx="9151294" cy="1396800"/>
          <wp:effectExtent l="0" t="0" r="0" b="0"/>
          <wp:wrapThrough wrapText="bothSides">
            <wp:wrapPolygon edited="0">
              <wp:start x="0" y="0"/>
              <wp:lineTo x="0" y="21217"/>
              <wp:lineTo x="21539" y="21217"/>
              <wp:lineTo x="21539" y="0"/>
              <wp:lineTo x="0" y="0"/>
            </wp:wrapPolygon>
          </wp:wrapThrough>
          <wp:docPr id="114719703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691241" name="Imagem 106269124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1294" cy="13968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2FD4D" w14:textId="6B17985E" w:rsidR="0008055F" w:rsidRDefault="00F24269">
    <w:pPr>
      <w:pStyle w:val="Cabealho"/>
    </w:pPr>
    <w:r>
      <w:rPr>
        <w:noProof/>
      </w:rPr>
      <w:pict w14:anchorId="033D46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7121031" o:spid="_x0000_s2064" type="#_x0000_t75" style="position:absolute;margin-left:0;margin-top:0;width:1190.8pt;height:1684.3pt;z-index:-251656192;mso-position-horizontal:center;mso-position-horizontal-relative:margin;mso-position-vertical:center;mso-position-vertical-relative:margin" o:allowincell="f">
          <v:imagedata r:id="rId1" o:title="Cópia de PORTFÓLIO VITRIO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70FFC"/>
    <w:multiLevelType w:val="multilevel"/>
    <w:tmpl w:val="F3547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513A1E"/>
    <w:multiLevelType w:val="multilevel"/>
    <w:tmpl w:val="A5449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2F1459"/>
    <w:multiLevelType w:val="multilevel"/>
    <w:tmpl w:val="9CC0D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A5383"/>
    <w:multiLevelType w:val="multilevel"/>
    <w:tmpl w:val="10D2C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615584"/>
    <w:multiLevelType w:val="multilevel"/>
    <w:tmpl w:val="EA60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F27D58"/>
    <w:multiLevelType w:val="multilevel"/>
    <w:tmpl w:val="733EAD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987AD1"/>
    <w:multiLevelType w:val="multilevel"/>
    <w:tmpl w:val="D23C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0E386E"/>
    <w:multiLevelType w:val="multilevel"/>
    <w:tmpl w:val="2F7C0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55F"/>
    <w:rsid w:val="0008055F"/>
    <w:rsid w:val="000C4472"/>
    <w:rsid w:val="000F3730"/>
    <w:rsid w:val="00193689"/>
    <w:rsid w:val="001A75DF"/>
    <w:rsid w:val="001B5757"/>
    <w:rsid w:val="0036711F"/>
    <w:rsid w:val="004143A3"/>
    <w:rsid w:val="00414E16"/>
    <w:rsid w:val="00543C5B"/>
    <w:rsid w:val="005B6745"/>
    <w:rsid w:val="00867710"/>
    <w:rsid w:val="008E74A5"/>
    <w:rsid w:val="00A272A0"/>
    <w:rsid w:val="00A33562"/>
    <w:rsid w:val="00A65B9E"/>
    <w:rsid w:val="00B7462D"/>
    <w:rsid w:val="00BB44AA"/>
    <w:rsid w:val="00DC567F"/>
    <w:rsid w:val="00E16935"/>
    <w:rsid w:val="00F2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50F18CA4"/>
  <w15:chartTrackingRefBased/>
  <w15:docId w15:val="{BF29D096-6ADF-4457-97B0-4C95B625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05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055F"/>
  </w:style>
  <w:style w:type="paragraph" w:styleId="Rodap">
    <w:name w:val="footer"/>
    <w:basedOn w:val="Normal"/>
    <w:link w:val="RodapChar"/>
    <w:uiPriority w:val="99"/>
    <w:unhideWhenUsed/>
    <w:rsid w:val="000805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055F"/>
  </w:style>
  <w:style w:type="paragraph" w:customStyle="1" w:styleId="Verses">
    <w:name w:val="Versões"/>
    <w:link w:val="VersesChar"/>
    <w:qFormat/>
    <w:rsid w:val="00543C5B"/>
    <w:pPr>
      <w:spacing w:after="0" w:line="240" w:lineRule="auto"/>
      <w:jc w:val="center"/>
    </w:pPr>
    <w:rPr>
      <w:rFonts w:ascii="Calibri" w:hAnsi="Calibri"/>
      <w:kern w:val="0"/>
      <w14:ligatures w14:val="none"/>
    </w:rPr>
  </w:style>
  <w:style w:type="character" w:customStyle="1" w:styleId="VersesChar">
    <w:name w:val="Versões Char"/>
    <w:basedOn w:val="Fontepargpadro"/>
    <w:link w:val="Verses"/>
    <w:rsid w:val="00543C5B"/>
    <w:rPr>
      <w:rFonts w:ascii="Calibri" w:hAnsi="Calibri"/>
      <w:kern w:val="0"/>
      <w14:ligatures w14:val="none"/>
    </w:rPr>
  </w:style>
  <w:style w:type="table" w:customStyle="1" w:styleId="TableGrid">
    <w:name w:val="TableGrid"/>
    <w:rsid w:val="00193689"/>
    <w:pPr>
      <w:spacing w:after="0" w:line="240" w:lineRule="auto"/>
    </w:pPr>
    <w:rPr>
      <w:rFonts w:eastAsiaTheme="minorEastAs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E16935"/>
    <w:pPr>
      <w:spacing w:line="278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70801-DF67-42E3-883A-876E3E421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1932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Mendes</dc:creator>
  <cp:keywords/>
  <dc:description/>
  <cp:lastModifiedBy>Vauneidi Maria Peterle</cp:lastModifiedBy>
  <cp:revision>2</cp:revision>
  <dcterms:created xsi:type="dcterms:W3CDTF">2026-02-25T19:42:00Z</dcterms:created>
  <dcterms:modified xsi:type="dcterms:W3CDTF">2026-02-25T19:42:00Z</dcterms:modified>
</cp:coreProperties>
</file>