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8897" w:type="dxa"/>
        <w:tblLayout w:type="fixed"/>
        <w:tblLook w:val="04A0" w:firstRow="1" w:lastRow="0" w:firstColumn="1" w:lastColumn="0" w:noHBand="0" w:noVBand="1"/>
      </w:tblPr>
      <w:tblGrid>
        <w:gridCol w:w="1668"/>
        <w:gridCol w:w="7229"/>
      </w:tblGrid>
      <w:tr w:rsidR="00F3421E">
        <w:trPr>
          <w:trHeight w:val="1270"/>
        </w:trPr>
        <w:tc>
          <w:tcPr>
            <w:tcW w:w="1668" w:type="dxa"/>
            <w:tcBorders>
              <w:right w:val="nil"/>
            </w:tcBorders>
            <w:vAlign w:val="center"/>
          </w:tcPr>
          <w:p w:rsidR="00F3421E" w:rsidRDefault="00854837">
            <w:pPr>
              <w:pStyle w:val="Cabealho"/>
              <w:widowControl w:val="0"/>
              <w:jc w:val="both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noProof/>
                <w:lang w:eastAsia="pt-BR"/>
              </w:rPr>
              <w:drawing>
                <wp:inline distT="0" distB="0" distL="0" distR="0">
                  <wp:extent cx="800100" cy="619125"/>
                  <wp:effectExtent l="0" t="0" r="0" b="0"/>
                  <wp:docPr id="1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619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8" w:type="dxa"/>
            <w:tcBorders>
              <w:left w:val="nil"/>
            </w:tcBorders>
            <w:vAlign w:val="center"/>
          </w:tcPr>
          <w:p w:rsidR="00F3421E" w:rsidRDefault="00854837">
            <w:pPr>
              <w:pStyle w:val="Cabealho"/>
              <w:widowControl w:val="0"/>
              <w:jc w:val="both"/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Prefeitura Municipal de Venda Nova do Imigrante</w:t>
            </w:r>
          </w:p>
          <w:p w:rsidR="00F3421E" w:rsidRDefault="00F3421E">
            <w:pPr>
              <w:pStyle w:val="Cabealho"/>
              <w:widowControl w:val="0"/>
              <w:jc w:val="both"/>
              <w:rPr>
                <w:b/>
                <w:sz w:val="20"/>
                <w:szCs w:val="20"/>
              </w:rPr>
            </w:pPr>
          </w:p>
          <w:p w:rsidR="00F3421E" w:rsidRDefault="00854837">
            <w:pPr>
              <w:pStyle w:val="Rodap"/>
              <w:widowControl w:val="0"/>
              <w:jc w:val="both"/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softHyphen/>
            </w:r>
            <w:r>
              <w:rPr>
                <w:rFonts w:eastAsia="Calibri"/>
                <w:b/>
                <w:sz w:val="20"/>
                <w:szCs w:val="20"/>
              </w:rPr>
              <w:softHyphen/>
            </w:r>
            <w:r>
              <w:rPr>
                <w:rFonts w:eastAsia="Calibri"/>
                <w:b/>
                <w:sz w:val="20"/>
                <w:szCs w:val="20"/>
              </w:rPr>
              <w:softHyphen/>
            </w:r>
            <w:r>
              <w:rPr>
                <w:rFonts w:eastAsia="Calibri"/>
                <w:b/>
                <w:sz w:val="20"/>
                <w:szCs w:val="20"/>
              </w:rPr>
              <w:softHyphen/>
            </w:r>
            <w:r>
              <w:rPr>
                <w:rFonts w:eastAsia="Calibri"/>
                <w:b/>
                <w:sz w:val="20"/>
                <w:szCs w:val="20"/>
              </w:rPr>
              <w:softHyphen/>
            </w:r>
            <w:r>
              <w:rPr>
                <w:rFonts w:eastAsia="Calibri"/>
                <w:b/>
                <w:sz w:val="20"/>
                <w:szCs w:val="20"/>
              </w:rPr>
              <w:softHyphen/>
            </w:r>
            <w:r>
              <w:rPr>
                <w:rFonts w:eastAsia="Calibri"/>
                <w:b/>
                <w:sz w:val="20"/>
                <w:szCs w:val="20"/>
              </w:rPr>
              <w:softHyphen/>
            </w:r>
            <w:r>
              <w:rPr>
                <w:rFonts w:eastAsia="Calibri"/>
                <w:b/>
                <w:sz w:val="20"/>
                <w:szCs w:val="20"/>
              </w:rPr>
              <w:softHyphen/>
            </w:r>
            <w:r>
              <w:rPr>
                <w:rFonts w:eastAsia="Calibri"/>
                <w:b/>
                <w:sz w:val="20"/>
                <w:szCs w:val="20"/>
              </w:rPr>
              <w:softHyphen/>
            </w:r>
            <w:r>
              <w:rPr>
                <w:rFonts w:eastAsia="Calibri"/>
                <w:b/>
                <w:sz w:val="20"/>
                <w:szCs w:val="20"/>
              </w:rPr>
              <w:softHyphen/>
            </w:r>
            <w:r>
              <w:rPr>
                <w:rFonts w:eastAsia="Calibri"/>
                <w:b/>
                <w:sz w:val="20"/>
                <w:szCs w:val="20"/>
              </w:rPr>
              <w:softHyphen/>
              <w:t>Av. Evandi Américo Comarela, 385, Esplanada, Venda Nova do Imigrante/ES</w:t>
            </w:r>
          </w:p>
          <w:p w:rsidR="00F3421E" w:rsidRDefault="00854837">
            <w:pPr>
              <w:pStyle w:val="Rodap"/>
              <w:widowControl w:val="0"/>
              <w:jc w:val="both"/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CNPJ nº 31.723.497/0001-08 - CEP: 29375-000  - Telefone: (28) 3546-1188</w:t>
            </w:r>
          </w:p>
        </w:tc>
      </w:tr>
    </w:tbl>
    <w:p w:rsidR="00F3421E" w:rsidRDefault="00F3421E">
      <w:pPr>
        <w:shd w:val="clear" w:color="auto" w:fill="FFFFFF" w:themeFill="background1"/>
        <w:spacing w:after="0" w:line="240" w:lineRule="auto"/>
        <w:jc w:val="both"/>
        <w:rPr>
          <w:sz w:val="20"/>
          <w:szCs w:val="20"/>
        </w:rPr>
      </w:pPr>
    </w:p>
    <w:tbl>
      <w:tblPr>
        <w:tblStyle w:val="Tabelacomgrade"/>
        <w:tblpPr w:leftFromText="141" w:rightFromText="141" w:vertAnchor="text" w:tblpY="1"/>
        <w:tblW w:w="889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897"/>
      </w:tblGrid>
      <w:tr w:rsidR="00F3421E">
        <w:trPr>
          <w:trHeight w:val="558"/>
        </w:trPr>
        <w:tc>
          <w:tcPr>
            <w:tcW w:w="8897" w:type="dxa"/>
            <w:shd w:val="clear" w:color="auto" w:fill="D9D9D9" w:themeFill="background1" w:themeFillShade="D9"/>
            <w:vAlign w:val="center"/>
          </w:tcPr>
          <w:p w:rsidR="00F3421E" w:rsidRDefault="00854837">
            <w:pPr>
              <w:widowControl w:val="0"/>
              <w:spacing w:after="0" w:line="240" w:lineRule="auto"/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ÁREA REQUISITANTE</w:t>
            </w:r>
          </w:p>
        </w:tc>
      </w:tr>
      <w:tr w:rsidR="00F3421E">
        <w:trPr>
          <w:trHeight w:val="199"/>
        </w:trPr>
        <w:tc>
          <w:tcPr>
            <w:tcW w:w="8897" w:type="dxa"/>
            <w:shd w:val="clear" w:color="auto" w:fill="FFFFFF" w:themeFill="background1"/>
            <w:vAlign w:val="center"/>
          </w:tcPr>
          <w:p w:rsidR="00F3421E" w:rsidRDefault="00854837">
            <w:pPr>
              <w:widowControl w:val="0"/>
              <w:spacing w:before="240" w:after="240" w:line="240" w:lineRule="auto"/>
              <w:jc w:val="both"/>
              <w:rPr>
                <w:bCs/>
              </w:rPr>
            </w:pPr>
            <w:r>
              <w:rPr>
                <w:rFonts w:eastAsia="Calibri"/>
                <w:bCs/>
              </w:rPr>
              <w:t xml:space="preserve">Área Requisitante: Secretaria de Obras e Infraestrutura Urbana </w:t>
            </w:r>
          </w:p>
        </w:tc>
      </w:tr>
      <w:tr w:rsidR="00F3421E">
        <w:trPr>
          <w:trHeight w:val="199"/>
        </w:trPr>
        <w:tc>
          <w:tcPr>
            <w:tcW w:w="8897" w:type="dxa"/>
            <w:shd w:val="clear" w:color="auto" w:fill="FFFFFF" w:themeFill="background1"/>
            <w:vAlign w:val="center"/>
          </w:tcPr>
          <w:p w:rsidR="00F3421E" w:rsidRDefault="00854837">
            <w:pPr>
              <w:widowControl w:val="0"/>
              <w:spacing w:before="240" w:after="240" w:line="240" w:lineRule="auto"/>
              <w:jc w:val="both"/>
              <w:rPr>
                <w:bCs/>
              </w:rPr>
            </w:pPr>
            <w:r>
              <w:rPr>
                <w:rFonts w:eastAsia="Calibri"/>
                <w:bCs/>
              </w:rPr>
              <w:t>Responsável: Jaqueline Aparecida da Silva</w:t>
            </w:r>
          </w:p>
        </w:tc>
      </w:tr>
      <w:tr w:rsidR="00F3421E">
        <w:trPr>
          <w:trHeight w:val="558"/>
        </w:trPr>
        <w:tc>
          <w:tcPr>
            <w:tcW w:w="8897" w:type="dxa"/>
            <w:shd w:val="clear" w:color="auto" w:fill="D9D9D9" w:themeFill="background1" w:themeFillShade="D9"/>
            <w:vAlign w:val="center"/>
          </w:tcPr>
          <w:p w:rsidR="00F3421E" w:rsidRDefault="00854837">
            <w:pPr>
              <w:widowControl w:val="0"/>
              <w:spacing w:after="0" w:line="240" w:lineRule="auto"/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ESTUDO TÉCNICO PRELIMINAR</w:t>
            </w:r>
          </w:p>
        </w:tc>
      </w:tr>
      <w:tr w:rsidR="00F3421E">
        <w:trPr>
          <w:trHeight w:val="1209"/>
        </w:trPr>
        <w:tc>
          <w:tcPr>
            <w:tcW w:w="8897" w:type="dxa"/>
            <w:vAlign w:val="center"/>
          </w:tcPr>
          <w:p w:rsidR="00F3421E" w:rsidRDefault="00854837">
            <w:pPr>
              <w:widowControl w:val="0"/>
              <w:spacing w:after="0" w:line="240" w:lineRule="auto"/>
              <w:jc w:val="both"/>
            </w:pPr>
            <w:r>
              <w:rPr>
                <w:rFonts w:eastAsia="Calibri"/>
              </w:rPr>
              <w:t xml:space="preserve">O presente Estudo Técnico Preliminar - ETP - tem como objetivo </w:t>
            </w:r>
            <w:r>
              <w:rPr>
                <w:rFonts w:eastAsia="Calibri"/>
                <w:color w:val="000000"/>
              </w:rPr>
              <w:t>avaliar alternativas para aquisição de materiais a serem u</w:t>
            </w:r>
            <w:r>
              <w:rPr>
                <w:rFonts w:eastAsia="Calibri"/>
                <w:color w:val="000000"/>
              </w:rPr>
              <w:t xml:space="preserve">tilizados em calçamentos e manutenções de vias e calçadas do Município de Venda Nova do Imigrante – ES, para atender às necessidades da secretaria de Obras </w:t>
            </w:r>
            <w:r>
              <w:rPr>
                <w:rFonts w:eastAsia="Calibri"/>
              </w:rPr>
              <w:t>pelo período de 12 (doze) meses, servindo como base para a elaboração do Termo de Referência, de aco</w:t>
            </w:r>
            <w:r>
              <w:rPr>
                <w:rFonts w:eastAsia="Calibri"/>
              </w:rPr>
              <w:t>rdo com a Lei 8.666/1993, art. 6º, inciso IX.</w:t>
            </w:r>
          </w:p>
        </w:tc>
      </w:tr>
    </w:tbl>
    <w:p w:rsidR="00F3421E" w:rsidRDefault="00F3421E">
      <w:pPr>
        <w:spacing w:after="0" w:line="240" w:lineRule="auto"/>
        <w:jc w:val="both"/>
        <w:rPr>
          <w:sz w:val="20"/>
          <w:szCs w:val="20"/>
        </w:rPr>
      </w:pPr>
    </w:p>
    <w:tbl>
      <w:tblPr>
        <w:tblStyle w:val="Tabelacomgrade"/>
        <w:tblW w:w="8927" w:type="dxa"/>
        <w:tblLayout w:type="fixed"/>
        <w:tblLook w:val="04A0" w:firstRow="1" w:lastRow="0" w:firstColumn="1" w:lastColumn="0" w:noHBand="0" w:noVBand="1"/>
      </w:tblPr>
      <w:tblGrid>
        <w:gridCol w:w="8927"/>
      </w:tblGrid>
      <w:tr w:rsidR="00F3421E">
        <w:tc>
          <w:tcPr>
            <w:tcW w:w="8927" w:type="dxa"/>
            <w:shd w:val="clear" w:color="auto" w:fill="BFBFBF" w:themeFill="background1" w:themeFillShade="BF"/>
          </w:tcPr>
          <w:p w:rsidR="00F3421E" w:rsidRDefault="00854837">
            <w:pPr>
              <w:widowControl w:val="0"/>
              <w:spacing w:after="0" w:line="240" w:lineRule="auto"/>
              <w:jc w:val="both"/>
              <w:rPr>
                <w:b/>
              </w:rPr>
            </w:pPr>
            <w:r>
              <w:rPr>
                <w:rFonts w:eastAsia="Calibri"/>
                <w:b/>
              </w:rPr>
              <w:t xml:space="preserve">1. DESCRIÇÃO DA NECESSIDADE </w:t>
            </w:r>
          </w:p>
        </w:tc>
      </w:tr>
      <w:tr w:rsidR="00F3421E">
        <w:trPr>
          <w:trHeight w:val="3045"/>
        </w:trPr>
        <w:tc>
          <w:tcPr>
            <w:tcW w:w="8927" w:type="dxa"/>
          </w:tcPr>
          <w:p w:rsidR="00F3421E" w:rsidRDefault="00854837">
            <w:pPr>
              <w:pStyle w:val="NormalWeb"/>
              <w:widowControl w:val="0"/>
              <w:spacing w:beforeAutospacing="0" w:after="0" w:afterAutospacing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É dever da Administração zelar pelas vias públicas, sendo necessário a manutenção constante das mesmas, sendo essencial a aquisição de materiais para essas manutenções, para </w:t>
            </w:r>
            <w:r>
              <w:rPr>
                <w:rFonts w:ascii="Arial" w:hAnsi="Arial" w:cs="Arial"/>
              </w:rPr>
              <w:t>troca dos itens danificados, visando o aumento da acessibilidade, segurança e comodidade dos pedestres. Além da necessidade de construção de novos passeios considerando que é recomendável que o translado de pessoas aconteça fora das pistas de rolamento dos</w:t>
            </w:r>
            <w:r>
              <w:rPr>
                <w:rFonts w:ascii="Arial" w:hAnsi="Arial" w:cs="Arial"/>
              </w:rPr>
              <w:t xml:space="preserve"> veículos motorizados, diminuindo assim, o risco de acidentes e dando fluidez do tráfego local.</w:t>
            </w:r>
          </w:p>
          <w:p w:rsidR="00F3421E" w:rsidRDefault="00854837">
            <w:pPr>
              <w:pStyle w:val="NormalWeb"/>
              <w:widowControl w:val="0"/>
              <w:spacing w:beforeAutospacing="0" w:after="0" w:afterAutospacing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solução escolhida adquirida conforme necessidade e a entrega ficará a cargo da ganhadora, disponibilizando de acordo com a solicitação da secretaria.</w:t>
            </w:r>
          </w:p>
          <w:p w:rsidR="00F3421E" w:rsidRDefault="00854837">
            <w:pPr>
              <w:pStyle w:val="NormalWeb"/>
              <w:widowControl w:val="0"/>
              <w:spacing w:beforeAutospacing="0" w:after="0" w:afterAutospacing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mão de</w:t>
            </w:r>
            <w:r>
              <w:rPr>
                <w:rFonts w:ascii="Arial" w:hAnsi="Arial" w:cs="Arial"/>
              </w:rPr>
              <w:t xml:space="preserve"> obra para a construção e manutenção será pela secretaria de Obras, que possui servidores capacitados para essas conservações de pequeno porte.</w:t>
            </w:r>
          </w:p>
          <w:p w:rsidR="00F3421E" w:rsidRDefault="00854837">
            <w:pPr>
              <w:pStyle w:val="NormalWeb"/>
              <w:widowControl w:val="0"/>
              <w:spacing w:beforeAutospacing="0" w:after="0" w:afterAutospacing="0"/>
              <w:jc w:val="both"/>
            </w:pPr>
            <w:r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  <w:color w:val="000000"/>
              </w:rPr>
              <w:t xml:space="preserve">or todo o exposto, a Secretaria Municipal pretende utilizar a solução a ser escolhida por meio de procedimento </w:t>
            </w:r>
            <w:r>
              <w:rPr>
                <w:rFonts w:ascii="Arial" w:hAnsi="Arial" w:cs="Arial"/>
                <w:color w:val="000000"/>
              </w:rPr>
              <w:t>licitatório, regido pela Lei Federal nº 8.666/93.</w:t>
            </w:r>
          </w:p>
        </w:tc>
      </w:tr>
    </w:tbl>
    <w:p w:rsidR="00F3421E" w:rsidRDefault="00F3421E">
      <w:pPr>
        <w:spacing w:after="0" w:line="240" w:lineRule="auto"/>
        <w:jc w:val="both"/>
        <w:rPr>
          <w:b/>
          <w:sz w:val="20"/>
          <w:szCs w:val="20"/>
        </w:rPr>
      </w:pPr>
    </w:p>
    <w:tbl>
      <w:tblPr>
        <w:tblStyle w:val="Tabelacomgrade"/>
        <w:tblW w:w="8927" w:type="dxa"/>
        <w:tblLayout w:type="fixed"/>
        <w:tblLook w:val="04A0" w:firstRow="1" w:lastRow="0" w:firstColumn="1" w:lastColumn="0" w:noHBand="0" w:noVBand="1"/>
      </w:tblPr>
      <w:tblGrid>
        <w:gridCol w:w="8927"/>
      </w:tblGrid>
      <w:tr w:rsidR="00F3421E">
        <w:tc>
          <w:tcPr>
            <w:tcW w:w="8927" w:type="dxa"/>
            <w:shd w:val="clear" w:color="auto" w:fill="BFBFBF" w:themeFill="background1" w:themeFillShade="BF"/>
          </w:tcPr>
          <w:p w:rsidR="00F3421E" w:rsidRDefault="00854837">
            <w:pPr>
              <w:widowControl w:val="0"/>
              <w:spacing w:after="0" w:line="240" w:lineRule="auto"/>
              <w:jc w:val="both"/>
              <w:rPr>
                <w:b/>
              </w:rPr>
            </w:pPr>
            <w:r>
              <w:rPr>
                <w:rFonts w:eastAsia="Calibri"/>
                <w:b/>
              </w:rPr>
              <w:t>2. REQUISITOS DA CONTRATAÇÃO</w:t>
            </w:r>
          </w:p>
        </w:tc>
      </w:tr>
      <w:tr w:rsidR="00F3421E">
        <w:tc>
          <w:tcPr>
            <w:tcW w:w="8927" w:type="dxa"/>
          </w:tcPr>
          <w:p w:rsidR="00F3421E" w:rsidRDefault="00854837">
            <w:pPr>
              <w:widowControl w:val="0"/>
              <w:spacing w:after="0" w:line="240" w:lineRule="auto"/>
              <w:jc w:val="both"/>
            </w:pPr>
            <w:r>
              <w:rPr>
                <w:rFonts w:eastAsia="Calibri"/>
              </w:rPr>
              <w:t>Deverá ser observada a descrição dos itens do pedido de compras 482/2021, respeitando as normas e especificações técnicas da ABNT</w:t>
            </w:r>
          </w:p>
        </w:tc>
      </w:tr>
    </w:tbl>
    <w:p w:rsidR="00F3421E" w:rsidRDefault="00F3421E">
      <w:pPr>
        <w:spacing w:after="0" w:line="240" w:lineRule="auto"/>
        <w:jc w:val="both"/>
        <w:rPr>
          <w:b/>
          <w:sz w:val="20"/>
          <w:szCs w:val="20"/>
        </w:rPr>
      </w:pPr>
    </w:p>
    <w:tbl>
      <w:tblPr>
        <w:tblStyle w:val="Tabelacomgrade"/>
        <w:tblW w:w="8927" w:type="dxa"/>
        <w:tblLayout w:type="fixed"/>
        <w:tblLook w:val="04A0" w:firstRow="1" w:lastRow="0" w:firstColumn="1" w:lastColumn="0" w:noHBand="0" w:noVBand="1"/>
      </w:tblPr>
      <w:tblGrid>
        <w:gridCol w:w="8927"/>
      </w:tblGrid>
      <w:tr w:rsidR="00F3421E">
        <w:tc>
          <w:tcPr>
            <w:tcW w:w="8927" w:type="dxa"/>
            <w:shd w:val="clear" w:color="auto" w:fill="BFBFBF" w:themeFill="background1" w:themeFillShade="BF"/>
          </w:tcPr>
          <w:p w:rsidR="00F3421E" w:rsidRDefault="00854837">
            <w:pPr>
              <w:widowControl w:val="0"/>
              <w:spacing w:after="0" w:line="240" w:lineRule="auto"/>
              <w:jc w:val="both"/>
              <w:rPr>
                <w:b/>
              </w:rPr>
            </w:pPr>
            <w:r>
              <w:rPr>
                <w:rFonts w:eastAsia="Calibri"/>
                <w:b/>
              </w:rPr>
              <w:t>3. LEVANTAMENTO DE MERCADO</w:t>
            </w:r>
          </w:p>
        </w:tc>
      </w:tr>
      <w:tr w:rsidR="00F3421E">
        <w:trPr>
          <w:trHeight w:val="270"/>
        </w:trPr>
        <w:tc>
          <w:tcPr>
            <w:tcW w:w="8927" w:type="dxa"/>
          </w:tcPr>
          <w:p w:rsidR="00F3421E" w:rsidRDefault="00854837">
            <w:pPr>
              <w:widowControl w:val="0"/>
              <w:spacing w:after="0" w:line="240" w:lineRule="auto"/>
              <w:jc w:val="both"/>
            </w:pPr>
            <w:r>
              <w:rPr>
                <w:rFonts w:eastAsia="Calibri"/>
              </w:rPr>
              <w:t>O levantamento</w:t>
            </w:r>
            <w:r>
              <w:rPr>
                <w:rFonts w:eastAsia="Calibri"/>
              </w:rPr>
              <w:t xml:space="preserve"> do preço foi realizado com a cotação de preço em 4 empresas:</w:t>
            </w:r>
          </w:p>
          <w:p w:rsidR="00F3421E" w:rsidRDefault="00854837">
            <w:pPr>
              <w:widowControl w:val="0"/>
              <w:spacing w:after="0" w:line="240" w:lineRule="auto"/>
              <w:jc w:val="both"/>
            </w:pPr>
            <w:r>
              <w:rPr>
                <w:rFonts w:eastAsia="Calibri"/>
              </w:rPr>
              <w:t>Vix ES Comercio Material de Construção</w:t>
            </w:r>
          </w:p>
          <w:p w:rsidR="00F3421E" w:rsidRDefault="00854837">
            <w:pPr>
              <w:widowControl w:val="0"/>
              <w:spacing w:after="0" w:line="240" w:lineRule="auto"/>
              <w:jc w:val="both"/>
            </w:pPr>
            <w:r>
              <w:rPr>
                <w:rFonts w:eastAsia="Calibri"/>
              </w:rPr>
              <w:t>Maporá Ind. e Comercio Varejista de Material de Construção</w:t>
            </w:r>
          </w:p>
          <w:p w:rsidR="00F3421E" w:rsidRDefault="00854837">
            <w:pPr>
              <w:widowControl w:val="0"/>
              <w:spacing w:after="0" w:line="240" w:lineRule="auto"/>
              <w:jc w:val="both"/>
            </w:pPr>
            <w:r>
              <w:rPr>
                <w:rFonts w:eastAsia="Calibri"/>
              </w:rPr>
              <w:t>Material Brutu Acabamentos e serviços</w:t>
            </w:r>
          </w:p>
          <w:p w:rsidR="00F3421E" w:rsidRDefault="00854837">
            <w:pPr>
              <w:widowControl w:val="0"/>
              <w:spacing w:after="0" w:line="240" w:lineRule="auto"/>
              <w:jc w:val="both"/>
            </w:pPr>
            <w:r>
              <w:rPr>
                <w:rFonts w:eastAsia="Calibri"/>
              </w:rPr>
              <w:t xml:space="preserve">Fabrik Solução </w:t>
            </w:r>
          </w:p>
        </w:tc>
      </w:tr>
    </w:tbl>
    <w:p w:rsidR="00F3421E" w:rsidRDefault="00F3421E">
      <w:pPr>
        <w:spacing w:after="0" w:line="240" w:lineRule="auto"/>
        <w:jc w:val="both"/>
        <w:rPr>
          <w:b/>
          <w:sz w:val="20"/>
          <w:szCs w:val="20"/>
        </w:rPr>
      </w:pPr>
    </w:p>
    <w:tbl>
      <w:tblPr>
        <w:tblStyle w:val="Tabelacomgrade"/>
        <w:tblW w:w="8927" w:type="dxa"/>
        <w:tblLayout w:type="fixed"/>
        <w:tblLook w:val="04A0" w:firstRow="1" w:lastRow="0" w:firstColumn="1" w:lastColumn="0" w:noHBand="0" w:noVBand="1"/>
      </w:tblPr>
      <w:tblGrid>
        <w:gridCol w:w="8927"/>
      </w:tblGrid>
      <w:tr w:rsidR="00F3421E">
        <w:tc>
          <w:tcPr>
            <w:tcW w:w="8927" w:type="dxa"/>
            <w:shd w:val="clear" w:color="auto" w:fill="BFBFBF" w:themeFill="background1" w:themeFillShade="BF"/>
          </w:tcPr>
          <w:p w:rsidR="00F3421E" w:rsidRDefault="00854837">
            <w:pPr>
              <w:widowControl w:val="0"/>
              <w:spacing w:after="0" w:line="240" w:lineRule="auto"/>
              <w:jc w:val="both"/>
              <w:rPr>
                <w:b/>
              </w:rPr>
            </w:pPr>
            <w:r>
              <w:rPr>
                <w:rFonts w:eastAsia="Calibri"/>
                <w:b/>
              </w:rPr>
              <w:t>4. DESCRIÇÃO DA SOLUÇÃO COMO UM TODO</w:t>
            </w:r>
          </w:p>
        </w:tc>
      </w:tr>
      <w:tr w:rsidR="00F3421E">
        <w:tc>
          <w:tcPr>
            <w:tcW w:w="8927" w:type="dxa"/>
          </w:tcPr>
          <w:p w:rsidR="00F3421E" w:rsidRDefault="00854837">
            <w:pPr>
              <w:pStyle w:val="PargrafodaLista"/>
              <w:widowControl w:val="0"/>
              <w:tabs>
                <w:tab w:val="left" w:pos="1294"/>
              </w:tabs>
              <w:spacing w:after="0" w:line="240" w:lineRule="auto"/>
              <w:ind w:left="0"/>
              <w:jc w:val="both"/>
            </w:pPr>
            <w:r>
              <w:rPr>
                <w:rFonts w:eastAsia="Calibri"/>
              </w:rPr>
              <w:lastRenderedPageBreak/>
              <w:t xml:space="preserve">Por ser material de consumo, não há necessidade de manutenção e a assistência técnica. Devendo o fornecedor presar pela qualidade dos materiais entregues. </w:t>
            </w:r>
          </w:p>
          <w:p w:rsidR="00F3421E" w:rsidRDefault="00854837">
            <w:pPr>
              <w:tabs>
                <w:tab w:val="left" w:pos="1294"/>
              </w:tabs>
              <w:spacing w:after="0" w:line="360" w:lineRule="auto"/>
              <w:jc w:val="both"/>
            </w:pPr>
            <w:r>
              <w:rPr>
                <w:rFonts w:eastAsia="Calibri"/>
                <w:color w:val="00000A"/>
              </w:rPr>
              <w:t xml:space="preserve">Por essa razão, a estratégia de contratação mais conveniente é a aquisição dos materiais, </w:t>
            </w:r>
            <w:r>
              <w:rPr>
                <w:rFonts w:eastAsia="Calibri"/>
                <w:color w:val="000000"/>
              </w:rPr>
              <w:t>na modalid</w:t>
            </w:r>
            <w:r>
              <w:rPr>
                <w:rFonts w:eastAsia="Calibri"/>
                <w:color w:val="000000"/>
              </w:rPr>
              <w:t xml:space="preserve">ade de </w:t>
            </w:r>
            <w:r>
              <w:rPr>
                <w:rFonts w:eastAsia="Calibri"/>
                <w:b/>
                <w:color w:val="000000"/>
              </w:rPr>
              <w:t>Pregão Eletrônico</w:t>
            </w:r>
            <w:r>
              <w:rPr>
                <w:rFonts w:eastAsia="Calibri"/>
                <w:color w:val="000000"/>
              </w:rPr>
              <w:t xml:space="preserve"> tipo menor preço por item/lote.</w:t>
            </w:r>
          </w:p>
        </w:tc>
      </w:tr>
    </w:tbl>
    <w:p w:rsidR="00F3421E" w:rsidRDefault="00F3421E">
      <w:pPr>
        <w:spacing w:after="0" w:line="240" w:lineRule="auto"/>
        <w:jc w:val="both"/>
        <w:rPr>
          <w:b/>
          <w:sz w:val="20"/>
          <w:szCs w:val="20"/>
        </w:rPr>
      </w:pPr>
    </w:p>
    <w:tbl>
      <w:tblPr>
        <w:tblStyle w:val="Tabelacomgrade"/>
        <w:tblW w:w="8926" w:type="dxa"/>
        <w:tblLayout w:type="fixed"/>
        <w:tblLook w:val="04A0" w:firstRow="1" w:lastRow="0" w:firstColumn="1" w:lastColumn="0" w:noHBand="0" w:noVBand="1"/>
      </w:tblPr>
      <w:tblGrid>
        <w:gridCol w:w="8926"/>
      </w:tblGrid>
      <w:tr w:rsidR="00F3421E">
        <w:tc>
          <w:tcPr>
            <w:tcW w:w="8926" w:type="dxa"/>
            <w:shd w:val="clear" w:color="auto" w:fill="BFBFBF" w:themeFill="background1" w:themeFillShade="BF"/>
          </w:tcPr>
          <w:p w:rsidR="00F3421E" w:rsidRDefault="00854837">
            <w:pPr>
              <w:widowControl w:val="0"/>
              <w:spacing w:after="0" w:line="240" w:lineRule="auto"/>
              <w:jc w:val="both"/>
              <w:rPr>
                <w:b/>
              </w:rPr>
            </w:pPr>
            <w:r>
              <w:rPr>
                <w:rFonts w:eastAsia="Calibri"/>
                <w:b/>
              </w:rPr>
              <w:t>5. ESTIMATIVA DAS QUANTIDADES</w:t>
            </w:r>
          </w:p>
        </w:tc>
      </w:tr>
      <w:tr w:rsidR="00F3421E">
        <w:tc>
          <w:tcPr>
            <w:tcW w:w="8926" w:type="dxa"/>
          </w:tcPr>
          <w:p w:rsidR="00F3421E" w:rsidRDefault="00854837">
            <w:pPr>
              <w:widowControl w:val="0"/>
              <w:spacing w:line="240" w:lineRule="auto"/>
              <w:jc w:val="both"/>
            </w:pPr>
            <w:r>
              <w:t>As estimativas estão previstas no pedido de compra 482/2021, e foram calculados através das aquisições anteriores e das necessidades já previstas para as manutenções.</w:t>
            </w:r>
          </w:p>
        </w:tc>
      </w:tr>
    </w:tbl>
    <w:p w:rsidR="00F3421E" w:rsidRDefault="00F3421E">
      <w:pPr>
        <w:spacing w:after="0" w:line="240" w:lineRule="auto"/>
        <w:jc w:val="both"/>
        <w:rPr>
          <w:b/>
          <w:sz w:val="20"/>
          <w:szCs w:val="20"/>
        </w:rPr>
      </w:pPr>
    </w:p>
    <w:tbl>
      <w:tblPr>
        <w:tblStyle w:val="Tabelacomgrade"/>
        <w:tblW w:w="8926" w:type="dxa"/>
        <w:tblLayout w:type="fixed"/>
        <w:tblLook w:val="04A0" w:firstRow="1" w:lastRow="0" w:firstColumn="1" w:lastColumn="0" w:noHBand="0" w:noVBand="1"/>
      </w:tblPr>
      <w:tblGrid>
        <w:gridCol w:w="8926"/>
      </w:tblGrid>
      <w:tr w:rsidR="00F3421E">
        <w:tc>
          <w:tcPr>
            <w:tcW w:w="8926" w:type="dxa"/>
            <w:shd w:val="clear" w:color="auto" w:fill="BFBFBF" w:themeFill="background1" w:themeFillShade="BF"/>
          </w:tcPr>
          <w:p w:rsidR="00F3421E" w:rsidRDefault="00854837">
            <w:pPr>
              <w:widowControl w:val="0"/>
              <w:spacing w:after="0" w:line="240" w:lineRule="auto"/>
              <w:jc w:val="both"/>
              <w:rPr>
                <w:b/>
              </w:rPr>
            </w:pPr>
            <w:r>
              <w:rPr>
                <w:rFonts w:eastAsia="Calibri"/>
                <w:b/>
              </w:rPr>
              <w:t>6. ESTIMATIVA DO VALOR DA CONTRATAÇÃO</w:t>
            </w:r>
          </w:p>
        </w:tc>
      </w:tr>
      <w:tr w:rsidR="00F3421E">
        <w:tc>
          <w:tcPr>
            <w:tcW w:w="8926" w:type="dxa"/>
          </w:tcPr>
          <w:p w:rsidR="00F3421E" w:rsidRDefault="00854837">
            <w:pPr>
              <w:widowControl w:val="0"/>
              <w:spacing w:after="0" w:line="240" w:lineRule="auto"/>
              <w:ind w:right="176"/>
              <w:jc w:val="both"/>
            </w:pPr>
            <w:r>
              <w:rPr>
                <w:rFonts w:eastAsia="Calibri"/>
              </w:rPr>
              <w:t>A estimativa de valor da contratação é em torno de R$ 405.000,00. Serão utilizados, como metodologia para a obtenção do preço e referência para a contratação, a média, mediana ou o menor valor obtido na pesquisa de</w:t>
            </w:r>
            <w:r>
              <w:rPr>
                <w:rFonts w:eastAsia="Calibri"/>
              </w:rPr>
              <w:t xml:space="preserve"> preços, desde que o cálculo incida sobre um conjunto de três ou mais preços, oriundos de um ou mais dos parâmetros adotados neste caso, desconsiderados os valores inexequíveis e os excessivamente elevado</w:t>
            </w:r>
            <w:r>
              <w:t>s.</w:t>
            </w:r>
          </w:p>
        </w:tc>
      </w:tr>
    </w:tbl>
    <w:p w:rsidR="00F3421E" w:rsidRDefault="00F3421E">
      <w:pPr>
        <w:spacing w:after="0" w:line="240" w:lineRule="auto"/>
        <w:jc w:val="both"/>
        <w:rPr>
          <w:b/>
          <w:sz w:val="20"/>
          <w:szCs w:val="20"/>
        </w:rPr>
      </w:pPr>
    </w:p>
    <w:tbl>
      <w:tblPr>
        <w:tblStyle w:val="Tabelacomgrade"/>
        <w:tblW w:w="8927" w:type="dxa"/>
        <w:tblLayout w:type="fixed"/>
        <w:tblLook w:val="04A0" w:firstRow="1" w:lastRow="0" w:firstColumn="1" w:lastColumn="0" w:noHBand="0" w:noVBand="1"/>
      </w:tblPr>
      <w:tblGrid>
        <w:gridCol w:w="8927"/>
      </w:tblGrid>
      <w:tr w:rsidR="00F3421E">
        <w:tc>
          <w:tcPr>
            <w:tcW w:w="8927" w:type="dxa"/>
            <w:shd w:val="clear" w:color="auto" w:fill="BFBFBF" w:themeFill="background1" w:themeFillShade="BF"/>
          </w:tcPr>
          <w:p w:rsidR="00F3421E" w:rsidRDefault="00854837">
            <w:pPr>
              <w:widowControl w:val="0"/>
              <w:spacing w:after="0" w:line="240" w:lineRule="auto"/>
              <w:jc w:val="both"/>
              <w:rPr>
                <w:b/>
              </w:rPr>
            </w:pPr>
            <w:r>
              <w:rPr>
                <w:rFonts w:eastAsia="Calibri"/>
                <w:b/>
              </w:rPr>
              <w:t>7. PARCELAMENTO DA SOLUÇÃO</w:t>
            </w:r>
          </w:p>
        </w:tc>
      </w:tr>
      <w:tr w:rsidR="00F3421E">
        <w:tc>
          <w:tcPr>
            <w:tcW w:w="8927" w:type="dxa"/>
          </w:tcPr>
          <w:p w:rsidR="00F3421E" w:rsidRDefault="00854837">
            <w:pPr>
              <w:widowControl w:val="0"/>
              <w:spacing w:after="0" w:line="240" w:lineRule="auto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 w:themeColor="text1"/>
              </w:rPr>
              <w:t xml:space="preserve">A licitação será </w:t>
            </w:r>
            <w:r>
              <w:rPr>
                <w:rFonts w:eastAsia="Calibri"/>
                <w:color w:val="000000" w:themeColor="text1"/>
              </w:rPr>
              <w:t>por item, visando propiciar a ampla participação de licitantes, que embora não disponham de capacidade para execução da totalidade do objeto, possam fazê-lo com relação a itens ou unidades autônomas.</w:t>
            </w:r>
          </w:p>
          <w:p w:rsidR="00F3421E" w:rsidRDefault="00854837">
            <w:pPr>
              <w:widowControl w:val="0"/>
              <w:spacing w:after="0" w:line="240" w:lineRule="auto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 w:themeColor="text1"/>
              </w:rPr>
              <w:t>A entrega será mediante autorização de fornecimento, con</w:t>
            </w:r>
            <w:r>
              <w:rPr>
                <w:rFonts w:eastAsia="Calibri"/>
                <w:color w:val="000000" w:themeColor="text1"/>
              </w:rPr>
              <w:t>forme necessidade da Secretaria</w:t>
            </w:r>
          </w:p>
        </w:tc>
      </w:tr>
    </w:tbl>
    <w:p w:rsidR="00F3421E" w:rsidRDefault="00F3421E">
      <w:pPr>
        <w:spacing w:after="0" w:line="240" w:lineRule="auto"/>
        <w:jc w:val="both"/>
        <w:rPr>
          <w:b/>
          <w:sz w:val="20"/>
          <w:szCs w:val="20"/>
        </w:rPr>
      </w:pPr>
    </w:p>
    <w:tbl>
      <w:tblPr>
        <w:tblStyle w:val="Tabelacomgrade"/>
        <w:tblW w:w="8927" w:type="dxa"/>
        <w:tblLayout w:type="fixed"/>
        <w:tblLook w:val="04A0" w:firstRow="1" w:lastRow="0" w:firstColumn="1" w:lastColumn="0" w:noHBand="0" w:noVBand="1"/>
      </w:tblPr>
      <w:tblGrid>
        <w:gridCol w:w="8927"/>
      </w:tblGrid>
      <w:tr w:rsidR="00F3421E">
        <w:tc>
          <w:tcPr>
            <w:tcW w:w="8927" w:type="dxa"/>
            <w:shd w:val="clear" w:color="auto" w:fill="BFBFBF" w:themeFill="background1" w:themeFillShade="BF"/>
          </w:tcPr>
          <w:p w:rsidR="00F3421E" w:rsidRDefault="00854837">
            <w:pPr>
              <w:widowControl w:val="0"/>
              <w:spacing w:after="0" w:line="240" w:lineRule="auto"/>
              <w:jc w:val="both"/>
              <w:rPr>
                <w:b/>
              </w:rPr>
            </w:pPr>
            <w:r>
              <w:rPr>
                <w:rFonts w:eastAsia="Calibri"/>
                <w:b/>
              </w:rPr>
              <w:t>8. CONTRATAÇÕES CORRELATAS E/OU INTERDEPENDENTES</w:t>
            </w:r>
          </w:p>
        </w:tc>
      </w:tr>
      <w:tr w:rsidR="00F3421E">
        <w:tc>
          <w:tcPr>
            <w:tcW w:w="8927" w:type="dxa"/>
          </w:tcPr>
          <w:p w:rsidR="00F3421E" w:rsidRDefault="00854837">
            <w:pPr>
              <w:widowControl w:val="0"/>
              <w:spacing w:after="0" w:line="240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Não há a necessidade de contratações/aquisições correlatas ao objeto ora debatido.</w:t>
            </w:r>
          </w:p>
        </w:tc>
      </w:tr>
    </w:tbl>
    <w:p w:rsidR="00F3421E" w:rsidRDefault="00F3421E">
      <w:pPr>
        <w:spacing w:after="0" w:line="240" w:lineRule="auto"/>
        <w:jc w:val="both"/>
        <w:rPr>
          <w:b/>
          <w:sz w:val="20"/>
          <w:szCs w:val="20"/>
        </w:rPr>
      </w:pPr>
    </w:p>
    <w:tbl>
      <w:tblPr>
        <w:tblStyle w:val="Tabelacomgrade"/>
        <w:tblW w:w="8927" w:type="dxa"/>
        <w:tblLayout w:type="fixed"/>
        <w:tblLook w:val="04A0" w:firstRow="1" w:lastRow="0" w:firstColumn="1" w:lastColumn="0" w:noHBand="0" w:noVBand="1"/>
      </w:tblPr>
      <w:tblGrid>
        <w:gridCol w:w="8927"/>
      </w:tblGrid>
      <w:tr w:rsidR="00F3421E">
        <w:tc>
          <w:tcPr>
            <w:tcW w:w="8927" w:type="dxa"/>
            <w:shd w:val="clear" w:color="auto" w:fill="BFBFBF" w:themeFill="background1" w:themeFillShade="BF"/>
          </w:tcPr>
          <w:p w:rsidR="00F3421E" w:rsidRDefault="00854837">
            <w:pPr>
              <w:widowControl w:val="0"/>
              <w:spacing w:after="0" w:line="240" w:lineRule="auto"/>
              <w:jc w:val="both"/>
              <w:rPr>
                <w:rFonts w:eastAsia="Calibri"/>
                <w:b/>
              </w:rPr>
            </w:pPr>
            <w:r>
              <w:rPr>
                <w:b/>
              </w:rPr>
              <w:t>9. ALINHAMENTO ENTRE A CONTRATAÇÃO E O PLANEJAMENTO</w:t>
            </w:r>
          </w:p>
        </w:tc>
      </w:tr>
      <w:tr w:rsidR="00F3421E">
        <w:tc>
          <w:tcPr>
            <w:tcW w:w="8927" w:type="dxa"/>
          </w:tcPr>
          <w:p w:rsidR="00F3421E" w:rsidRDefault="00854837">
            <w:pPr>
              <w:widowControl w:val="0"/>
              <w:spacing w:after="0" w:line="240" w:lineRule="auto"/>
              <w:jc w:val="both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lang w:eastAsia="pt-BR"/>
              </w:rPr>
              <w:t xml:space="preserve">SECRETARIA MUNICIPAL DE OBRAS E </w:t>
            </w:r>
            <w:r>
              <w:rPr>
                <w:rFonts w:eastAsia="Times New Roman"/>
                <w:b/>
                <w:bCs/>
                <w:lang w:eastAsia="pt-BR"/>
              </w:rPr>
              <w:t>INFRAESTRUTURA URBANA</w:t>
            </w:r>
          </w:p>
          <w:p w:rsidR="00F3421E" w:rsidRDefault="00854837">
            <w:pPr>
              <w:widowControl w:val="0"/>
              <w:spacing w:after="0" w:line="240" w:lineRule="auto"/>
              <w:jc w:val="both"/>
              <w:rPr>
                <w:rFonts w:eastAsia="Calibri"/>
              </w:rPr>
            </w:pPr>
            <w:r>
              <w:t>Ficha-fonte: Material de consumo</w:t>
            </w:r>
          </w:p>
          <w:p w:rsidR="00F3421E" w:rsidRDefault="00854837">
            <w:pPr>
              <w:widowControl w:val="0"/>
              <w:spacing w:after="0" w:line="240" w:lineRule="auto"/>
              <w:jc w:val="both"/>
              <w:rPr>
                <w:rFonts w:eastAsia="Calibri"/>
              </w:rPr>
            </w:pPr>
            <w:r>
              <w:t>171-1001000000</w:t>
            </w:r>
          </w:p>
          <w:p w:rsidR="00F3421E" w:rsidRDefault="00854837">
            <w:pPr>
              <w:widowControl w:val="0"/>
              <w:spacing w:after="0" w:line="240" w:lineRule="auto"/>
              <w:jc w:val="both"/>
              <w:rPr>
                <w:rFonts w:eastAsia="Calibri"/>
              </w:rPr>
            </w:pPr>
            <w:r>
              <w:t>171-1530000000</w:t>
            </w:r>
          </w:p>
        </w:tc>
      </w:tr>
    </w:tbl>
    <w:p w:rsidR="00F3421E" w:rsidRDefault="00F3421E">
      <w:pPr>
        <w:spacing w:after="0" w:line="240" w:lineRule="auto"/>
        <w:jc w:val="both"/>
        <w:rPr>
          <w:b/>
          <w:sz w:val="20"/>
          <w:szCs w:val="20"/>
        </w:rPr>
      </w:pPr>
    </w:p>
    <w:tbl>
      <w:tblPr>
        <w:tblStyle w:val="Tabelacomgrade"/>
        <w:tblW w:w="8927" w:type="dxa"/>
        <w:tblLayout w:type="fixed"/>
        <w:tblLook w:val="04A0" w:firstRow="1" w:lastRow="0" w:firstColumn="1" w:lastColumn="0" w:noHBand="0" w:noVBand="1"/>
      </w:tblPr>
      <w:tblGrid>
        <w:gridCol w:w="8927"/>
      </w:tblGrid>
      <w:tr w:rsidR="00F3421E">
        <w:tc>
          <w:tcPr>
            <w:tcW w:w="8927" w:type="dxa"/>
            <w:shd w:val="clear" w:color="auto" w:fill="BFBFBF" w:themeFill="background1" w:themeFillShade="BF"/>
          </w:tcPr>
          <w:p w:rsidR="00F3421E" w:rsidRDefault="00854837">
            <w:pPr>
              <w:widowControl w:val="0"/>
              <w:spacing w:after="0" w:line="240" w:lineRule="auto"/>
              <w:jc w:val="both"/>
              <w:rPr>
                <w:b/>
              </w:rPr>
            </w:pPr>
            <w:r>
              <w:rPr>
                <w:rFonts w:eastAsia="Calibri"/>
                <w:b/>
              </w:rPr>
              <w:t>10. RESULTADOS PRETENDIDOS</w:t>
            </w:r>
          </w:p>
        </w:tc>
      </w:tr>
      <w:tr w:rsidR="00F3421E">
        <w:tc>
          <w:tcPr>
            <w:tcW w:w="8927" w:type="dxa"/>
          </w:tcPr>
          <w:p w:rsidR="00F3421E" w:rsidRDefault="00854837">
            <w:pPr>
              <w:pStyle w:val="Corpodetex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Com a solução ora em debate, espera-se atender à demanda da municipalidade, no tocante a vias e passeios com acessibilidade, segurança e conforto aos pedestres. </w:t>
            </w:r>
          </w:p>
        </w:tc>
      </w:tr>
    </w:tbl>
    <w:p w:rsidR="00F3421E" w:rsidRDefault="00F3421E">
      <w:pPr>
        <w:spacing w:after="0" w:line="240" w:lineRule="auto"/>
        <w:jc w:val="both"/>
        <w:rPr>
          <w:b/>
          <w:sz w:val="20"/>
          <w:szCs w:val="20"/>
        </w:rPr>
      </w:pPr>
    </w:p>
    <w:tbl>
      <w:tblPr>
        <w:tblStyle w:val="Tabelacomgrade"/>
        <w:tblW w:w="8927" w:type="dxa"/>
        <w:tblLayout w:type="fixed"/>
        <w:tblLook w:val="04A0" w:firstRow="1" w:lastRow="0" w:firstColumn="1" w:lastColumn="0" w:noHBand="0" w:noVBand="1"/>
      </w:tblPr>
      <w:tblGrid>
        <w:gridCol w:w="8927"/>
      </w:tblGrid>
      <w:tr w:rsidR="00F3421E">
        <w:tc>
          <w:tcPr>
            <w:tcW w:w="8927" w:type="dxa"/>
            <w:shd w:val="clear" w:color="auto" w:fill="BFBFBF" w:themeFill="background1" w:themeFillShade="BF"/>
          </w:tcPr>
          <w:p w:rsidR="00F3421E" w:rsidRDefault="00854837">
            <w:pPr>
              <w:widowControl w:val="0"/>
              <w:spacing w:after="0" w:line="240" w:lineRule="auto"/>
              <w:jc w:val="both"/>
              <w:rPr>
                <w:b/>
              </w:rPr>
            </w:pPr>
            <w:r>
              <w:rPr>
                <w:rFonts w:eastAsia="Calibri"/>
                <w:b/>
              </w:rPr>
              <w:t>11. PROVIDÊNCIAS A SEREM ADOTADAS</w:t>
            </w:r>
          </w:p>
        </w:tc>
      </w:tr>
      <w:tr w:rsidR="00F3421E">
        <w:tc>
          <w:tcPr>
            <w:tcW w:w="8927" w:type="dxa"/>
          </w:tcPr>
          <w:p w:rsidR="00F3421E" w:rsidRDefault="00854837">
            <w:pPr>
              <w:widowControl w:val="0"/>
              <w:spacing w:after="0" w:line="240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Não há providências a serem adotadas pela Administração, </w:t>
            </w:r>
            <w:r>
              <w:rPr>
                <w:rFonts w:eastAsia="Calibri"/>
              </w:rPr>
              <w:t>previamente à celebração do contrato.</w:t>
            </w:r>
          </w:p>
        </w:tc>
      </w:tr>
    </w:tbl>
    <w:p w:rsidR="00F3421E" w:rsidRDefault="00F3421E">
      <w:pPr>
        <w:spacing w:after="0" w:line="240" w:lineRule="auto"/>
        <w:jc w:val="both"/>
        <w:rPr>
          <w:b/>
          <w:sz w:val="20"/>
          <w:szCs w:val="20"/>
        </w:rPr>
      </w:pPr>
    </w:p>
    <w:tbl>
      <w:tblPr>
        <w:tblStyle w:val="Tabelacomgrade"/>
        <w:tblW w:w="8927" w:type="dxa"/>
        <w:tblLayout w:type="fixed"/>
        <w:tblLook w:val="04A0" w:firstRow="1" w:lastRow="0" w:firstColumn="1" w:lastColumn="0" w:noHBand="0" w:noVBand="1"/>
      </w:tblPr>
      <w:tblGrid>
        <w:gridCol w:w="8927"/>
      </w:tblGrid>
      <w:tr w:rsidR="00F3421E">
        <w:tc>
          <w:tcPr>
            <w:tcW w:w="8927" w:type="dxa"/>
            <w:shd w:val="clear" w:color="auto" w:fill="BFBFBF" w:themeFill="background1" w:themeFillShade="BF"/>
          </w:tcPr>
          <w:p w:rsidR="00F3421E" w:rsidRDefault="00854837">
            <w:pPr>
              <w:widowControl w:val="0"/>
              <w:spacing w:after="0" w:line="240" w:lineRule="auto"/>
              <w:jc w:val="both"/>
              <w:rPr>
                <w:b/>
              </w:rPr>
            </w:pPr>
            <w:r>
              <w:rPr>
                <w:rFonts w:eastAsia="Calibri"/>
                <w:b/>
              </w:rPr>
              <w:t>12. IMPACTOS AMBIENTAIS</w:t>
            </w:r>
          </w:p>
        </w:tc>
      </w:tr>
      <w:tr w:rsidR="00F3421E">
        <w:tc>
          <w:tcPr>
            <w:tcW w:w="8927" w:type="dxa"/>
          </w:tcPr>
          <w:p w:rsidR="00F3421E" w:rsidRDefault="00854837">
            <w:pPr>
              <w:widowControl w:val="0"/>
              <w:spacing w:after="0" w:line="240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Em regra, não se vislumbra impactos ambientais decorrentes da contratação.</w:t>
            </w:r>
          </w:p>
        </w:tc>
      </w:tr>
    </w:tbl>
    <w:p w:rsidR="00F3421E" w:rsidRDefault="00F3421E">
      <w:pPr>
        <w:spacing w:after="0" w:line="240" w:lineRule="auto"/>
        <w:jc w:val="both"/>
        <w:rPr>
          <w:b/>
          <w:sz w:val="20"/>
          <w:szCs w:val="20"/>
        </w:rPr>
      </w:pPr>
    </w:p>
    <w:tbl>
      <w:tblPr>
        <w:tblStyle w:val="Tabelacomgrade"/>
        <w:tblW w:w="8927" w:type="dxa"/>
        <w:tblLayout w:type="fixed"/>
        <w:tblLook w:val="04A0" w:firstRow="1" w:lastRow="0" w:firstColumn="1" w:lastColumn="0" w:noHBand="0" w:noVBand="1"/>
      </w:tblPr>
      <w:tblGrid>
        <w:gridCol w:w="8927"/>
      </w:tblGrid>
      <w:tr w:rsidR="00F3421E">
        <w:tc>
          <w:tcPr>
            <w:tcW w:w="8927" w:type="dxa"/>
            <w:shd w:val="clear" w:color="auto" w:fill="BFBFBF" w:themeFill="background1" w:themeFillShade="BF"/>
          </w:tcPr>
          <w:p w:rsidR="00F3421E" w:rsidRDefault="00854837">
            <w:pPr>
              <w:widowControl w:val="0"/>
              <w:spacing w:after="0" w:line="240" w:lineRule="auto"/>
              <w:jc w:val="both"/>
              <w:rPr>
                <w:b/>
              </w:rPr>
            </w:pPr>
            <w:r>
              <w:rPr>
                <w:rFonts w:eastAsia="Calibri"/>
                <w:b/>
              </w:rPr>
              <w:t>13. VIABILIDADE E RAZOABILIDADE DA CONTRATAÇÃO</w:t>
            </w:r>
          </w:p>
        </w:tc>
      </w:tr>
      <w:tr w:rsidR="00F3421E">
        <w:tc>
          <w:tcPr>
            <w:tcW w:w="8927" w:type="dxa"/>
          </w:tcPr>
          <w:p w:rsidR="00F3421E" w:rsidRDefault="00854837">
            <w:pPr>
              <w:widowControl w:val="0"/>
              <w:spacing w:after="0" w:line="240" w:lineRule="auto"/>
              <w:jc w:val="both"/>
            </w:pPr>
            <w:r>
              <w:rPr>
                <w:rFonts w:eastAsia="Calibri"/>
              </w:rPr>
              <w:lastRenderedPageBreak/>
              <w:t xml:space="preserve">Os estudos preliminares indicam que esta forma de contratação é </w:t>
            </w:r>
            <w:r>
              <w:rPr>
                <w:rFonts w:eastAsia="Calibri"/>
              </w:rPr>
              <w:t>perfeitamente viável e que maximiza a probabilidade do alcance dos resultados pretendidos.</w:t>
            </w:r>
          </w:p>
          <w:p w:rsidR="00F3421E" w:rsidRDefault="00854837">
            <w:pPr>
              <w:widowControl w:val="0"/>
              <w:spacing w:after="0" w:line="240" w:lineRule="auto"/>
              <w:jc w:val="both"/>
            </w:pPr>
            <w:r>
              <w:t xml:space="preserve">Diante do exposto a Secretaria de Administração declara ser viável a contratação da solução pretendida, </w:t>
            </w:r>
            <w:r>
              <w:rPr>
                <w:rFonts w:eastAsia="Calibri"/>
              </w:rPr>
              <w:t>com base neste Estudo Técnico Preliminar.</w:t>
            </w:r>
          </w:p>
        </w:tc>
      </w:tr>
    </w:tbl>
    <w:p w:rsidR="00F3421E" w:rsidRDefault="00F3421E">
      <w:pPr>
        <w:spacing w:after="0" w:line="240" w:lineRule="auto"/>
        <w:jc w:val="both"/>
        <w:rPr>
          <w:sz w:val="20"/>
          <w:szCs w:val="20"/>
        </w:rPr>
      </w:pPr>
    </w:p>
    <w:p w:rsidR="00F3421E" w:rsidRDefault="00854837">
      <w:pPr>
        <w:spacing w:after="0" w:line="240" w:lineRule="auto"/>
        <w:jc w:val="both"/>
      </w:pPr>
      <w:r>
        <w:t>Venda Nova do Imi</w:t>
      </w:r>
      <w:r>
        <w:t>grante – ES, 15 de Setembro de 2021.</w:t>
      </w:r>
    </w:p>
    <w:p w:rsidR="00F3421E" w:rsidRDefault="00F3421E">
      <w:pPr>
        <w:spacing w:after="0" w:line="240" w:lineRule="auto"/>
        <w:jc w:val="both"/>
      </w:pPr>
    </w:p>
    <w:p w:rsidR="00F3421E" w:rsidRDefault="00F3421E">
      <w:pPr>
        <w:spacing w:after="0" w:line="240" w:lineRule="auto"/>
        <w:jc w:val="center"/>
      </w:pPr>
    </w:p>
    <w:p w:rsidR="00F3421E" w:rsidRDefault="00854837">
      <w:pPr>
        <w:spacing w:after="0" w:line="240" w:lineRule="auto"/>
        <w:jc w:val="center"/>
      </w:pPr>
      <w:r>
        <w:t>__________________</w:t>
      </w:r>
    </w:p>
    <w:p w:rsidR="00F3421E" w:rsidRDefault="00854837">
      <w:pPr>
        <w:spacing w:after="0" w:line="240" w:lineRule="auto"/>
        <w:jc w:val="center"/>
      </w:pPr>
      <w:r>
        <w:t>Alexandre Filete</w:t>
      </w:r>
    </w:p>
    <w:p w:rsidR="00F3421E" w:rsidRDefault="00854837">
      <w:pPr>
        <w:spacing w:after="0" w:line="240" w:lineRule="auto"/>
        <w:jc w:val="center"/>
      </w:pPr>
      <w:r>
        <w:t>Secretário de Obras e Infraestrutura Urbana</w:t>
      </w:r>
    </w:p>
    <w:p w:rsidR="00F3421E" w:rsidRDefault="00F3421E">
      <w:pPr>
        <w:spacing w:after="0" w:line="240" w:lineRule="auto"/>
        <w:jc w:val="center"/>
        <w:rPr>
          <w:sz w:val="20"/>
          <w:szCs w:val="20"/>
        </w:rPr>
      </w:pPr>
    </w:p>
    <w:sectPr w:rsidR="00F3421E">
      <w:headerReference w:type="default" r:id="rId9"/>
      <w:footerReference w:type="default" r:id="rId10"/>
      <w:pgSz w:w="11906" w:h="16838"/>
      <w:pgMar w:top="1701" w:right="1134" w:bottom="1134" w:left="1701" w:header="567" w:footer="452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4837" w:rsidRDefault="00854837">
      <w:pPr>
        <w:spacing w:after="0" w:line="240" w:lineRule="auto"/>
      </w:pPr>
      <w:r>
        <w:separator/>
      </w:r>
    </w:p>
  </w:endnote>
  <w:endnote w:type="continuationSeparator" w:id="0">
    <w:p w:rsidR="00854837" w:rsidRDefault="00854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88018977"/>
      <w:docPartObj>
        <w:docPartGallery w:val="Page Numbers (Top of Page)"/>
        <w:docPartUnique/>
      </w:docPartObj>
    </w:sdtPr>
    <w:sdtEndPr/>
    <w:sdtContent>
      <w:p w:rsidR="00F3421E" w:rsidRDefault="00854837">
        <w:pPr>
          <w:pStyle w:val="Rodap"/>
          <w:jc w:val="right"/>
        </w:pPr>
        <w:r>
          <w:rPr>
            <w:b/>
            <w:sz w:val="20"/>
            <w:szCs w:val="20"/>
          </w:rPr>
          <w:t xml:space="preserve">Página </w:t>
        </w:r>
        <w:r>
          <w:rPr>
            <w:b/>
            <w:bCs/>
            <w:sz w:val="20"/>
            <w:szCs w:val="20"/>
          </w:rPr>
          <w:fldChar w:fldCharType="begin"/>
        </w:r>
        <w:r>
          <w:rPr>
            <w:b/>
            <w:bCs/>
            <w:sz w:val="20"/>
            <w:szCs w:val="20"/>
          </w:rPr>
          <w:instrText>PAGE</w:instrText>
        </w:r>
        <w:r>
          <w:rPr>
            <w:b/>
            <w:bCs/>
            <w:sz w:val="20"/>
            <w:szCs w:val="20"/>
          </w:rPr>
          <w:fldChar w:fldCharType="separate"/>
        </w:r>
        <w:r w:rsidR="005D164F">
          <w:rPr>
            <w:b/>
            <w:bCs/>
            <w:noProof/>
            <w:sz w:val="20"/>
            <w:szCs w:val="20"/>
          </w:rPr>
          <w:t>1</w:t>
        </w:r>
        <w:r>
          <w:rPr>
            <w:b/>
            <w:bCs/>
            <w:sz w:val="20"/>
            <w:szCs w:val="20"/>
          </w:rPr>
          <w:fldChar w:fldCharType="end"/>
        </w:r>
        <w:r>
          <w:rPr>
            <w:b/>
            <w:sz w:val="20"/>
            <w:szCs w:val="20"/>
          </w:rPr>
          <w:t xml:space="preserve"> de </w:t>
        </w:r>
        <w:r>
          <w:rPr>
            <w:b/>
            <w:bCs/>
            <w:sz w:val="20"/>
            <w:szCs w:val="20"/>
          </w:rPr>
          <w:fldChar w:fldCharType="begin"/>
        </w:r>
        <w:r>
          <w:rPr>
            <w:b/>
            <w:bCs/>
            <w:sz w:val="20"/>
            <w:szCs w:val="20"/>
          </w:rPr>
          <w:instrText>NUMPAGES</w:instrText>
        </w:r>
        <w:r>
          <w:rPr>
            <w:b/>
            <w:bCs/>
            <w:sz w:val="20"/>
            <w:szCs w:val="20"/>
          </w:rPr>
          <w:fldChar w:fldCharType="separate"/>
        </w:r>
        <w:r w:rsidR="005D164F">
          <w:rPr>
            <w:b/>
            <w:bCs/>
            <w:noProof/>
            <w:sz w:val="20"/>
            <w:szCs w:val="20"/>
          </w:rPr>
          <w:t>3</w:t>
        </w:r>
        <w:r>
          <w:rPr>
            <w:b/>
            <w:bCs/>
            <w:sz w:val="20"/>
            <w:szCs w:val="20"/>
          </w:rPr>
          <w:fldChar w:fldCharType="end"/>
        </w:r>
      </w:p>
    </w:sdtContent>
  </w:sdt>
  <w:p w:rsidR="00F3421E" w:rsidRDefault="00F3421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4837" w:rsidRDefault="00854837">
      <w:pPr>
        <w:spacing w:after="0" w:line="240" w:lineRule="auto"/>
      </w:pPr>
      <w:r>
        <w:separator/>
      </w:r>
    </w:p>
  </w:footnote>
  <w:footnote w:type="continuationSeparator" w:id="0">
    <w:p w:rsidR="00854837" w:rsidRDefault="008548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1E" w:rsidRDefault="00F3421E">
    <w:pPr>
      <w:pStyle w:val="Cabealho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readOnly" w:enforcement="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21E"/>
    <w:rsid w:val="005D164F"/>
    <w:rsid w:val="00854837"/>
    <w:rsid w:val="00F34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7749BF"/>
  </w:style>
  <w:style w:type="character" w:customStyle="1" w:styleId="RodapChar">
    <w:name w:val="Rodapé Char"/>
    <w:basedOn w:val="Fontepargpadro"/>
    <w:link w:val="Rodap"/>
    <w:uiPriority w:val="99"/>
    <w:qFormat/>
    <w:rsid w:val="007749BF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7749B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qFormat/>
    <w:rsid w:val="007749BF"/>
  </w:style>
  <w:style w:type="character" w:styleId="TextodoEspaoReservado">
    <w:name w:val="Placeholder Text"/>
    <w:basedOn w:val="Fontepargpadro"/>
    <w:uiPriority w:val="99"/>
    <w:semiHidden/>
    <w:qFormat/>
    <w:rsid w:val="007D35F4"/>
    <w:rPr>
      <w:color w:val="808080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sid w:val="006A3C20"/>
    <w:rPr>
      <w:rFonts w:ascii="Times New Roman" w:eastAsia="Times New Roman" w:hAnsi="Times New Roman" w:cs="Times New Roman"/>
      <w:lang w:val="pt-PT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uiPriority w:val="1"/>
    <w:qFormat/>
    <w:rsid w:val="006A3C20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7749BF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7749BF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7749B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1"/>
    <w:qFormat/>
    <w:rsid w:val="0017010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qFormat/>
    <w:rsid w:val="007D1C86"/>
    <w:pPr>
      <w:spacing w:beforeAutospacing="1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paragraph" w:customStyle="1" w:styleId="Default">
    <w:name w:val="Default"/>
    <w:qFormat/>
    <w:rsid w:val="006A3C20"/>
    <w:rPr>
      <w:rFonts w:ascii="Verdana" w:eastAsia="Calibri" w:hAnsi="Verdana" w:cs="Verdana"/>
      <w:color w:val="000000"/>
    </w:rPr>
  </w:style>
  <w:style w:type="paragraph" w:customStyle="1" w:styleId="TextosemFormatao2">
    <w:name w:val="Texto sem Formatação2"/>
    <w:basedOn w:val="Normal"/>
    <w:qFormat/>
    <w:rsid w:val="00092E6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ParagrafoNormal">
    <w:name w:val="Paragrafo Normal"/>
    <w:basedOn w:val="Normal"/>
    <w:uiPriority w:val="99"/>
    <w:qFormat/>
    <w:rsid w:val="00B72B92"/>
    <w:pPr>
      <w:spacing w:before="120" w:after="120" w:line="360" w:lineRule="auto"/>
      <w:ind w:left="426"/>
      <w:jc w:val="both"/>
    </w:pPr>
    <w:rPr>
      <w:rFonts w:eastAsia="Times New Roman"/>
      <w:color w:val="0000FF"/>
      <w:lang w:eastAsia="pt-BR"/>
    </w:rPr>
  </w:style>
  <w:style w:type="table" w:styleId="Tabelacomgrade">
    <w:name w:val="Table Grid"/>
    <w:basedOn w:val="Tabelanormal"/>
    <w:uiPriority w:val="59"/>
    <w:rsid w:val="007B0C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Tabelanormal"/>
    <w:uiPriority w:val="40"/>
    <w:rsid w:val="00B72B92"/>
    <w:rPr>
      <w:sz w:val="20"/>
      <w:szCs w:val="20"/>
      <w:lang w:eastAsia="pt-BR"/>
    </w:rPr>
    <w:tblPr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7749BF"/>
  </w:style>
  <w:style w:type="character" w:customStyle="1" w:styleId="RodapChar">
    <w:name w:val="Rodapé Char"/>
    <w:basedOn w:val="Fontepargpadro"/>
    <w:link w:val="Rodap"/>
    <w:uiPriority w:val="99"/>
    <w:qFormat/>
    <w:rsid w:val="007749BF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7749B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qFormat/>
    <w:rsid w:val="007749BF"/>
  </w:style>
  <w:style w:type="character" w:styleId="TextodoEspaoReservado">
    <w:name w:val="Placeholder Text"/>
    <w:basedOn w:val="Fontepargpadro"/>
    <w:uiPriority w:val="99"/>
    <w:semiHidden/>
    <w:qFormat/>
    <w:rsid w:val="007D35F4"/>
    <w:rPr>
      <w:color w:val="808080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sid w:val="006A3C20"/>
    <w:rPr>
      <w:rFonts w:ascii="Times New Roman" w:eastAsia="Times New Roman" w:hAnsi="Times New Roman" w:cs="Times New Roman"/>
      <w:lang w:val="pt-PT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uiPriority w:val="1"/>
    <w:qFormat/>
    <w:rsid w:val="006A3C20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7749BF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7749BF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7749B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1"/>
    <w:qFormat/>
    <w:rsid w:val="0017010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qFormat/>
    <w:rsid w:val="007D1C86"/>
    <w:pPr>
      <w:spacing w:beforeAutospacing="1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paragraph" w:customStyle="1" w:styleId="Default">
    <w:name w:val="Default"/>
    <w:qFormat/>
    <w:rsid w:val="006A3C20"/>
    <w:rPr>
      <w:rFonts w:ascii="Verdana" w:eastAsia="Calibri" w:hAnsi="Verdana" w:cs="Verdana"/>
      <w:color w:val="000000"/>
    </w:rPr>
  </w:style>
  <w:style w:type="paragraph" w:customStyle="1" w:styleId="TextosemFormatao2">
    <w:name w:val="Texto sem Formatação2"/>
    <w:basedOn w:val="Normal"/>
    <w:qFormat/>
    <w:rsid w:val="00092E6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ParagrafoNormal">
    <w:name w:val="Paragrafo Normal"/>
    <w:basedOn w:val="Normal"/>
    <w:uiPriority w:val="99"/>
    <w:qFormat/>
    <w:rsid w:val="00B72B92"/>
    <w:pPr>
      <w:spacing w:before="120" w:after="120" w:line="360" w:lineRule="auto"/>
      <w:ind w:left="426"/>
      <w:jc w:val="both"/>
    </w:pPr>
    <w:rPr>
      <w:rFonts w:eastAsia="Times New Roman"/>
      <w:color w:val="0000FF"/>
      <w:lang w:eastAsia="pt-BR"/>
    </w:rPr>
  </w:style>
  <w:style w:type="table" w:styleId="Tabelacomgrade">
    <w:name w:val="Table Grid"/>
    <w:basedOn w:val="Tabelanormal"/>
    <w:uiPriority w:val="59"/>
    <w:rsid w:val="007B0C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Tabelanormal"/>
    <w:uiPriority w:val="40"/>
    <w:rsid w:val="00B72B92"/>
    <w:rPr>
      <w:sz w:val="20"/>
      <w:szCs w:val="20"/>
      <w:lang w:eastAsia="pt-BR"/>
    </w:rPr>
    <w:tblPr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E47197-C513-476B-B8DD-319F7B064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750</Words>
  <Characters>4053</Characters>
  <Application>Microsoft Office Word</Application>
  <DocSecurity>8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2021-02-11T16:27:00Z</cp:lastPrinted>
  <dcterms:created xsi:type="dcterms:W3CDTF">2021-10-05T10:36:00Z</dcterms:created>
  <dcterms:modified xsi:type="dcterms:W3CDTF">2021-10-05T10:36:00Z</dcterms:modified>
  <dc:language>pt-BR</dc:language>
</cp:coreProperties>
</file>