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889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7229"/>
      </w:tblGrid>
      <w:tr w:rsidR="006E4AE3" w:rsidRPr="006E4AE3" w14:paraId="38C69FFE" w14:textId="77777777" w:rsidTr="00F77521">
        <w:trPr>
          <w:trHeight w:val="127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A7A4A5C" w14:textId="77777777" w:rsidR="00F77521" w:rsidRPr="006E4AE3" w:rsidRDefault="00331327" w:rsidP="006E4AE3">
            <w:pPr>
              <w:pStyle w:val="Cabealho"/>
              <w:jc w:val="both"/>
              <w:rPr>
                <w:sz w:val="20"/>
                <w:szCs w:val="20"/>
              </w:rPr>
            </w:pPr>
            <w:bookmarkStart w:id="0" w:name="_GoBack"/>
            <w:bookmarkEnd w:id="0"/>
            <w:r w:rsidRPr="006E4AE3">
              <w:rPr>
                <w:sz w:val="20"/>
                <w:szCs w:val="20"/>
              </w:rPr>
              <w:t xml:space="preserve"> </w:t>
            </w:r>
            <w:r w:rsidR="00F77521" w:rsidRPr="006E4AE3">
              <w:rPr>
                <w:noProof/>
                <w:sz w:val="20"/>
                <w:szCs w:val="20"/>
                <w:lang w:eastAsia="pt-BR"/>
              </w:rPr>
              <w:drawing>
                <wp:inline distT="0" distB="0" distL="0" distR="0" wp14:anchorId="1CC23F33" wp14:editId="62FF4D6F">
                  <wp:extent cx="800100" cy="619125"/>
                  <wp:effectExtent l="0" t="0" r="0" b="9525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8364E4" w14:textId="77777777" w:rsidR="00F77521" w:rsidRPr="006E4AE3" w:rsidRDefault="00F77521" w:rsidP="006E4AE3">
            <w:pPr>
              <w:pStyle w:val="Cabealho"/>
              <w:jc w:val="both"/>
              <w:rPr>
                <w:b/>
                <w:sz w:val="20"/>
                <w:szCs w:val="20"/>
              </w:rPr>
            </w:pPr>
            <w:r w:rsidRPr="006E4AE3">
              <w:rPr>
                <w:b/>
                <w:sz w:val="20"/>
                <w:szCs w:val="20"/>
              </w:rPr>
              <w:t>Prefeitura Municipal de Venda Nova do Imigrante</w:t>
            </w:r>
          </w:p>
          <w:p w14:paraId="2BC264E2" w14:textId="77777777" w:rsidR="00F77521" w:rsidRPr="006E4AE3" w:rsidRDefault="00F77521" w:rsidP="006E4AE3">
            <w:pPr>
              <w:pStyle w:val="Cabealho"/>
              <w:jc w:val="both"/>
              <w:rPr>
                <w:b/>
                <w:sz w:val="20"/>
                <w:szCs w:val="20"/>
              </w:rPr>
            </w:pPr>
          </w:p>
          <w:p w14:paraId="5BA4F4B6" w14:textId="77777777" w:rsidR="00F77521" w:rsidRPr="006E4AE3" w:rsidRDefault="00F77521" w:rsidP="006E4AE3">
            <w:pPr>
              <w:pStyle w:val="Rodap"/>
              <w:jc w:val="both"/>
              <w:rPr>
                <w:b/>
                <w:sz w:val="20"/>
                <w:szCs w:val="20"/>
              </w:rPr>
            </w:pP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</w:r>
            <w:r w:rsidRPr="006E4AE3">
              <w:rPr>
                <w:b/>
                <w:sz w:val="20"/>
                <w:szCs w:val="20"/>
              </w:rPr>
              <w:softHyphen/>
              <w:t>Av. Evandi Américo Comarela, 385, Esplanada, Venda Nova do Imigrante/ES</w:t>
            </w:r>
          </w:p>
          <w:p w14:paraId="624CD650" w14:textId="60D02A66" w:rsidR="00F77521" w:rsidRPr="006E4AE3" w:rsidRDefault="00F82F98" w:rsidP="006E4AE3">
            <w:pPr>
              <w:pStyle w:val="Rodap"/>
              <w:jc w:val="both"/>
              <w:rPr>
                <w:b/>
                <w:sz w:val="20"/>
                <w:szCs w:val="20"/>
              </w:rPr>
            </w:pPr>
            <w:r w:rsidRPr="006E4AE3">
              <w:rPr>
                <w:b/>
                <w:sz w:val="20"/>
                <w:szCs w:val="20"/>
              </w:rPr>
              <w:t>CNPJ nº</w:t>
            </w:r>
            <w:r w:rsidR="00F77521" w:rsidRPr="006E4AE3">
              <w:rPr>
                <w:b/>
                <w:sz w:val="20"/>
                <w:szCs w:val="20"/>
              </w:rPr>
              <w:t xml:space="preserve"> 31.723.497/0001-08</w:t>
            </w:r>
            <w:r w:rsidRPr="006E4AE3">
              <w:rPr>
                <w:b/>
                <w:sz w:val="20"/>
                <w:szCs w:val="20"/>
              </w:rPr>
              <w:t xml:space="preserve"> </w:t>
            </w:r>
            <w:r w:rsidR="001F0951">
              <w:rPr>
                <w:b/>
                <w:sz w:val="20"/>
                <w:szCs w:val="20"/>
              </w:rPr>
              <w:t>- CEP: 29375-000</w:t>
            </w:r>
            <w:r w:rsidR="00F77521" w:rsidRPr="006E4AE3">
              <w:rPr>
                <w:b/>
                <w:sz w:val="20"/>
                <w:szCs w:val="20"/>
              </w:rPr>
              <w:t xml:space="preserve"> - Telefone: (28) 3546-1188</w:t>
            </w:r>
          </w:p>
        </w:tc>
      </w:tr>
    </w:tbl>
    <w:p w14:paraId="36F4A073" w14:textId="77777777" w:rsidR="00F77521" w:rsidRPr="006E4AE3" w:rsidRDefault="00F77521" w:rsidP="000E6641">
      <w:pPr>
        <w:shd w:val="clear" w:color="auto" w:fill="FFFFFF" w:themeFill="background1"/>
        <w:spacing w:after="0" w:line="240" w:lineRule="auto"/>
        <w:jc w:val="both"/>
        <w:rPr>
          <w:sz w:val="20"/>
          <w:szCs w:val="20"/>
        </w:rPr>
      </w:pP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897"/>
      </w:tblGrid>
      <w:tr w:rsidR="00DA502B" w:rsidRPr="00DA502B" w14:paraId="2E1CB775" w14:textId="77777777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C9BB21" w14:textId="341EB286" w:rsidR="000E6641" w:rsidRPr="00DA502B" w:rsidRDefault="000E6641" w:rsidP="006E4A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ÁREA REQUISITANTE</w:t>
            </w:r>
          </w:p>
        </w:tc>
      </w:tr>
      <w:tr w:rsidR="00DA502B" w:rsidRPr="00DA502B" w14:paraId="0704689F" w14:textId="77777777" w:rsidTr="00330A91">
        <w:trPr>
          <w:trHeight w:val="272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1D243F" w14:textId="1B32F110" w:rsidR="000E6641" w:rsidRPr="00DA502B" w:rsidRDefault="00617F48" w:rsidP="00F41AE4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 xml:space="preserve">Área </w:t>
            </w:r>
            <w:r w:rsidR="000E6641" w:rsidRPr="00DA502B">
              <w:rPr>
                <w:bCs/>
                <w:color w:val="000000" w:themeColor="text1"/>
                <w:sz w:val="20"/>
                <w:szCs w:val="20"/>
              </w:rPr>
              <w:t>Requisitante:</w:t>
            </w:r>
            <w:r>
              <w:rPr>
                <w:bCs/>
                <w:color w:val="000000" w:themeColor="text1"/>
                <w:sz w:val="20"/>
                <w:szCs w:val="20"/>
              </w:rPr>
              <w:t xml:space="preserve"> Darlene Maria Boone Lorenzoni</w:t>
            </w:r>
          </w:p>
        </w:tc>
      </w:tr>
      <w:tr w:rsidR="00DA502B" w:rsidRPr="00DA502B" w14:paraId="75258ACC" w14:textId="77777777" w:rsidTr="000E6641">
        <w:trPr>
          <w:trHeight w:val="19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98F616" w14:textId="2A7BC74C" w:rsidR="000E6641" w:rsidRPr="00DA502B" w:rsidRDefault="000E6641" w:rsidP="00F41AE4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502B">
              <w:rPr>
                <w:bCs/>
                <w:color w:val="000000" w:themeColor="text1"/>
                <w:sz w:val="20"/>
                <w:szCs w:val="20"/>
              </w:rPr>
              <w:t>Responsável</w:t>
            </w:r>
            <w:r w:rsidR="00330A91" w:rsidRPr="00DA502B">
              <w:rPr>
                <w:bCs/>
                <w:color w:val="000000" w:themeColor="text1"/>
                <w:sz w:val="20"/>
                <w:szCs w:val="20"/>
              </w:rPr>
              <w:t xml:space="preserve"> Técnico de Compras da Secretaria de Saúde</w:t>
            </w:r>
            <w:r w:rsidRPr="00DA502B">
              <w:rPr>
                <w:bCs/>
                <w:color w:val="000000" w:themeColor="text1"/>
                <w:sz w:val="20"/>
                <w:szCs w:val="20"/>
              </w:rPr>
              <w:t>:</w:t>
            </w:r>
            <w:r w:rsidR="00330A91" w:rsidRPr="00DA502B">
              <w:rPr>
                <w:bCs/>
                <w:color w:val="000000" w:themeColor="text1"/>
                <w:sz w:val="20"/>
                <w:szCs w:val="20"/>
              </w:rPr>
              <w:t xml:space="preserve"> Evando Zambão</w:t>
            </w:r>
          </w:p>
        </w:tc>
      </w:tr>
      <w:tr w:rsidR="00DA502B" w:rsidRPr="00DA502B" w14:paraId="38ADB0C9" w14:textId="77777777" w:rsidTr="000E6641">
        <w:trPr>
          <w:trHeight w:val="19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E6A89" w14:textId="5D933ECC" w:rsidR="00330A91" w:rsidRPr="00DA502B" w:rsidRDefault="00330A91" w:rsidP="00F41AE4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502B">
              <w:rPr>
                <w:bCs/>
                <w:color w:val="000000" w:themeColor="text1"/>
                <w:sz w:val="20"/>
                <w:szCs w:val="20"/>
              </w:rPr>
              <w:t>Fiscal do Contrato:</w:t>
            </w:r>
            <w:r w:rsidR="00E74196" w:rsidRPr="00042CA2">
              <w:rPr>
                <w:bCs/>
                <w:color w:val="FF0000"/>
                <w:sz w:val="20"/>
                <w:szCs w:val="20"/>
              </w:rPr>
              <w:t xml:space="preserve"> </w:t>
            </w:r>
            <w:r w:rsidR="00617F48" w:rsidRPr="00121DA0">
              <w:rPr>
                <w:bCs/>
                <w:sz w:val="20"/>
                <w:szCs w:val="20"/>
              </w:rPr>
              <w:t xml:space="preserve">Rúbia </w:t>
            </w:r>
            <w:r w:rsidR="00121DA0" w:rsidRPr="00121DA0">
              <w:rPr>
                <w:bCs/>
                <w:sz w:val="20"/>
                <w:szCs w:val="20"/>
              </w:rPr>
              <w:t>de Souza Silva</w:t>
            </w:r>
          </w:p>
          <w:p w14:paraId="23BA2F1A" w14:textId="35AE95CA" w:rsidR="00330A91" w:rsidRPr="00DA502B" w:rsidRDefault="00330A91" w:rsidP="00F41AE4">
            <w:pPr>
              <w:spacing w:line="360" w:lineRule="auto"/>
              <w:jc w:val="both"/>
              <w:rPr>
                <w:bCs/>
                <w:color w:val="000000" w:themeColor="text1"/>
                <w:sz w:val="20"/>
                <w:szCs w:val="20"/>
              </w:rPr>
            </w:pPr>
            <w:r w:rsidRPr="00DA502B">
              <w:rPr>
                <w:bCs/>
                <w:color w:val="000000" w:themeColor="text1"/>
                <w:sz w:val="20"/>
                <w:szCs w:val="20"/>
              </w:rPr>
              <w:t>Fiscal do Contrato Suplente:</w:t>
            </w:r>
            <w:r w:rsidR="00E74196">
              <w:rPr>
                <w:bCs/>
                <w:color w:val="000000" w:themeColor="text1"/>
                <w:sz w:val="20"/>
                <w:szCs w:val="20"/>
              </w:rPr>
              <w:t xml:space="preserve"> Evando Zambão</w:t>
            </w:r>
          </w:p>
        </w:tc>
      </w:tr>
      <w:tr w:rsidR="00DA502B" w:rsidRPr="00DA502B" w14:paraId="0CE5FA20" w14:textId="77777777" w:rsidTr="002A7078">
        <w:trPr>
          <w:trHeight w:val="558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1BC3910" w14:textId="77777777" w:rsidR="00F77521" w:rsidRPr="00DA502B" w:rsidRDefault="00F77521" w:rsidP="006E4AE3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ESTUDO TÉCNICO PRELIMINAR</w:t>
            </w:r>
          </w:p>
        </w:tc>
      </w:tr>
      <w:tr w:rsidR="00DA502B" w:rsidRPr="00DA502B" w14:paraId="79AE2103" w14:textId="77777777" w:rsidTr="00F77521">
        <w:trPr>
          <w:trHeight w:val="1209"/>
        </w:trPr>
        <w:tc>
          <w:tcPr>
            <w:tcW w:w="8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952E6" w14:textId="4B36C580" w:rsidR="00E518FE" w:rsidRPr="00DA502B" w:rsidRDefault="00AD4E86" w:rsidP="00DA502B">
            <w:pPr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O presente</w:t>
            </w:r>
            <w:r w:rsidR="009D73CA" w:rsidRPr="00DA502B">
              <w:rPr>
                <w:color w:val="000000" w:themeColor="text1"/>
                <w:sz w:val="20"/>
                <w:szCs w:val="20"/>
              </w:rPr>
              <w:t xml:space="preserve"> Estudo Técnico Preliminar - ETP - tem como objetivo</w:t>
            </w:r>
            <w:r w:rsidR="002D0068" w:rsidRPr="00DA502B">
              <w:rPr>
                <w:color w:val="000000" w:themeColor="text1"/>
                <w:sz w:val="20"/>
                <w:szCs w:val="20"/>
              </w:rPr>
              <w:t xml:space="preserve"> </w:t>
            </w:r>
            <w:r w:rsidR="000E6641" w:rsidRPr="00DA502B">
              <w:rPr>
                <w:color w:val="000000" w:themeColor="text1"/>
                <w:sz w:val="20"/>
                <w:szCs w:val="20"/>
              </w:rPr>
              <w:t>avaliar</w:t>
            </w:r>
            <w:r w:rsidR="00AC6AB9" w:rsidRPr="00DA502B">
              <w:rPr>
                <w:color w:val="000000" w:themeColor="text1"/>
                <w:sz w:val="20"/>
                <w:szCs w:val="20"/>
              </w:rPr>
              <w:t xml:space="preserve"> a viabilidade da </w:t>
            </w:r>
            <w:r w:rsidR="00DA502B">
              <w:rPr>
                <w:color w:val="000000" w:themeColor="text1"/>
                <w:sz w:val="20"/>
                <w:szCs w:val="20"/>
              </w:rPr>
              <w:t>aquisição</w:t>
            </w:r>
            <w:r w:rsidR="00AC6AB9" w:rsidRPr="00DA502B">
              <w:rPr>
                <w:color w:val="000000" w:themeColor="text1"/>
                <w:sz w:val="20"/>
                <w:szCs w:val="20"/>
              </w:rPr>
              <w:t xml:space="preserve"> de equipamentos com sobras de Emendas Parlamentares, para adequar os ambientes das Unidades de Saúde, como salas de vacinas e consultórios e melhorar a informatização da Atenção Básica no município, mediante sobras de Emendas Parlamentares dos Parlamentares Magno Malta, Proposta nº 14744834000/1190-01 e Paulo Foletto, Proposta nº14744834000/1180-02</w:t>
            </w:r>
            <w:r w:rsidR="009D73CA" w:rsidRPr="00DA502B">
              <w:rPr>
                <w:color w:val="000000" w:themeColor="text1"/>
                <w:sz w:val="20"/>
                <w:szCs w:val="20"/>
              </w:rPr>
              <w:t xml:space="preserve">, servindo como base para a elaboração do Termo de Referência, </w:t>
            </w:r>
            <w:r w:rsidR="00AC6AB9" w:rsidRPr="00DA502B">
              <w:rPr>
                <w:color w:val="000000" w:themeColor="text1"/>
                <w:sz w:val="20"/>
                <w:szCs w:val="20"/>
              </w:rPr>
              <w:t>de acordo com a Lei 8.666/1993, em seus Artigos e Incisos.</w:t>
            </w:r>
          </w:p>
        </w:tc>
      </w:tr>
    </w:tbl>
    <w:p w14:paraId="283559D1" w14:textId="77777777" w:rsidR="00F77521" w:rsidRPr="00DA502B" w:rsidRDefault="00F77521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6024DF6E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21C365CB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 xml:space="preserve">1. DESCRIÇÃO DA NECESSIDADE </w:t>
            </w:r>
          </w:p>
        </w:tc>
      </w:tr>
      <w:tr w:rsidR="00DA502B" w:rsidRPr="00DA502B" w14:paraId="077DC0B1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684C" w14:textId="711EB98B" w:rsidR="00AC6AB9" w:rsidRPr="00DA502B" w:rsidRDefault="00AC6AB9" w:rsidP="00D61281">
            <w:pPr>
              <w:pStyle w:val="NormalWeb"/>
              <w:spacing w:before="0" w:beforeAutospacing="0" w:after="0" w:afterAutospacing="0"/>
              <w:ind w:firstLine="5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As sobras de valores provenientes de Emendas Parlamentares serão utilizadas para adequações dos ambientes das Unidades de Saúde do município, inclusive salas de vacinas e consultórios que não dispõe de aparelhos de Ar Condicionado</w:t>
            </w:r>
            <w:r w:rsidR="00D25DE4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, além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25DE4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d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e melhorar a informatização da Atenção Básica no município, dado que alguns dos Computadores encontram-se defasados perante à demanda atual de uso, sendo que muitos deles precisam suportar</w:t>
            </w:r>
            <w:r w:rsidR="00D25DE4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rodar 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programas que exigem um processado</w:t>
            </w:r>
            <w:r w:rsidR="00D25DE4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r mais potente</w:t>
            </w:r>
            <w:r w:rsid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atualizado</w:t>
            </w:r>
            <w:r w:rsidR="00D25DE4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melhorando 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a informatização da</w:t>
            </w:r>
            <w:r w:rsid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UBS</w:t>
            </w:r>
            <w:r w:rsidR="00D25DE4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; 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sendo estas duas demandas de equipamentos as principais no momento para a Atenção Básica municipal.</w:t>
            </w:r>
          </w:p>
          <w:p w14:paraId="52E76FFE" w14:textId="1E96A507" w:rsidR="002D0068" w:rsidRPr="00DA502B" w:rsidRDefault="000E6641" w:rsidP="00D61281">
            <w:pPr>
              <w:pStyle w:val="NormalWeb"/>
              <w:spacing w:before="0" w:beforeAutospacing="0" w:after="0" w:afterAutospacing="0"/>
              <w:ind w:firstLine="5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A solução deverá possibilitar</w:t>
            </w:r>
            <w:r w:rsidR="00D25DE4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um melhor atendimento à população utilizadora do SUS, além de favorecer a realização dos serviços prestados pelos servidores, como ambientes climatizados, inclusive Salas de Vacinas, que precisam estar climatizadas 24 horas por dia</w:t>
            </w:r>
            <w:r w:rsidR="00E7419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 </w:t>
            </w:r>
            <w:r w:rsidR="003C4333">
              <w:rPr>
                <w:rFonts w:ascii="Arial" w:hAnsi="Arial" w:cs="Arial"/>
                <w:color w:val="000000" w:themeColor="text1"/>
                <w:sz w:val="20"/>
                <w:szCs w:val="20"/>
              </w:rPr>
              <w:t>proporcionar</w:t>
            </w:r>
            <w:r w:rsidR="003C4333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mais</w:t>
            </w:r>
            <w:r w:rsidR="00D25DE4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rapidez nos atendimentos a pacientes, dado que a Saúde do Município dispõe de Prontuário Eletrônico, que necessita de máquinas mais eficientes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que </w:t>
            </w:r>
            <w:r w:rsid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permitam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rodar o programa, sem travamentos. 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A solução deverá atender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ao descritivo da necessidade, incluindo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requisitos de qualidade.</w:t>
            </w:r>
          </w:p>
          <w:p w14:paraId="54C0E77E" w14:textId="6A2A1DA5" w:rsidR="00F77521" w:rsidRPr="00DA502B" w:rsidRDefault="004E315C" w:rsidP="00D61281">
            <w:pPr>
              <w:pStyle w:val="NormalWeb"/>
              <w:spacing w:before="0" w:beforeAutospacing="0" w:after="0" w:afterAutospacing="0"/>
              <w:ind w:firstLine="5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Por todo</w:t>
            </w:r>
            <w:r w:rsidR="006A2558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exposto, a Secretaria Municipal de Saúde pretende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utilizar a</w:t>
            </w:r>
            <w:r w:rsidR="000E664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solução a ser escolhida como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ferramenta legal</w:t>
            </w:r>
            <w:r w:rsidR="009504D3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para atendimento à demanda,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por meio de procedimento licitatório, regido pela Lei Federal nº </w:t>
            </w:r>
            <w:r w:rsidR="00330A91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8.666/93.</w:t>
            </w:r>
          </w:p>
        </w:tc>
      </w:tr>
    </w:tbl>
    <w:p w14:paraId="7E55F9B3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50F02B4E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43593918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2. REQUISITOS DA CONTRATAÇÃO</w:t>
            </w:r>
          </w:p>
        </w:tc>
      </w:tr>
      <w:tr w:rsidR="00DA502B" w:rsidRPr="00DA502B" w14:paraId="7EE8A9C9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2428" w14:textId="2932A91D" w:rsidR="00634ABE" w:rsidRPr="00DA502B" w:rsidRDefault="00634ABE" w:rsidP="00D61281">
            <w:pPr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Na hipótese de aquisição dos equipamentos, deverá ser o</w:t>
            </w:r>
            <w:r w:rsidR="003C4333">
              <w:rPr>
                <w:color w:val="000000" w:themeColor="text1"/>
                <w:sz w:val="20"/>
                <w:szCs w:val="20"/>
              </w:rPr>
              <w:t>bservada a descrição técnica destes</w:t>
            </w:r>
            <w:r w:rsidRPr="00DA502B">
              <w:rPr>
                <w:color w:val="000000" w:themeColor="text1"/>
                <w:sz w:val="20"/>
                <w:szCs w:val="20"/>
              </w:rPr>
              <w:t xml:space="preserve">, </w:t>
            </w:r>
            <w:r w:rsidR="00316C6B" w:rsidRPr="00DA502B">
              <w:rPr>
                <w:color w:val="000000" w:themeColor="text1"/>
                <w:sz w:val="20"/>
                <w:szCs w:val="20"/>
              </w:rPr>
              <w:t xml:space="preserve">a previsão de vida útil, </w:t>
            </w:r>
            <w:r w:rsidRPr="00DA502B">
              <w:rPr>
                <w:color w:val="000000" w:themeColor="text1"/>
                <w:sz w:val="20"/>
                <w:szCs w:val="20"/>
              </w:rPr>
              <w:t>de forma a garantir o pleno funcionamen</w:t>
            </w:r>
            <w:r w:rsidR="003C4333">
              <w:rPr>
                <w:color w:val="000000" w:themeColor="text1"/>
                <w:sz w:val="20"/>
                <w:szCs w:val="20"/>
              </w:rPr>
              <w:t>to do sistema, visando atender à</w:t>
            </w:r>
            <w:r w:rsidRPr="00DA502B">
              <w:rPr>
                <w:color w:val="000000" w:themeColor="text1"/>
                <w:sz w:val="20"/>
                <w:szCs w:val="20"/>
              </w:rPr>
              <w:t xml:space="preserve">s necessidades </w:t>
            </w:r>
            <w:r w:rsidR="00330A91" w:rsidRPr="00DA502B">
              <w:rPr>
                <w:color w:val="000000" w:themeColor="text1"/>
                <w:sz w:val="20"/>
                <w:szCs w:val="20"/>
              </w:rPr>
              <w:t>das Unidades de Saúde; leva-se em conta que o recurso para aquisição dos equipamentos é proveniente de sobra de Emendas Parlamentares</w:t>
            </w:r>
            <w:r w:rsidR="00E47AAA" w:rsidRPr="00DA502B">
              <w:rPr>
                <w:color w:val="000000" w:themeColor="text1"/>
                <w:sz w:val="20"/>
                <w:szCs w:val="20"/>
              </w:rPr>
              <w:t>, dos Parlamentares Magno Malta, Proposta nº 14744834000/1190-01 e Paulo Foletto, Proposta nº14744834000/1180-02</w:t>
            </w:r>
            <w:r w:rsidR="00330A91" w:rsidRPr="00DA502B">
              <w:rPr>
                <w:color w:val="000000" w:themeColor="text1"/>
                <w:sz w:val="20"/>
                <w:szCs w:val="20"/>
              </w:rPr>
              <w:t>, que encontra-se em conta e aguardando uso</w:t>
            </w:r>
            <w:r w:rsidR="00E47AAA" w:rsidRPr="00DA502B">
              <w:rPr>
                <w:color w:val="000000" w:themeColor="text1"/>
                <w:sz w:val="20"/>
                <w:szCs w:val="20"/>
              </w:rPr>
              <w:t>,</w:t>
            </w:r>
            <w:r w:rsidR="00330A91" w:rsidRPr="00DA502B">
              <w:rPr>
                <w:color w:val="000000" w:themeColor="text1"/>
                <w:sz w:val="20"/>
                <w:szCs w:val="20"/>
              </w:rPr>
              <w:t xml:space="preserve"> sendo que a Secretaria de Saúde não utilizará, em tese, recurso proveniente de arrecadação municipal </w:t>
            </w:r>
            <w:r w:rsidR="00E47AAA" w:rsidRPr="00DA502B">
              <w:rPr>
                <w:color w:val="000000" w:themeColor="text1"/>
                <w:sz w:val="20"/>
                <w:szCs w:val="20"/>
              </w:rPr>
              <w:t xml:space="preserve">para cumprimento do objeto, </w:t>
            </w:r>
            <w:r w:rsidR="00DA502B">
              <w:rPr>
                <w:color w:val="000000" w:themeColor="text1"/>
                <w:sz w:val="20"/>
                <w:szCs w:val="20"/>
              </w:rPr>
              <w:t xml:space="preserve">podendo este ser empregado </w:t>
            </w:r>
            <w:r w:rsidR="00E47AAA" w:rsidRPr="00DA502B">
              <w:rPr>
                <w:color w:val="000000" w:themeColor="text1"/>
                <w:sz w:val="20"/>
                <w:szCs w:val="20"/>
              </w:rPr>
              <w:t>em outras demandas, além de destinar, de forma legal, as sobras de Emendas, visto que o</w:t>
            </w:r>
            <w:r w:rsidR="003C4333">
              <w:rPr>
                <w:color w:val="000000" w:themeColor="text1"/>
                <w:sz w:val="20"/>
                <w:szCs w:val="20"/>
              </w:rPr>
              <w:t xml:space="preserve">s valores remanescentes </w:t>
            </w:r>
            <w:r w:rsidR="00E47AAA" w:rsidRPr="00DA502B">
              <w:rPr>
                <w:color w:val="000000" w:themeColor="text1"/>
                <w:sz w:val="20"/>
                <w:szCs w:val="20"/>
              </w:rPr>
              <w:t xml:space="preserve">foram aprovados para serem remanejados à compra de equipamentos que ensejam a necessidade atual das Unidades de Saúde, de acordo com a Lei Complementar nº 172, de 15 de abril de 2020, que dispõe sobre a transposição e a transferência de saldos financeiros constantes dos Fundos de Saúde dos Estados, do Distrito Federal e dos Municípios, provenientes de repasses federais, e prorrogada </w:t>
            </w:r>
            <w:r w:rsidR="00E47AAA" w:rsidRPr="00DA502B">
              <w:rPr>
                <w:color w:val="000000" w:themeColor="text1"/>
                <w:sz w:val="20"/>
                <w:szCs w:val="20"/>
              </w:rPr>
              <w:lastRenderedPageBreak/>
              <w:t>até o fim do Exercício Financeiro de 2021 pela Lei Complementar nº 181, de 06 de maio de 2021. Os valores remanescentes foram aprovados para uso no Conselho Municipal de Saúde.</w:t>
            </w:r>
          </w:p>
          <w:p w14:paraId="411933E5" w14:textId="294685FA" w:rsidR="00EB4B46" w:rsidRPr="00DA502B" w:rsidRDefault="00634ABE" w:rsidP="00DA502B">
            <w:pPr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Na hipótese de opção pela locação dos equipamentos, a</w:t>
            </w:r>
            <w:r w:rsidR="00E47AAA" w:rsidRPr="00DA502B">
              <w:rPr>
                <w:color w:val="000000" w:themeColor="text1"/>
                <w:sz w:val="20"/>
                <w:szCs w:val="20"/>
              </w:rPr>
              <w:t xml:space="preserve"> Secretaria de Saúde deverá utilizar Recurso Municipal ou outro Recurso, dado o fato de que as Sobras de Emendas</w:t>
            </w:r>
            <w:r w:rsidR="00033B1D" w:rsidRPr="00DA502B">
              <w:rPr>
                <w:color w:val="000000" w:themeColor="text1"/>
                <w:sz w:val="20"/>
                <w:szCs w:val="20"/>
              </w:rPr>
              <w:t xml:space="preserve"> Parlamentares</w:t>
            </w:r>
            <w:r w:rsidR="00E47AAA" w:rsidRPr="00DA502B">
              <w:rPr>
                <w:color w:val="000000" w:themeColor="text1"/>
                <w:sz w:val="20"/>
                <w:szCs w:val="20"/>
              </w:rPr>
              <w:t xml:space="preserve"> são para custear equipamentos. Atualmente a Secretaria de Saúde realizou a aquisição de Computadores Desktop e Aparelhos de Ar Condicionado, o que não justifica a substituição destes por equipamentos locados no momento, sendo que a Prefeitura Municipal de Venda Nova do Imigrante dispõe de Contrato de Manutenção Preventiva e Corretiva, Instalação e Remoção de Aparelhos de Ar Condicionado </w:t>
            </w:r>
            <w:r w:rsidR="00DA502B">
              <w:rPr>
                <w:color w:val="000000" w:themeColor="text1"/>
                <w:sz w:val="20"/>
                <w:szCs w:val="20"/>
              </w:rPr>
              <w:t>para os aparelhos</w:t>
            </w:r>
            <w:r w:rsidR="00E47AAA" w:rsidRPr="00DA502B">
              <w:rPr>
                <w:color w:val="000000" w:themeColor="text1"/>
                <w:sz w:val="20"/>
                <w:szCs w:val="20"/>
              </w:rPr>
              <w:t xml:space="preserve"> </w:t>
            </w:r>
            <w:r w:rsidR="00DA502B">
              <w:rPr>
                <w:color w:val="000000" w:themeColor="text1"/>
                <w:sz w:val="20"/>
                <w:szCs w:val="20"/>
              </w:rPr>
              <w:t>que se encontram</w:t>
            </w:r>
            <w:r w:rsidR="00E47AAA" w:rsidRPr="00DA502B">
              <w:rPr>
                <w:color w:val="000000" w:themeColor="text1"/>
                <w:sz w:val="20"/>
                <w:szCs w:val="20"/>
              </w:rPr>
              <w:t xml:space="preserve"> em todos os prédios públicos </w:t>
            </w:r>
            <w:r w:rsidR="00DA502B">
              <w:rPr>
                <w:color w:val="000000" w:themeColor="text1"/>
                <w:sz w:val="20"/>
                <w:szCs w:val="20"/>
              </w:rPr>
              <w:t xml:space="preserve">desta </w:t>
            </w:r>
            <w:r w:rsidR="00033B1D" w:rsidRPr="00DA502B">
              <w:rPr>
                <w:color w:val="000000" w:themeColor="text1"/>
                <w:sz w:val="20"/>
                <w:szCs w:val="20"/>
              </w:rPr>
              <w:t>municipalidade, inviabilizando a locaçã</w:t>
            </w:r>
            <w:r w:rsidR="003C6AE4">
              <w:rPr>
                <w:color w:val="000000" w:themeColor="text1"/>
                <w:sz w:val="20"/>
                <w:szCs w:val="20"/>
              </w:rPr>
              <w:t>o, para não ter que destinar à a</w:t>
            </w:r>
            <w:r w:rsidR="00033B1D" w:rsidRPr="00DA502B">
              <w:rPr>
                <w:color w:val="000000" w:themeColor="text1"/>
                <w:sz w:val="20"/>
                <w:szCs w:val="20"/>
              </w:rPr>
              <w:t>lienação</w:t>
            </w:r>
            <w:r w:rsidR="003C4333">
              <w:rPr>
                <w:color w:val="000000" w:themeColor="text1"/>
                <w:sz w:val="20"/>
                <w:szCs w:val="20"/>
              </w:rPr>
              <w:t xml:space="preserve"> os</w:t>
            </w:r>
            <w:r w:rsidR="00033B1D" w:rsidRPr="00DA502B">
              <w:rPr>
                <w:color w:val="000000" w:themeColor="text1"/>
                <w:sz w:val="20"/>
                <w:szCs w:val="20"/>
              </w:rPr>
              <w:t xml:space="preserve"> equipamentos em pleno uso, </w:t>
            </w:r>
            <w:r w:rsidR="00D61281" w:rsidRPr="00DA502B">
              <w:rPr>
                <w:color w:val="000000" w:themeColor="text1"/>
                <w:sz w:val="20"/>
                <w:szCs w:val="20"/>
              </w:rPr>
              <w:t>com</w:t>
            </w:r>
            <w:r w:rsidR="003C6AE4">
              <w:rPr>
                <w:color w:val="000000" w:themeColor="text1"/>
                <w:sz w:val="20"/>
                <w:szCs w:val="20"/>
              </w:rPr>
              <w:t xml:space="preserve"> alguns ainda em período de g</w:t>
            </w:r>
            <w:r w:rsidR="00033B1D" w:rsidRPr="00DA502B">
              <w:rPr>
                <w:color w:val="000000" w:themeColor="text1"/>
                <w:sz w:val="20"/>
                <w:szCs w:val="20"/>
              </w:rPr>
              <w:t>arantia.</w:t>
            </w:r>
          </w:p>
        </w:tc>
      </w:tr>
    </w:tbl>
    <w:p w14:paraId="3EC67CCE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4D9C7F74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AEBD2E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3. LEVANTAMENTO DE MERCADO</w:t>
            </w:r>
          </w:p>
        </w:tc>
      </w:tr>
      <w:tr w:rsidR="00DA502B" w:rsidRPr="00DA502B" w14:paraId="47C883A1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05A0A" w14:textId="761F6B85" w:rsidR="00C10097" w:rsidRPr="00DA502B" w:rsidRDefault="00C10097" w:rsidP="00D61281">
            <w:pPr>
              <w:autoSpaceDE w:val="0"/>
              <w:autoSpaceDN w:val="0"/>
              <w:adjustRightInd w:val="0"/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O investimento estimado na aquisição dos equipamentos pela municipalidade gira em to</w:t>
            </w:r>
            <w:r w:rsidR="00F41AE4" w:rsidRPr="00DA502B">
              <w:rPr>
                <w:color w:val="000000" w:themeColor="text1"/>
                <w:sz w:val="20"/>
                <w:szCs w:val="20"/>
              </w:rPr>
              <w:t>r</w:t>
            </w:r>
            <w:r w:rsidRPr="00DA502B">
              <w:rPr>
                <w:color w:val="000000" w:themeColor="text1"/>
                <w:sz w:val="20"/>
                <w:szCs w:val="20"/>
              </w:rPr>
              <w:t xml:space="preserve">no de R$ </w:t>
            </w:r>
            <w:r w:rsidR="00033B1D" w:rsidRPr="00DA502B">
              <w:rPr>
                <w:color w:val="000000" w:themeColor="text1"/>
                <w:sz w:val="20"/>
                <w:szCs w:val="20"/>
              </w:rPr>
              <w:t>106.500,00</w:t>
            </w:r>
            <w:r w:rsidRPr="00DA502B">
              <w:rPr>
                <w:color w:val="000000" w:themeColor="text1"/>
                <w:sz w:val="20"/>
                <w:szCs w:val="20"/>
              </w:rPr>
              <w:t>,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 xml:space="preserve"> baseado em cotação prévia com fornecedores,</w:t>
            </w:r>
            <w:r w:rsidR="00033B1D" w:rsidRPr="00DA502B">
              <w:rPr>
                <w:color w:val="000000" w:themeColor="text1"/>
                <w:sz w:val="20"/>
                <w:szCs w:val="20"/>
              </w:rPr>
              <w:t xml:space="preserve"> que é aproximadamente o valor em conta das duas </w:t>
            </w:r>
            <w:r w:rsidR="00DA502B">
              <w:rPr>
                <w:color w:val="000000" w:themeColor="text1"/>
                <w:sz w:val="20"/>
                <w:szCs w:val="20"/>
              </w:rPr>
              <w:t>s</w:t>
            </w:r>
            <w:r w:rsidR="00033B1D" w:rsidRPr="00DA502B">
              <w:rPr>
                <w:color w:val="000000" w:themeColor="text1"/>
                <w:sz w:val="20"/>
                <w:szCs w:val="20"/>
              </w:rPr>
              <w:t>obras de Emendas somadas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>.</w:t>
            </w:r>
          </w:p>
          <w:p w14:paraId="5FC1A971" w14:textId="559ADB38" w:rsidR="00B74C9C" w:rsidRPr="00DA502B" w:rsidRDefault="00C10097" w:rsidP="00D61281">
            <w:pPr>
              <w:autoSpaceDE w:val="0"/>
              <w:autoSpaceDN w:val="0"/>
              <w:adjustRightInd w:val="0"/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A aquisição dos equipam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 xml:space="preserve">entos pela municipalidade gera, </w:t>
            </w:r>
            <w:r w:rsidRPr="00DA502B">
              <w:rPr>
                <w:color w:val="000000" w:themeColor="text1"/>
                <w:sz w:val="20"/>
                <w:szCs w:val="20"/>
              </w:rPr>
              <w:t xml:space="preserve">em consequência, 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>demanda por manutenção corretiva e preventiva para os aparelhos de Ar Condicionado, assim que estes saem do período de Garantia. Entretanto, o Município já dispõe de Contrato para manutenção de aparelhos de Ar Condicionado, que poderá ser reavaliado e sofrer novas inclusões de equipamentos no futuro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 xml:space="preserve">, quando estes 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>saírem do período de Garantia.</w:t>
            </w:r>
            <w:r w:rsidR="00D61281" w:rsidRPr="00DA502B">
              <w:rPr>
                <w:color w:val="000000" w:themeColor="text1"/>
                <w:sz w:val="20"/>
                <w:szCs w:val="20"/>
              </w:rPr>
              <w:t xml:space="preserve"> O</w:t>
            </w:r>
            <w:r w:rsidR="002376C8">
              <w:rPr>
                <w:color w:val="000000" w:themeColor="text1"/>
                <w:sz w:val="20"/>
                <w:szCs w:val="20"/>
              </w:rPr>
              <w:t>s Computadores, por terem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 xml:space="preserve"> um man</w:t>
            </w:r>
            <w:r w:rsidR="003C4333">
              <w:rPr>
                <w:color w:val="000000" w:themeColor="text1"/>
                <w:sz w:val="20"/>
                <w:szCs w:val="20"/>
              </w:rPr>
              <w:t>e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>jo mais simples, são formatados</w:t>
            </w:r>
            <w:r w:rsidR="00D61281" w:rsidRPr="00DA502B">
              <w:rPr>
                <w:color w:val="000000" w:themeColor="text1"/>
                <w:sz w:val="20"/>
                <w:szCs w:val="20"/>
              </w:rPr>
              <w:t xml:space="preserve"> de tempos em tempos</w:t>
            </w:r>
            <w:r w:rsidR="00243432" w:rsidRPr="00DA502B">
              <w:rPr>
                <w:color w:val="000000" w:themeColor="text1"/>
                <w:sz w:val="20"/>
                <w:szCs w:val="20"/>
              </w:rPr>
              <w:t xml:space="preserve"> pela equipe de Técnicos de Informática 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>da Prefeitura, tornando sua vida útil mais longa.</w:t>
            </w:r>
          </w:p>
          <w:p w14:paraId="21AB682E" w14:textId="16D87846" w:rsidR="00F77521" w:rsidRPr="00DA502B" w:rsidRDefault="00316C6B" w:rsidP="00D61281">
            <w:pPr>
              <w:autoSpaceDE w:val="0"/>
              <w:autoSpaceDN w:val="0"/>
              <w:adjustRightInd w:val="0"/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A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>demais, a aquisição</w:t>
            </w:r>
            <w:r w:rsidRPr="00DA502B">
              <w:rPr>
                <w:color w:val="000000" w:themeColor="text1"/>
                <w:sz w:val="20"/>
                <w:szCs w:val="20"/>
              </w:rPr>
              <w:t xml:space="preserve"> ocorrerá por meio de Ata de Registro de Preços, 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>que permitirá a utilização do saldo total ou parcial, de acordo com a demanda.</w:t>
            </w:r>
          </w:p>
        </w:tc>
      </w:tr>
    </w:tbl>
    <w:p w14:paraId="726E85EF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67CCCC98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51528D9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4. DESCRIÇÃO DA SOLUÇÃO COMO UM TODO</w:t>
            </w:r>
          </w:p>
        </w:tc>
      </w:tr>
      <w:tr w:rsidR="00DA502B" w:rsidRPr="00DA502B" w14:paraId="256B1666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3B35" w14:textId="183410F6" w:rsidR="00EE36A3" w:rsidRPr="00DA502B" w:rsidRDefault="00FB733D" w:rsidP="00D61281">
            <w:pPr>
              <w:pStyle w:val="PargrafodaLista"/>
              <w:tabs>
                <w:tab w:val="left" w:pos="1294"/>
              </w:tabs>
              <w:ind w:left="0"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A Solução deverá ser constituída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 xml:space="preserve"> pela aquisição dos Aparelhos de Ar Condicionado e Computadores Desktop, para imediata alocação nas Unidades de Saúde, visto que as </w:t>
            </w:r>
            <w:r w:rsidR="00D61281" w:rsidRPr="00DA502B">
              <w:rPr>
                <w:color w:val="000000" w:themeColor="text1"/>
                <w:sz w:val="20"/>
                <w:szCs w:val="20"/>
              </w:rPr>
              <w:t>s</w:t>
            </w:r>
            <w:r w:rsidR="00EE36A3" w:rsidRPr="00DA502B">
              <w:rPr>
                <w:color w:val="000000" w:themeColor="text1"/>
                <w:sz w:val="20"/>
                <w:szCs w:val="20"/>
              </w:rPr>
              <w:t>obras de Emendas poderão ser utilizadas até o fim do exercício financeiro de 2021.</w:t>
            </w:r>
          </w:p>
          <w:p w14:paraId="2A9EB3F9" w14:textId="65C1B18F" w:rsidR="00EB4B46" w:rsidRPr="00DA502B" w:rsidRDefault="00EE36A3" w:rsidP="00D61281">
            <w:pPr>
              <w:pStyle w:val="PargrafodaLista"/>
              <w:tabs>
                <w:tab w:val="left" w:pos="1294"/>
              </w:tabs>
              <w:ind w:left="0"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 xml:space="preserve">A empresa ganhadora deverá entregar os equipamentos de acordo com os prazos, garantia e condições estabelecidas em edital de Licitação. </w:t>
            </w:r>
          </w:p>
        </w:tc>
      </w:tr>
    </w:tbl>
    <w:p w14:paraId="184710B6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8926" w:type="dxa"/>
        <w:tblLayout w:type="fixed"/>
        <w:tblLook w:val="04A0" w:firstRow="1" w:lastRow="0" w:firstColumn="1" w:lastColumn="0" w:noHBand="0" w:noVBand="1"/>
      </w:tblPr>
      <w:tblGrid>
        <w:gridCol w:w="8926"/>
      </w:tblGrid>
      <w:tr w:rsidR="00DA502B" w:rsidRPr="00DA502B" w14:paraId="6168194A" w14:textId="77777777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958DECB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5. ESTIMATIVA DAS QUANTIDADES</w:t>
            </w:r>
          </w:p>
        </w:tc>
      </w:tr>
      <w:tr w:rsidR="00DA502B" w:rsidRPr="00DA502B" w14:paraId="13DE3ED5" w14:textId="77777777" w:rsidTr="0068757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BC78" w14:textId="77777777" w:rsidR="00F77521" w:rsidRPr="00DA502B" w:rsidRDefault="00F77521" w:rsidP="00D40E02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  <w:tbl>
            <w:tblPr>
              <w:tblStyle w:val="TableNormal"/>
              <w:tblW w:w="0" w:type="auto"/>
              <w:jc w:val="center"/>
              <w:tblInd w:w="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70"/>
              <w:gridCol w:w="670"/>
              <w:gridCol w:w="1140"/>
              <w:gridCol w:w="5500"/>
            </w:tblGrid>
            <w:tr w:rsidR="00DA502B" w:rsidRPr="00DA502B" w14:paraId="1B11AD6F" w14:textId="77777777" w:rsidTr="00211733">
              <w:trPr>
                <w:trHeight w:val="380"/>
                <w:jc w:val="center"/>
              </w:trPr>
              <w:tc>
                <w:tcPr>
                  <w:tcW w:w="870" w:type="dxa"/>
                  <w:tcBorders>
                    <w:bottom w:val="double" w:sz="3" w:space="0" w:color="000000"/>
                  </w:tcBorders>
                </w:tcPr>
                <w:p w14:paraId="445A3EA8" w14:textId="77777777" w:rsidR="00D40E02" w:rsidRPr="00DA502B" w:rsidRDefault="00D40E02" w:rsidP="00D40E02">
                  <w:pPr>
                    <w:pStyle w:val="TableParagraph"/>
                    <w:spacing w:before="76"/>
                    <w:ind w:left="2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ítem</w:t>
                  </w:r>
                </w:p>
              </w:tc>
              <w:tc>
                <w:tcPr>
                  <w:tcW w:w="670" w:type="dxa"/>
                  <w:tcBorders>
                    <w:bottom w:val="double" w:sz="3" w:space="0" w:color="000000"/>
                  </w:tcBorders>
                </w:tcPr>
                <w:p w14:paraId="55227EA2" w14:textId="77777777" w:rsidR="00D40E02" w:rsidRPr="00DA502B" w:rsidRDefault="00D40E02" w:rsidP="00D40E02">
                  <w:pPr>
                    <w:pStyle w:val="TableParagraph"/>
                    <w:spacing w:before="76"/>
                    <w:ind w:right="61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Unidade</w:t>
                  </w:r>
                </w:p>
              </w:tc>
              <w:tc>
                <w:tcPr>
                  <w:tcW w:w="1140" w:type="dxa"/>
                  <w:tcBorders>
                    <w:bottom w:val="double" w:sz="3" w:space="0" w:color="000000"/>
                  </w:tcBorders>
                </w:tcPr>
                <w:p w14:paraId="2760F142" w14:textId="77777777" w:rsidR="00D40E02" w:rsidRPr="00DA502B" w:rsidRDefault="00D40E02" w:rsidP="00D40E02">
                  <w:pPr>
                    <w:pStyle w:val="TableParagraph"/>
                    <w:spacing w:before="76"/>
                    <w:ind w:left="16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Quantidade</w:t>
                  </w:r>
                </w:p>
              </w:tc>
              <w:tc>
                <w:tcPr>
                  <w:tcW w:w="5500" w:type="dxa"/>
                  <w:tcBorders>
                    <w:bottom w:val="double" w:sz="3" w:space="0" w:color="000000"/>
                  </w:tcBorders>
                </w:tcPr>
                <w:p w14:paraId="4D1433BD" w14:textId="77777777" w:rsidR="00D40E02" w:rsidRPr="00DA502B" w:rsidRDefault="00D40E02" w:rsidP="00D40E02">
                  <w:pPr>
                    <w:pStyle w:val="TableParagraph"/>
                    <w:spacing w:before="76"/>
                    <w:ind w:left="20"/>
                    <w:jc w:val="center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Especificação</w:t>
                  </w:r>
                </w:p>
              </w:tc>
            </w:tr>
            <w:tr w:rsidR="00DA502B" w:rsidRPr="00DA502B" w14:paraId="1D9E508D" w14:textId="77777777" w:rsidTr="00211733">
              <w:trPr>
                <w:trHeight w:val="1112"/>
                <w:jc w:val="center"/>
              </w:trPr>
              <w:tc>
                <w:tcPr>
                  <w:tcW w:w="870" w:type="dxa"/>
                  <w:tcBorders>
                    <w:top w:val="double" w:sz="3" w:space="0" w:color="000000"/>
                  </w:tcBorders>
                </w:tcPr>
                <w:p w14:paraId="103731A7" w14:textId="77777777" w:rsidR="00D40E02" w:rsidRPr="00DA502B" w:rsidRDefault="00D40E02" w:rsidP="00D40E02">
                  <w:pPr>
                    <w:pStyle w:val="TableParagrap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30787B3B" w14:textId="77777777" w:rsidR="00D40E02" w:rsidRPr="00DA502B" w:rsidRDefault="00D40E02" w:rsidP="00D40E02">
                  <w:pPr>
                    <w:pStyle w:val="TableParagrap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4FFAC278" w14:textId="77777777" w:rsidR="00211733" w:rsidRDefault="00211733" w:rsidP="00D40E02">
                  <w:pPr>
                    <w:pStyle w:val="TableParagraph"/>
                    <w:spacing w:before="122"/>
                    <w:ind w:left="180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62035128" w14:textId="77777777" w:rsidR="00211733" w:rsidRDefault="00211733" w:rsidP="00D40E02">
                  <w:pPr>
                    <w:pStyle w:val="TableParagraph"/>
                    <w:spacing w:before="122"/>
                    <w:ind w:left="180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191C5CAE" w14:textId="77777777" w:rsidR="00D40E02" w:rsidRPr="00DA502B" w:rsidRDefault="00D40E02" w:rsidP="00D40E02">
                  <w:pPr>
                    <w:pStyle w:val="TableParagraph"/>
                    <w:spacing w:before="122"/>
                    <w:ind w:left="180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00001</w:t>
                  </w:r>
                </w:p>
              </w:tc>
              <w:tc>
                <w:tcPr>
                  <w:tcW w:w="670" w:type="dxa"/>
                  <w:tcBorders>
                    <w:top w:val="double" w:sz="3" w:space="0" w:color="000000"/>
                  </w:tcBorders>
                </w:tcPr>
                <w:p w14:paraId="701C354E" w14:textId="77777777" w:rsidR="00D40E02" w:rsidRPr="00DA502B" w:rsidRDefault="00D40E02" w:rsidP="00D40E02">
                  <w:pPr>
                    <w:pStyle w:val="TableParagrap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0535F716" w14:textId="77777777" w:rsidR="00D40E02" w:rsidRPr="00DA502B" w:rsidRDefault="00D40E02" w:rsidP="00D40E02">
                  <w:pPr>
                    <w:pStyle w:val="TableParagrap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344D4406" w14:textId="77777777" w:rsidR="00211733" w:rsidRDefault="00211733" w:rsidP="00D40E02">
                  <w:pPr>
                    <w:pStyle w:val="TableParagraph"/>
                    <w:spacing w:before="122"/>
                    <w:ind w:left="14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3376184" w14:textId="77777777" w:rsidR="00211733" w:rsidRDefault="00211733" w:rsidP="00D40E02">
                  <w:pPr>
                    <w:pStyle w:val="TableParagraph"/>
                    <w:spacing w:before="122"/>
                    <w:ind w:left="14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0254C350" w14:textId="110EB8FB" w:rsidR="00D40E02" w:rsidRPr="00DA502B" w:rsidRDefault="00D40E02" w:rsidP="00D40E02">
                  <w:pPr>
                    <w:pStyle w:val="TableParagraph"/>
                    <w:spacing w:before="122"/>
                    <w:ind w:left="14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1140" w:type="dxa"/>
                  <w:tcBorders>
                    <w:top w:val="double" w:sz="3" w:space="0" w:color="000000"/>
                  </w:tcBorders>
                </w:tcPr>
                <w:p w14:paraId="08D59002" w14:textId="77777777" w:rsidR="00D40E02" w:rsidRPr="00DA502B" w:rsidRDefault="00D40E02" w:rsidP="00D40E02">
                  <w:pPr>
                    <w:pStyle w:val="TableParagrap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04025C32" w14:textId="77777777" w:rsidR="00D40E02" w:rsidRPr="00DA502B" w:rsidRDefault="00D40E02" w:rsidP="00D40E02">
                  <w:pPr>
                    <w:pStyle w:val="TableParagraph"/>
                    <w:rPr>
                      <w:rFonts w:ascii="Arial" w:hAnsi="Arial" w:cs="Arial"/>
                      <w:i/>
                      <w:color w:val="000000" w:themeColor="text1"/>
                      <w:sz w:val="20"/>
                      <w:szCs w:val="20"/>
                    </w:rPr>
                  </w:pPr>
                </w:p>
                <w:p w14:paraId="4EA4B56E" w14:textId="77777777" w:rsidR="00211733" w:rsidRDefault="00211733" w:rsidP="00D40E02">
                  <w:pPr>
                    <w:pStyle w:val="TableParagraph"/>
                    <w:spacing w:before="122"/>
                    <w:ind w:left="32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1FD12ACF" w14:textId="77777777" w:rsidR="00211733" w:rsidRDefault="00211733" w:rsidP="00D40E02">
                  <w:pPr>
                    <w:pStyle w:val="TableParagraph"/>
                    <w:spacing w:before="122"/>
                    <w:ind w:left="32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6997AEDD" w14:textId="7E12B44E" w:rsidR="00D40E02" w:rsidRPr="00DA502B" w:rsidRDefault="00D40E02" w:rsidP="00D40E02">
                  <w:pPr>
                    <w:pStyle w:val="TableParagraph"/>
                    <w:spacing w:before="122"/>
                    <w:ind w:left="32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15,00</w:t>
                  </w:r>
                </w:p>
              </w:tc>
              <w:tc>
                <w:tcPr>
                  <w:tcW w:w="5500" w:type="dxa"/>
                  <w:tcBorders>
                    <w:top w:val="double" w:sz="3" w:space="0" w:color="000000"/>
                  </w:tcBorders>
                </w:tcPr>
                <w:p w14:paraId="582F2CBA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COMPUTADOR DESKTOP TIPO 03</w:t>
                  </w:r>
                </w:p>
                <w:p w14:paraId="24D3B75C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computador (desktop-básico) especificação mínima: que</w:t>
                  </w:r>
                </w:p>
                <w:p w14:paraId="692E0B74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esteja em linha de produção pelo fabricante; computador</w:t>
                  </w:r>
                </w:p>
                <w:p w14:paraId="267A4279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desktop com processador no mínimo intel core i3 ou amd</w:t>
                  </w:r>
                </w:p>
                <w:p w14:paraId="3B54F3EC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a10 ou similar; placa mãe deve ser de fabricação própria e</w:t>
                  </w:r>
                </w:p>
                <w:p w14:paraId="451E8804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exclusiva para o modelo ofertado. o chipset da placa mãe</w:t>
                  </w:r>
                </w:p>
                <w:p w14:paraId="3F54CEC8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deverá ser do mesmo fabricante do processador; possuir 1</w:t>
                  </w:r>
                </w:p>
                <w:p w14:paraId="338D9384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(um) ssd de 128 gigabyte; memória ram de 08 (oito)</w:t>
                  </w:r>
                </w:p>
                <w:p w14:paraId="59610605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gigabytes, em 02 (dois) módulos idênticos de 04 (quatro)</w:t>
                  </w:r>
                </w:p>
                <w:p w14:paraId="7A30CA33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gigabytes cada, do tipo sdram ddr4 2.133 mhz ou superior,</w:t>
                  </w:r>
                </w:p>
                <w:p w14:paraId="3CCA054E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operando em modalidade dual channel; a placa principal</w:t>
                  </w:r>
                </w:p>
                <w:p w14:paraId="2D3A6810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deve ter arquitetura atx, microatx, btx ou microbtx, conforme</w:t>
                  </w:r>
                </w:p>
                <w:p w14:paraId="34B708C7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padrões estabelecidos e divulgados no sítio</w:t>
                  </w:r>
                </w:p>
                <w:p w14:paraId="6CD88166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www.formfactors.org, organismo que define os padrões</w:t>
                  </w:r>
                </w:p>
                <w:p w14:paraId="48E90E5B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existentes; possuir pelo menos 01 (um) slot pci-express 2.0</w:t>
                  </w:r>
                </w:p>
                <w:p w14:paraId="2FD88CE8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x16 ou superior; possuir sistema de detecção de intrusão</w:t>
                  </w:r>
                </w:p>
                <w:p w14:paraId="21A25D93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de chassis, com acionador instalado no gabinete; o</w:t>
                  </w:r>
                </w:p>
                <w:p w14:paraId="6CEC9A34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adaptador de vídeo integrado deverá ser no mínimo de 01</w:t>
                  </w:r>
                </w:p>
                <w:p w14:paraId="4BE4B9DF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(um) gigabyte de memória, possuir suporte ao microsoft</w:t>
                  </w:r>
                </w:p>
                <w:p w14:paraId="20BB78F4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directx 10.1 ou superior, suportar monitor estendido, possuir</w:t>
                  </w:r>
                </w:p>
                <w:p w14:paraId="531BF36B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no mínimo 02 (duas) saídas de vídeo, sendo pelo menos 01</w:t>
                  </w:r>
                </w:p>
                <w:p w14:paraId="72563459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(uma) digital do tipo hdmi, display port ou dvi; teclado usb,</w:t>
                  </w:r>
                </w:p>
                <w:p w14:paraId="70232A6C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lastRenderedPageBreak/>
                    <w:t>abnt2, 107 teclas (com fio), deverá ser do mesmo fabricante</w:t>
                  </w:r>
                </w:p>
                <w:p w14:paraId="101F6740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 manter os mesmos padrões de cores do gabinete; e</w:t>
                  </w:r>
                </w:p>
                <w:p w14:paraId="1FC8B906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mouse usb, 800 dpi, 2 botões, scroll (com fio); monitor de</w:t>
                  </w:r>
                </w:p>
                <w:p w14:paraId="726EEC8D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led 19 polegadas (widescreen 16:9) do mesmo fabricante</w:t>
                  </w:r>
                </w:p>
                <w:p w14:paraId="2475C11B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do equipamento, devendo seguir o mesmo padrão de cores</w:t>
                  </w:r>
                </w:p>
                <w:p w14:paraId="547DE13B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do gabinete; interfaces de rede 10/100/1000 e wifi padrão</w:t>
                  </w:r>
                </w:p>
                <w:p w14:paraId="7C3665A7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ieee 802.11 b/g/n podendo ser onboard ou offboard;</w:t>
                  </w:r>
                </w:p>
                <w:p w14:paraId="4DE6B3F9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sistema operacional windows 10 pro (64 bits); fonte</w:t>
                  </w:r>
                </w:p>
                <w:p w14:paraId="26933E7C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compatível e que suporte toda a configuração exigida no</w:t>
                  </w:r>
                </w:p>
                <w:p w14:paraId="79D0EB84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item; gabinete deverá funcionar na vertical ou horizontal;</w:t>
                  </w:r>
                </w:p>
                <w:p w14:paraId="5EE82A4D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todos os equipamentos ofertados (gabinete, teclado, mouse</w:t>
                  </w:r>
                </w:p>
                <w:p w14:paraId="0BABB5DA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 monitor) devem possuir gradações neutras das cores</w:t>
                  </w:r>
                </w:p>
                <w:p w14:paraId="556C128F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branca, preta ou cinza, e manter o mesmo padrão de cores;</w:t>
                  </w:r>
                </w:p>
                <w:p w14:paraId="2E10D1CA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todos os componentes do produto deverão ser da mesma</w:t>
                  </w:r>
                </w:p>
                <w:p w14:paraId="564D040E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marca, novos, sem uso, reforma ou recondicionamento; os</w:t>
                  </w:r>
                </w:p>
                <w:p w14:paraId="63A16679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prazos de garantia não poderão ser inferiores a 03 (três)</w:t>
                  </w:r>
                </w:p>
                <w:p w14:paraId="41E5248C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anos on site; o fabricante do equipamento deverá possuir</w:t>
                  </w:r>
                </w:p>
                <w:p w14:paraId="0417BC45" w14:textId="3E4A8503" w:rsidR="00D40E02" w:rsidRPr="00DA502B" w:rsidRDefault="00D40E02" w:rsidP="00D40E02">
                  <w:pPr>
                    <w:pStyle w:val="TableParagraph"/>
                    <w:spacing w:before="16" w:line="273" w:lineRule="auto"/>
                    <w:ind w:left="180" w:right="552"/>
                    <w:jc w:val="both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um sistema atendimento de suporte técnico via telefone 0800.</w:t>
                  </w:r>
                </w:p>
              </w:tc>
            </w:tr>
            <w:tr w:rsidR="00DA502B" w:rsidRPr="00DA502B" w14:paraId="0E053F40" w14:textId="77777777" w:rsidTr="00211733">
              <w:trPr>
                <w:trHeight w:val="226"/>
                <w:jc w:val="center"/>
              </w:trPr>
              <w:tc>
                <w:tcPr>
                  <w:tcW w:w="870" w:type="dxa"/>
                </w:tcPr>
                <w:p w14:paraId="7F7B74DB" w14:textId="77777777" w:rsidR="00211733" w:rsidRDefault="00211733" w:rsidP="00D40E02">
                  <w:pPr>
                    <w:pStyle w:val="TableParagraph"/>
                    <w:spacing w:before="96"/>
                    <w:ind w:left="180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367A1261" w14:textId="77777777" w:rsidR="00211733" w:rsidRDefault="00211733" w:rsidP="00D40E02">
                  <w:pPr>
                    <w:pStyle w:val="TableParagraph"/>
                    <w:spacing w:before="96"/>
                    <w:ind w:left="180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</w:p>
                <w:p w14:paraId="5D84EE83" w14:textId="77777777" w:rsidR="00D40E02" w:rsidRPr="00DA502B" w:rsidRDefault="00D40E02" w:rsidP="00D40E02">
                  <w:pPr>
                    <w:pStyle w:val="TableParagraph"/>
                    <w:spacing w:before="96"/>
                    <w:ind w:left="180"/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b/>
                      <w:color w:val="000000" w:themeColor="text1"/>
                      <w:sz w:val="20"/>
                      <w:szCs w:val="20"/>
                    </w:rPr>
                    <w:t>00002</w:t>
                  </w:r>
                </w:p>
              </w:tc>
              <w:tc>
                <w:tcPr>
                  <w:tcW w:w="670" w:type="dxa"/>
                </w:tcPr>
                <w:p w14:paraId="3E3F01D3" w14:textId="77777777" w:rsidR="00211733" w:rsidRDefault="00211733" w:rsidP="00D40E02">
                  <w:pPr>
                    <w:pStyle w:val="TableParagraph"/>
                    <w:spacing w:before="96"/>
                    <w:ind w:left="14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041FD10F" w14:textId="77777777" w:rsidR="00211733" w:rsidRDefault="00211733" w:rsidP="00D40E02">
                  <w:pPr>
                    <w:pStyle w:val="TableParagraph"/>
                    <w:spacing w:before="96"/>
                    <w:ind w:left="14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4FBF07C2" w14:textId="34213190" w:rsidR="00D40E02" w:rsidRPr="00DA502B" w:rsidRDefault="00D40E02" w:rsidP="00D40E02">
                  <w:pPr>
                    <w:pStyle w:val="TableParagraph"/>
                    <w:spacing w:before="96"/>
                    <w:ind w:left="14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UND</w:t>
                  </w:r>
                </w:p>
              </w:tc>
              <w:tc>
                <w:tcPr>
                  <w:tcW w:w="1140" w:type="dxa"/>
                </w:tcPr>
                <w:p w14:paraId="1235D6B1" w14:textId="77777777" w:rsidR="00211733" w:rsidRDefault="00211733" w:rsidP="00D40E02">
                  <w:pPr>
                    <w:pStyle w:val="TableParagraph"/>
                    <w:spacing w:before="96"/>
                    <w:ind w:left="42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53A3DA4E" w14:textId="77777777" w:rsidR="00211733" w:rsidRDefault="00211733" w:rsidP="00D40E02">
                  <w:pPr>
                    <w:pStyle w:val="TableParagraph"/>
                    <w:spacing w:before="96"/>
                    <w:ind w:left="42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</w:p>
                <w:p w14:paraId="6E997417" w14:textId="4FDDF5DE" w:rsidR="00D40E02" w:rsidRPr="00DA502B" w:rsidRDefault="00D40E02" w:rsidP="00D40E02">
                  <w:pPr>
                    <w:pStyle w:val="TableParagraph"/>
                    <w:spacing w:before="96"/>
                    <w:ind w:left="42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15,00</w:t>
                  </w:r>
                </w:p>
              </w:tc>
              <w:tc>
                <w:tcPr>
                  <w:tcW w:w="5500" w:type="dxa"/>
                </w:tcPr>
                <w:p w14:paraId="2FCF21EA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AR CONDICIONADO 12.000 BTU/H HI-WALL INVERTER</w:t>
                  </w:r>
                </w:p>
                <w:p w14:paraId="3854CFF2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descrição técnica:</w:t>
                  </w:r>
                </w:p>
                <w:p w14:paraId="28BA4AC3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 equipamento de ar condicionado do tipo hi-wall</w:t>
                  </w:r>
                </w:p>
                <w:p w14:paraId="0DD2D822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 deve possuir tecnologia inverter para economia de</w:t>
                  </w:r>
                </w:p>
                <w:p w14:paraId="6CBA5A27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energia;</w:t>
                  </w:r>
                </w:p>
                <w:p w14:paraId="44218726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 capacidade de refrigeração 12.000btu/h</w:t>
                  </w:r>
                </w:p>
                <w:p w14:paraId="554A95BE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 ciclo: frio;</w:t>
                  </w:r>
                </w:p>
                <w:p w14:paraId="295F8B2B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 alimentação elétrica: 220v, 60hz, monofásico;</w:t>
                  </w:r>
                </w:p>
                <w:p w14:paraId="516AAEBC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 deve possuir controle remoto com display de funções e</w:t>
                  </w:r>
                </w:p>
                <w:p w14:paraId="04BE5265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velocidade do ar;</w:t>
                  </w:r>
                </w:p>
                <w:p w14:paraId="146B95FB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 gabinete da unidade externa deve ser de metal;</w:t>
                  </w:r>
                </w:p>
                <w:p w14:paraId="0ECBAF6E" w14:textId="77777777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 unidade interna deve permitir ser fixada na parede;</w:t>
                  </w:r>
                </w:p>
                <w:p w14:paraId="100795A9" w14:textId="3715D7A4" w:rsidR="00D40E02" w:rsidRPr="00DA502B" w:rsidRDefault="00D40E02" w:rsidP="00D40E02">
                  <w:pPr>
                    <w:adjustRightInd w:val="0"/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</w:pPr>
                  <w:r w:rsidRPr="00DA502B">
                    <w:rPr>
                      <w:rFonts w:ascii="Arial" w:hAnsi="Arial" w:cs="Arial"/>
                      <w:color w:val="000000" w:themeColor="text1"/>
                      <w:sz w:val="20"/>
                      <w:szCs w:val="20"/>
                    </w:rPr>
                    <w:t>- garantia mínima de 12 meses</w:t>
                  </w:r>
                </w:p>
              </w:tc>
            </w:tr>
          </w:tbl>
          <w:p w14:paraId="6078C303" w14:textId="333447F8" w:rsidR="00D40E02" w:rsidRPr="00DA502B" w:rsidRDefault="00D40E02" w:rsidP="00D40E02">
            <w:pPr>
              <w:widowControl w:val="0"/>
              <w:jc w:val="both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501D24B4" w14:textId="77777777" w:rsidR="00207EEB" w:rsidRPr="00DA502B" w:rsidRDefault="00207EEB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DA502B" w:rsidRPr="00DA502B" w14:paraId="2AC4580B" w14:textId="77777777" w:rsidTr="006E4AE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915F77E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6. ESTIMATIVA DO VALOR DA CONTRATAÇÃO</w:t>
            </w:r>
          </w:p>
        </w:tc>
      </w:tr>
      <w:tr w:rsidR="00DA502B" w:rsidRPr="00DA502B" w14:paraId="4591D3C1" w14:textId="77777777" w:rsidTr="006E4AE3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6B79" w14:textId="3BC0DB1A" w:rsidR="00F77521" w:rsidRPr="00DA502B" w:rsidRDefault="00207EEB" w:rsidP="005A3D72">
            <w:pPr>
              <w:widowControl w:val="0"/>
              <w:tabs>
                <w:tab w:val="left" w:pos="8527"/>
              </w:tabs>
              <w:ind w:right="176"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A estimativa de valor da contratação</w:t>
            </w:r>
            <w:r w:rsidR="00F41AE4" w:rsidRPr="00DA502B">
              <w:rPr>
                <w:color w:val="000000" w:themeColor="text1"/>
                <w:sz w:val="20"/>
                <w:szCs w:val="20"/>
              </w:rPr>
              <w:t xml:space="preserve"> é de</w:t>
            </w:r>
            <w:r w:rsidRPr="00DA502B">
              <w:rPr>
                <w:color w:val="000000" w:themeColor="text1"/>
                <w:sz w:val="20"/>
                <w:szCs w:val="20"/>
              </w:rPr>
              <w:t xml:space="preserve"> </w:t>
            </w:r>
            <w:r w:rsidR="00F41AE4" w:rsidRPr="00DA502B">
              <w:rPr>
                <w:color w:val="000000" w:themeColor="text1"/>
                <w:sz w:val="20"/>
                <w:szCs w:val="20"/>
              </w:rPr>
              <w:t>aproximadamente R$ 106.500,00</w:t>
            </w:r>
            <w:r w:rsidR="00E94BEE" w:rsidRPr="00DA502B">
              <w:rPr>
                <w:color w:val="000000" w:themeColor="text1"/>
                <w:sz w:val="20"/>
                <w:szCs w:val="20"/>
              </w:rPr>
              <w:t xml:space="preserve">. </w:t>
            </w:r>
            <w:r w:rsidR="00DC6DEE" w:rsidRPr="00DA502B">
              <w:rPr>
                <w:color w:val="000000" w:themeColor="text1"/>
                <w:sz w:val="20"/>
                <w:szCs w:val="20"/>
              </w:rPr>
              <w:t>Serão utilizados, como metodologia para a obtenção do preço e referência para a contratação, a média, mediana ou o menor valor obtido na pesquisa de preços, desde que o cálculo incida sobre um conjunto de três ou mais preços, oriundos de um ou mais dos parâmetros adotados neste caso, desconsiderados os valores inexequíveis e os excessivamente elevados</w:t>
            </w:r>
            <w:r w:rsidR="005A3D7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067561F1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55146E86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03B1152" w14:textId="77777777" w:rsidR="00F77521" w:rsidRPr="00DA502B" w:rsidRDefault="006A3C20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 xml:space="preserve">7. PARCELAMENTO </w:t>
            </w:r>
            <w:r w:rsidR="00F77521" w:rsidRPr="00DA502B">
              <w:rPr>
                <w:b/>
                <w:color w:val="000000" w:themeColor="text1"/>
                <w:sz w:val="20"/>
                <w:szCs w:val="20"/>
              </w:rPr>
              <w:t>DA SOLUÇÃO</w:t>
            </w:r>
          </w:p>
        </w:tc>
      </w:tr>
      <w:tr w:rsidR="00DA502B" w:rsidRPr="00DA502B" w14:paraId="4F2CC2A8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0EE90" w14:textId="6887B7C1" w:rsidR="00737E44" w:rsidRPr="00DA502B" w:rsidRDefault="00F41AE4" w:rsidP="00D61281">
            <w:pPr>
              <w:widowControl w:val="0"/>
              <w:ind w:firstLine="596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A502B">
              <w:rPr>
                <w:rFonts w:eastAsia="Calibri"/>
                <w:color w:val="000000" w:themeColor="text1"/>
                <w:sz w:val="20"/>
                <w:szCs w:val="20"/>
              </w:rPr>
              <w:t>A licitação será dividida em item por lote, v</w:t>
            </w:r>
            <w:r w:rsidR="00211733">
              <w:rPr>
                <w:rFonts w:eastAsia="Calibri"/>
                <w:color w:val="000000" w:themeColor="text1"/>
                <w:sz w:val="20"/>
                <w:szCs w:val="20"/>
              </w:rPr>
              <w:t>isto que se trata</w:t>
            </w:r>
            <w:r w:rsidR="003C4333">
              <w:rPr>
                <w:rFonts w:eastAsia="Calibri"/>
                <w:color w:val="000000" w:themeColor="text1"/>
                <w:sz w:val="20"/>
                <w:szCs w:val="20"/>
              </w:rPr>
              <w:t>m</w:t>
            </w:r>
            <w:r w:rsidR="00211733">
              <w:rPr>
                <w:rFonts w:eastAsia="Calibri"/>
                <w:color w:val="000000" w:themeColor="text1"/>
                <w:sz w:val="20"/>
                <w:szCs w:val="20"/>
              </w:rPr>
              <w:t xml:space="preserve"> de apenas 02</w:t>
            </w:r>
            <w:r w:rsidRPr="00DA502B">
              <w:rPr>
                <w:rFonts w:eastAsia="Calibri"/>
                <w:color w:val="000000" w:themeColor="text1"/>
                <w:sz w:val="20"/>
                <w:szCs w:val="20"/>
              </w:rPr>
              <w:t xml:space="preserve"> itens, divididos </w:t>
            </w:r>
            <w:r w:rsidR="00D61281" w:rsidRPr="00DA502B">
              <w:rPr>
                <w:rFonts w:eastAsia="Calibri"/>
                <w:color w:val="000000" w:themeColor="text1"/>
                <w:sz w:val="20"/>
                <w:szCs w:val="20"/>
              </w:rPr>
              <w:t>em 02 lotes, viabilizando a ampla participação de licitantes.</w:t>
            </w:r>
          </w:p>
        </w:tc>
      </w:tr>
    </w:tbl>
    <w:p w14:paraId="033497A7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12311DBB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13AA955F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8. CONTRATAÇÕES CORRELATAS E/OU INTERDEPENDENTES</w:t>
            </w:r>
          </w:p>
        </w:tc>
      </w:tr>
      <w:tr w:rsidR="00DA502B" w:rsidRPr="00DA502B" w14:paraId="33DD763B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4C9B" w14:textId="67B2AFC5" w:rsidR="00F77521" w:rsidRPr="00DA502B" w:rsidRDefault="00F41AE4" w:rsidP="00D61281">
            <w:pPr>
              <w:widowControl w:val="0"/>
              <w:ind w:firstLine="596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Para a Instalação dos Aparelhos de Ar Condicionado, caso não se tenha mais saldo suficiente do Contrato atual de Instalação até a chegada dos novos equipamentos, será necessária a realização de uma Compra Direta, com empresa autorizada pela marca ganhadora, para instalação nos locais a serem indicados pela Secretaria de Saúde.</w:t>
            </w:r>
          </w:p>
        </w:tc>
      </w:tr>
    </w:tbl>
    <w:p w14:paraId="520D7772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0EBC6BB8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9AC36BA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9. ALINHAMENTO ENTRE A CONTRATAÇÃO E O PLANEJAMENTO</w:t>
            </w:r>
          </w:p>
        </w:tc>
      </w:tr>
      <w:tr w:rsidR="00DA502B" w:rsidRPr="00DA502B" w14:paraId="7207B565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63A6" w14:textId="77777777" w:rsidR="00D61281" w:rsidRPr="00DA502B" w:rsidRDefault="00D61281" w:rsidP="00211733">
            <w:pPr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As despesas inerentes a este Termo de Referência correrão à conta das dotações: Secretaria Municipal de Saúde.</w:t>
            </w:r>
          </w:p>
          <w:p w14:paraId="7801BA48" w14:textId="77777777" w:rsidR="00D61281" w:rsidRPr="00DA502B" w:rsidRDefault="00D61281" w:rsidP="00D61281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- Aquisição de Equipamentos para a Saúde - Emenda Parlamentar: 0000042-12200000100;</w:t>
            </w:r>
          </w:p>
          <w:p w14:paraId="088BB0BB" w14:textId="207B7F1E" w:rsidR="00DE455D" w:rsidRPr="00DA502B" w:rsidRDefault="00D61281" w:rsidP="004F176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- Manutenção das Atividades da Atenção Básica - SUS: 0000036-121100000000.</w:t>
            </w:r>
          </w:p>
        </w:tc>
      </w:tr>
    </w:tbl>
    <w:p w14:paraId="2CC6DE20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29F072D6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44443F8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10. RESULTADOS PRETENDIDOS</w:t>
            </w:r>
          </w:p>
        </w:tc>
      </w:tr>
      <w:tr w:rsidR="00DA502B" w:rsidRPr="00DA502B" w14:paraId="31FEAAF4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D58A6" w14:textId="27069F1B" w:rsidR="00B3247D" w:rsidRPr="00DA502B" w:rsidRDefault="006A3C20" w:rsidP="00211733">
            <w:pPr>
              <w:pStyle w:val="Corpodetexto"/>
              <w:ind w:firstLine="596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Com a solução ora em debate, </w:t>
            </w:r>
            <w:r w:rsidR="007D795E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>espera-se</w:t>
            </w:r>
            <w:r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DA502B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adequar os ambientes das Unidades de Saúde, como salas de vacinas e consultórios e melhorar a informatização da Atenção Básica no </w:t>
            </w:r>
            <w:r w:rsidR="00DA502B" w:rsidRPr="00DA502B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município, visto que alguns ambientes nas respectivas UBS não dispõe de aparelhos de Ar Condicionado; além de Computadores Desktop antigos, que necessitam de substituição, para melhoria do atendimento aos munícipes, sendo estas duas demandas de equipamentos as principais no momento para a Atenção Básica municipal</w:t>
            </w:r>
            <w:r w:rsidR="00F76BF3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11F11388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1F348ADC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887076B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 xml:space="preserve">11. </w:t>
            </w:r>
            <w:r w:rsidRPr="00DA502B">
              <w:rPr>
                <w:rFonts w:eastAsia="Calibri"/>
                <w:b/>
                <w:color w:val="000000" w:themeColor="text1"/>
                <w:sz w:val="20"/>
                <w:szCs w:val="20"/>
              </w:rPr>
              <w:t>PROVIDÊNCIAS A SEREM ADOTADAS</w:t>
            </w:r>
          </w:p>
        </w:tc>
      </w:tr>
      <w:tr w:rsidR="00DA502B" w:rsidRPr="00DA502B" w14:paraId="04C6F63F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FDE7B" w14:textId="77777777" w:rsidR="00F77521" w:rsidRPr="00DA502B" w:rsidRDefault="00D930C4" w:rsidP="00F65197">
            <w:pPr>
              <w:widowControl w:val="0"/>
              <w:ind w:firstLine="596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A502B">
              <w:rPr>
                <w:rFonts w:eastAsia="Calibri"/>
                <w:color w:val="000000" w:themeColor="text1"/>
                <w:sz w:val="20"/>
                <w:szCs w:val="20"/>
              </w:rPr>
              <w:t>Não h</w:t>
            </w:r>
            <w:r w:rsidR="00B72B92" w:rsidRPr="00DA502B">
              <w:rPr>
                <w:rFonts w:eastAsia="Calibri"/>
                <w:color w:val="000000" w:themeColor="text1"/>
                <w:sz w:val="20"/>
                <w:szCs w:val="20"/>
              </w:rPr>
              <w:t>á</w:t>
            </w:r>
            <w:r w:rsidR="008A0624" w:rsidRPr="00DA502B">
              <w:rPr>
                <w:rFonts w:eastAsia="Calibri"/>
                <w:color w:val="000000" w:themeColor="text1"/>
                <w:sz w:val="20"/>
                <w:szCs w:val="20"/>
              </w:rPr>
              <w:t xml:space="preserve"> p</w:t>
            </w:r>
            <w:r w:rsidR="00F77521" w:rsidRPr="00DA502B">
              <w:rPr>
                <w:rFonts w:eastAsia="Calibri"/>
                <w:color w:val="000000" w:themeColor="text1"/>
                <w:sz w:val="20"/>
                <w:szCs w:val="20"/>
              </w:rPr>
              <w:t xml:space="preserve">rovidências a serem adotadas pela </w:t>
            </w:r>
            <w:r w:rsidR="000C0C6B" w:rsidRPr="00DA502B">
              <w:rPr>
                <w:rFonts w:eastAsia="Calibri"/>
                <w:color w:val="000000" w:themeColor="text1"/>
                <w:sz w:val="20"/>
                <w:szCs w:val="20"/>
              </w:rPr>
              <w:t>A</w:t>
            </w:r>
            <w:r w:rsidR="00F77521" w:rsidRPr="00DA502B">
              <w:rPr>
                <w:rFonts w:eastAsia="Calibri"/>
                <w:color w:val="000000" w:themeColor="text1"/>
                <w:sz w:val="20"/>
                <w:szCs w:val="20"/>
              </w:rPr>
              <w:t>dministração</w:t>
            </w:r>
            <w:r w:rsidR="000C0C6B" w:rsidRPr="00DA502B">
              <w:rPr>
                <w:rFonts w:eastAsia="Calibri"/>
                <w:color w:val="000000" w:themeColor="text1"/>
                <w:sz w:val="20"/>
                <w:szCs w:val="20"/>
              </w:rPr>
              <w:t>,</w:t>
            </w:r>
            <w:r w:rsidR="00F77521" w:rsidRPr="00DA502B">
              <w:rPr>
                <w:rFonts w:eastAsia="Calibri"/>
                <w:color w:val="000000" w:themeColor="text1"/>
                <w:sz w:val="20"/>
                <w:szCs w:val="20"/>
              </w:rPr>
              <w:t xml:space="preserve"> previ</w:t>
            </w:r>
            <w:r w:rsidR="00B72B92" w:rsidRPr="00DA502B">
              <w:rPr>
                <w:rFonts w:eastAsia="Calibri"/>
                <w:color w:val="000000" w:themeColor="text1"/>
                <w:sz w:val="20"/>
                <w:szCs w:val="20"/>
              </w:rPr>
              <w:t>amente à celebração do contrato</w:t>
            </w:r>
            <w:r w:rsidR="00A63DA1" w:rsidRPr="00DA502B">
              <w:rPr>
                <w:rFonts w:eastAsia="Calibri"/>
                <w:color w:val="000000" w:themeColor="text1"/>
                <w:sz w:val="20"/>
                <w:szCs w:val="20"/>
              </w:rPr>
              <w:t>.</w:t>
            </w:r>
          </w:p>
        </w:tc>
      </w:tr>
    </w:tbl>
    <w:p w14:paraId="5FE16F08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0C8ED91B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66D5CD2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12. IMPACTOS AMBIENTAIS</w:t>
            </w:r>
          </w:p>
        </w:tc>
      </w:tr>
      <w:tr w:rsidR="00DA502B" w:rsidRPr="00DA502B" w14:paraId="26EA1A6D" w14:textId="77777777" w:rsidTr="00D40E02">
        <w:trPr>
          <w:trHeight w:val="621"/>
        </w:trPr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B9B1A" w14:textId="68955D7D" w:rsidR="00F77521" w:rsidRPr="00DA502B" w:rsidRDefault="00D40E02" w:rsidP="00F65197">
            <w:pPr>
              <w:widowControl w:val="0"/>
              <w:ind w:firstLine="596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A502B">
              <w:rPr>
                <w:rFonts w:eastAsia="Calibri"/>
                <w:color w:val="000000" w:themeColor="text1"/>
                <w:sz w:val="20"/>
                <w:szCs w:val="20"/>
              </w:rPr>
              <w:t>Em regra, não se vislumbra impactos ambientais decorrentes da contratação, tendo em vista que os equipamentos serão adquiridos de empresas licenciadas para o fornecimento dos mesmos, o município dispõe de coleta seletiva de lixo, para descarte das embalagens, e os equipamentos que porventura sejam substituídos, serão destinados a Leilão, não sendo descartados de forma inadequada.</w:t>
            </w:r>
          </w:p>
        </w:tc>
      </w:tr>
    </w:tbl>
    <w:p w14:paraId="7E04833D" w14:textId="77777777" w:rsidR="00F77521" w:rsidRPr="00DA502B" w:rsidRDefault="00F77521" w:rsidP="006E4AE3">
      <w:pPr>
        <w:spacing w:after="0" w:line="240" w:lineRule="auto"/>
        <w:jc w:val="both"/>
        <w:rPr>
          <w:b/>
          <w:color w:val="000000" w:themeColor="text1"/>
          <w:sz w:val="20"/>
          <w:szCs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927"/>
      </w:tblGrid>
      <w:tr w:rsidR="00DA502B" w:rsidRPr="00DA502B" w14:paraId="3C5E4BF3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0E2BAB7B" w14:textId="77777777" w:rsidR="00F77521" w:rsidRPr="00DA502B" w:rsidRDefault="00F77521" w:rsidP="006E4AE3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DA502B">
              <w:rPr>
                <w:b/>
                <w:color w:val="000000" w:themeColor="text1"/>
                <w:sz w:val="20"/>
                <w:szCs w:val="20"/>
              </w:rPr>
              <w:t>13. VIABILIDADE E RAZOABILIDADE DA CONTRATAÇÃO</w:t>
            </w:r>
          </w:p>
        </w:tc>
      </w:tr>
      <w:tr w:rsidR="00DA502B" w:rsidRPr="00DA502B" w14:paraId="22A4A69A" w14:textId="77777777" w:rsidTr="00F77521">
        <w:tc>
          <w:tcPr>
            <w:tcW w:w="8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80F2" w14:textId="77777777" w:rsidR="008A0624" w:rsidRPr="00DA502B" w:rsidRDefault="008A0624" w:rsidP="00F65197">
            <w:pPr>
              <w:autoSpaceDE w:val="0"/>
              <w:autoSpaceDN w:val="0"/>
              <w:adjustRightInd w:val="0"/>
              <w:ind w:firstLine="596"/>
              <w:jc w:val="both"/>
              <w:rPr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>Os estudos preliminares indicam que esta forma de contratação é perfeitamente</w:t>
            </w:r>
            <w:r w:rsidR="008F7BE0" w:rsidRPr="00DA502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502B">
              <w:rPr>
                <w:color w:val="000000" w:themeColor="text1"/>
                <w:sz w:val="20"/>
                <w:szCs w:val="20"/>
              </w:rPr>
              <w:t>viável e que maximiza a probabilidade do alcance dos resultados pretendidos.</w:t>
            </w:r>
          </w:p>
          <w:p w14:paraId="44238B52" w14:textId="3DB72CBD" w:rsidR="00F77521" w:rsidRPr="00DA502B" w:rsidRDefault="008A0624" w:rsidP="003C4333">
            <w:pPr>
              <w:widowControl w:val="0"/>
              <w:jc w:val="both"/>
              <w:rPr>
                <w:rFonts w:eastAsia="Calibri"/>
                <w:color w:val="000000" w:themeColor="text1"/>
                <w:sz w:val="20"/>
                <w:szCs w:val="20"/>
              </w:rPr>
            </w:pPr>
            <w:r w:rsidRPr="00DA502B">
              <w:rPr>
                <w:color w:val="000000" w:themeColor="text1"/>
                <w:sz w:val="20"/>
                <w:szCs w:val="20"/>
              </w:rPr>
              <w:t xml:space="preserve">Diante do exposto </w:t>
            </w:r>
            <w:r w:rsidR="008F7BE0" w:rsidRPr="00DA502B">
              <w:rPr>
                <w:color w:val="000000" w:themeColor="text1"/>
                <w:sz w:val="20"/>
                <w:szCs w:val="20"/>
              </w:rPr>
              <w:t xml:space="preserve">a </w:t>
            </w:r>
            <w:r w:rsidR="00A63DA1" w:rsidRPr="00DA502B">
              <w:rPr>
                <w:color w:val="000000" w:themeColor="text1"/>
                <w:sz w:val="20"/>
                <w:szCs w:val="20"/>
              </w:rPr>
              <w:t xml:space="preserve">Secretaria de </w:t>
            </w:r>
            <w:r w:rsidR="003C4333">
              <w:rPr>
                <w:color w:val="000000" w:themeColor="text1"/>
                <w:sz w:val="20"/>
                <w:szCs w:val="20"/>
              </w:rPr>
              <w:t>Saúde</w:t>
            </w:r>
            <w:r w:rsidR="008F7BE0" w:rsidRPr="00DA502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DA502B">
              <w:rPr>
                <w:color w:val="000000" w:themeColor="text1"/>
                <w:sz w:val="20"/>
                <w:szCs w:val="20"/>
              </w:rPr>
              <w:t>declara ser viável a contratação da solução pretendida</w:t>
            </w:r>
            <w:r w:rsidR="008F7BE0" w:rsidRPr="00DA502B">
              <w:rPr>
                <w:color w:val="000000" w:themeColor="text1"/>
                <w:sz w:val="20"/>
                <w:szCs w:val="20"/>
              </w:rPr>
              <w:t xml:space="preserve">, </w:t>
            </w:r>
            <w:r w:rsidR="00F77521" w:rsidRPr="00DA502B">
              <w:rPr>
                <w:rFonts w:eastAsia="Calibri"/>
                <w:color w:val="000000" w:themeColor="text1"/>
                <w:sz w:val="20"/>
                <w:szCs w:val="20"/>
              </w:rPr>
              <w:t>com base n</w:t>
            </w:r>
            <w:r w:rsidR="00B72B92" w:rsidRPr="00DA502B">
              <w:rPr>
                <w:rFonts w:eastAsia="Calibri"/>
                <w:color w:val="000000" w:themeColor="text1"/>
                <w:sz w:val="20"/>
                <w:szCs w:val="20"/>
              </w:rPr>
              <w:t>este Estudo Técnico Preliminar.</w:t>
            </w:r>
          </w:p>
        </w:tc>
      </w:tr>
    </w:tbl>
    <w:p w14:paraId="2198254F" w14:textId="77777777" w:rsidR="00683B91" w:rsidRPr="00DA502B" w:rsidRDefault="00683B91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64DC067D" w14:textId="4286FC2B" w:rsidR="00683B91" w:rsidRPr="00DA502B" w:rsidRDefault="00683B91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  <w:r w:rsidRPr="00DA502B">
        <w:rPr>
          <w:color w:val="000000" w:themeColor="text1"/>
          <w:sz w:val="20"/>
          <w:szCs w:val="20"/>
        </w:rPr>
        <w:t xml:space="preserve">Venda Nova do Imigrante – ES, </w:t>
      </w:r>
      <w:r w:rsidR="003372E5">
        <w:rPr>
          <w:color w:val="000000" w:themeColor="text1"/>
          <w:sz w:val="20"/>
          <w:szCs w:val="20"/>
        </w:rPr>
        <w:t>01</w:t>
      </w:r>
      <w:r w:rsidR="004F1764" w:rsidRPr="00DA502B">
        <w:rPr>
          <w:color w:val="000000" w:themeColor="text1"/>
          <w:sz w:val="20"/>
          <w:szCs w:val="20"/>
        </w:rPr>
        <w:t xml:space="preserve"> de </w:t>
      </w:r>
      <w:r w:rsidR="00D40E02" w:rsidRPr="00DA502B">
        <w:rPr>
          <w:color w:val="000000" w:themeColor="text1"/>
          <w:sz w:val="20"/>
          <w:szCs w:val="20"/>
        </w:rPr>
        <w:t>julho</w:t>
      </w:r>
      <w:r w:rsidR="004F1764" w:rsidRPr="00DA502B">
        <w:rPr>
          <w:color w:val="000000" w:themeColor="text1"/>
          <w:sz w:val="20"/>
          <w:szCs w:val="20"/>
        </w:rPr>
        <w:t xml:space="preserve"> de 2021.</w:t>
      </w:r>
    </w:p>
    <w:p w14:paraId="67F1CB7D" w14:textId="77777777" w:rsidR="00683B91" w:rsidRDefault="00683B91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DB25679" w14:textId="77777777" w:rsidR="009922E8" w:rsidRDefault="009922E8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DAC4A94" w14:textId="77777777" w:rsidR="009922E8" w:rsidRPr="00DA502B" w:rsidRDefault="009922E8" w:rsidP="006E4AE3">
      <w:pPr>
        <w:spacing w:after="0" w:line="240" w:lineRule="auto"/>
        <w:jc w:val="both"/>
        <w:rPr>
          <w:color w:val="000000" w:themeColor="text1"/>
          <w:sz w:val="20"/>
          <w:szCs w:val="20"/>
        </w:rPr>
      </w:pPr>
    </w:p>
    <w:p w14:paraId="421871B2" w14:textId="77777777" w:rsidR="00683B91" w:rsidRPr="00D61281" w:rsidRDefault="00683B91" w:rsidP="006E4AE3">
      <w:pPr>
        <w:spacing w:after="0" w:line="240" w:lineRule="auto"/>
        <w:jc w:val="center"/>
        <w:rPr>
          <w:sz w:val="20"/>
          <w:szCs w:val="20"/>
        </w:rPr>
      </w:pPr>
    </w:p>
    <w:p w14:paraId="04592E41" w14:textId="77777777" w:rsidR="00DA502B" w:rsidRDefault="00DA502B" w:rsidP="00DA502B">
      <w:pPr>
        <w:pStyle w:val="Recuodecorpodetexto"/>
        <w:tabs>
          <w:tab w:val="left" w:pos="3976"/>
        </w:tabs>
        <w:jc w:val="center"/>
        <w:rPr>
          <w:b/>
          <w:color w:val="000000" w:themeColor="text1"/>
          <w:sz w:val="22"/>
          <w:szCs w:val="22"/>
        </w:rPr>
      </w:pPr>
    </w:p>
    <w:p w14:paraId="1097C78A" w14:textId="77777777" w:rsidR="00DA502B" w:rsidRDefault="00DA502B" w:rsidP="00DA502B">
      <w:pPr>
        <w:pStyle w:val="Recuodecorpodetexto"/>
        <w:tabs>
          <w:tab w:val="left" w:pos="3976"/>
        </w:tabs>
        <w:jc w:val="center"/>
        <w:rPr>
          <w:b/>
          <w:color w:val="000000" w:themeColor="text1"/>
          <w:sz w:val="22"/>
          <w:szCs w:val="22"/>
        </w:rPr>
      </w:pPr>
    </w:p>
    <w:p w14:paraId="339D0360" w14:textId="77777777" w:rsidR="00DA502B" w:rsidRDefault="00DA502B" w:rsidP="00DA502B">
      <w:pPr>
        <w:pStyle w:val="Recuodecorpodetexto"/>
        <w:tabs>
          <w:tab w:val="left" w:pos="3976"/>
        </w:tabs>
        <w:spacing w:after="0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MARISE BERNARDA VILELA</w:t>
      </w:r>
    </w:p>
    <w:p w14:paraId="2997421C" w14:textId="77777777" w:rsidR="00DA502B" w:rsidRDefault="00DA502B" w:rsidP="00DA502B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SECRETÁRIA MUNICIPAL DE SAÚDE</w:t>
      </w:r>
    </w:p>
    <w:p w14:paraId="2ACFE38C" w14:textId="77777777" w:rsidR="00DA502B" w:rsidRDefault="00DA502B" w:rsidP="00DA502B">
      <w:pPr>
        <w:spacing w:after="0" w:line="240" w:lineRule="auto"/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DECRETO Nº 3290/2019</w:t>
      </w:r>
    </w:p>
    <w:p w14:paraId="350176F7" w14:textId="77777777" w:rsidR="00B72B92" w:rsidRPr="00D61281" w:rsidRDefault="00B72B92" w:rsidP="006E4AE3">
      <w:pPr>
        <w:spacing w:after="0" w:line="240" w:lineRule="auto"/>
        <w:jc w:val="center"/>
        <w:rPr>
          <w:sz w:val="20"/>
          <w:szCs w:val="20"/>
        </w:rPr>
      </w:pPr>
    </w:p>
    <w:p w14:paraId="143DAA7D" w14:textId="77777777" w:rsidR="006E4AE3" w:rsidRPr="006E4AE3" w:rsidRDefault="006E4AE3" w:rsidP="006E4AE3">
      <w:pPr>
        <w:spacing w:after="0" w:line="240" w:lineRule="auto"/>
        <w:jc w:val="center"/>
        <w:rPr>
          <w:sz w:val="20"/>
          <w:szCs w:val="20"/>
        </w:rPr>
      </w:pPr>
    </w:p>
    <w:sectPr w:rsidR="006E4AE3" w:rsidRPr="006E4AE3" w:rsidSect="002B31AB">
      <w:headerReference w:type="default" r:id="rId10"/>
      <w:footerReference w:type="default" r:id="rId11"/>
      <w:pgSz w:w="11906" w:h="16838"/>
      <w:pgMar w:top="1701" w:right="1134" w:bottom="1134" w:left="1701" w:header="567" w:footer="4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993F4C4" w14:textId="77777777" w:rsidR="00DF0947" w:rsidRDefault="00DF0947" w:rsidP="007749BF">
      <w:pPr>
        <w:spacing w:after="0" w:line="240" w:lineRule="auto"/>
      </w:pPr>
      <w:r>
        <w:separator/>
      </w:r>
    </w:p>
  </w:endnote>
  <w:endnote w:type="continuationSeparator" w:id="0">
    <w:p w14:paraId="142505FD" w14:textId="77777777" w:rsidR="00DF0947" w:rsidRDefault="00DF0947" w:rsidP="007749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499871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8E6AB43" w14:textId="77777777" w:rsidR="00FB733D" w:rsidRDefault="00FB733D">
            <w:pPr>
              <w:pStyle w:val="Rodap"/>
              <w:jc w:val="right"/>
            </w:pPr>
            <w:r w:rsidRPr="008C6922">
              <w:rPr>
                <w:b/>
                <w:sz w:val="20"/>
                <w:szCs w:val="20"/>
              </w:rPr>
              <w:t xml:space="preserve">Página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PAGE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222560">
              <w:rPr>
                <w:b/>
                <w:bCs/>
                <w:noProof/>
                <w:sz w:val="20"/>
                <w:szCs w:val="20"/>
              </w:rPr>
              <w:t>1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  <w:r w:rsidRPr="008C6922">
              <w:rPr>
                <w:b/>
                <w:sz w:val="20"/>
                <w:szCs w:val="20"/>
              </w:rPr>
              <w:t xml:space="preserve"> de </w:t>
            </w:r>
            <w:r w:rsidRPr="008C6922">
              <w:rPr>
                <w:b/>
                <w:bCs/>
                <w:sz w:val="20"/>
                <w:szCs w:val="20"/>
              </w:rPr>
              <w:fldChar w:fldCharType="begin"/>
            </w:r>
            <w:r w:rsidRPr="008C6922">
              <w:rPr>
                <w:b/>
                <w:bCs/>
                <w:sz w:val="20"/>
                <w:szCs w:val="20"/>
              </w:rPr>
              <w:instrText>NUMPAGES</w:instrText>
            </w:r>
            <w:r w:rsidRPr="008C6922">
              <w:rPr>
                <w:b/>
                <w:bCs/>
                <w:sz w:val="20"/>
                <w:szCs w:val="20"/>
              </w:rPr>
              <w:fldChar w:fldCharType="separate"/>
            </w:r>
            <w:r w:rsidR="00222560">
              <w:rPr>
                <w:b/>
                <w:bCs/>
                <w:noProof/>
                <w:sz w:val="20"/>
                <w:szCs w:val="20"/>
              </w:rPr>
              <w:t>4</w:t>
            </w:r>
            <w:r w:rsidRPr="008C692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444FA30" w14:textId="77777777" w:rsidR="00FB733D" w:rsidRPr="00FE615E" w:rsidRDefault="00FB733D" w:rsidP="00FE615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3AE270" w14:textId="77777777" w:rsidR="00DF0947" w:rsidRDefault="00DF0947" w:rsidP="007749BF">
      <w:pPr>
        <w:spacing w:after="0" w:line="240" w:lineRule="auto"/>
      </w:pPr>
      <w:r>
        <w:separator/>
      </w:r>
    </w:p>
  </w:footnote>
  <w:footnote w:type="continuationSeparator" w:id="0">
    <w:p w14:paraId="5DD93455" w14:textId="77777777" w:rsidR="00DF0947" w:rsidRDefault="00DF0947" w:rsidP="007749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DF7F5" w14:textId="77777777" w:rsidR="00FB733D" w:rsidRDefault="00FB733D" w:rsidP="007C0AD6">
    <w:pPr>
      <w:pStyle w:val="Cabealh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6224B"/>
    <w:multiLevelType w:val="hybridMultilevel"/>
    <w:tmpl w:val="22D0DAF2"/>
    <w:lvl w:ilvl="0" w:tplc="E7960A0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86A7E32"/>
    <w:multiLevelType w:val="multilevel"/>
    <w:tmpl w:val="295E8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087C3D4C"/>
    <w:multiLevelType w:val="multilevel"/>
    <w:tmpl w:val="76F066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13974369"/>
    <w:multiLevelType w:val="multilevel"/>
    <w:tmpl w:val="24DEDA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84E2076"/>
    <w:multiLevelType w:val="multilevel"/>
    <w:tmpl w:val="00DE85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nsid w:val="20B57BC3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1019B"/>
    <w:multiLevelType w:val="multilevel"/>
    <w:tmpl w:val="ADD43DC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B0A5140"/>
    <w:multiLevelType w:val="multilevel"/>
    <w:tmpl w:val="8EA0138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2B3B4452"/>
    <w:multiLevelType w:val="hybridMultilevel"/>
    <w:tmpl w:val="14CAFB8E"/>
    <w:lvl w:ilvl="0" w:tplc="5FAEFD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35165D8"/>
    <w:multiLevelType w:val="multilevel"/>
    <w:tmpl w:val="9EACA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nsid w:val="38067CEB"/>
    <w:multiLevelType w:val="multilevel"/>
    <w:tmpl w:val="1898F6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nsid w:val="4FD96B5E"/>
    <w:multiLevelType w:val="hybridMultilevel"/>
    <w:tmpl w:val="23B2E14A"/>
    <w:lvl w:ilvl="0" w:tplc="D4B25CB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28A3EE1"/>
    <w:multiLevelType w:val="multilevel"/>
    <w:tmpl w:val="F296F41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56570975"/>
    <w:multiLevelType w:val="multilevel"/>
    <w:tmpl w:val="132A71B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F273121"/>
    <w:multiLevelType w:val="hybridMultilevel"/>
    <w:tmpl w:val="52EA5ACE"/>
    <w:lvl w:ilvl="0" w:tplc="94A4FC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ED7B2D"/>
    <w:multiLevelType w:val="multilevel"/>
    <w:tmpl w:val="7FC654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nsid w:val="6F013B89"/>
    <w:multiLevelType w:val="hybridMultilevel"/>
    <w:tmpl w:val="3B68923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02079E"/>
    <w:multiLevelType w:val="hybridMultilevel"/>
    <w:tmpl w:val="52F4D3A2"/>
    <w:lvl w:ilvl="0" w:tplc="591844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8"/>
  </w:num>
  <w:num w:numId="5">
    <w:abstractNumId w:val="0"/>
  </w:num>
  <w:num w:numId="6">
    <w:abstractNumId w:val="5"/>
  </w:num>
  <w:num w:numId="7">
    <w:abstractNumId w:val="14"/>
  </w:num>
  <w:num w:numId="8">
    <w:abstractNumId w:val="9"/>
  </w:num>
  <w:num w:numId="9">
    <w:abstractNumId w:val="1"/>
  </w:num>
  <w:num w:numId="10">
    <w:abstractNumId w:val="7"/>
  </w:num>
  <w:num w:numId="11">
    <w:abstractNumId w:val="13"/>
  </w:num>
  <w:num w:numId="12">
    <w:abstractNumId w:val="6"/>
  </w:num>
  <w:num w:numId="13">
    <w:abstractNumId w:val="12"/>
  </w:num>
  <w:num w:numId="14">
    <w:abstractNumId w:val="4"/>
  </w:num>
  <w:num w:numId="15">
    <w:abstractNumId w:val="2"/>
  </w:num>
  <w:num w:numId="16">
    <w:abstractNumId w:val="15"/>
  </w:num>
  <w:num w:numId="17">
    <w:abstractNumId w:val="10"/>
  </w:num>
  <w:num w:numId="18">
    <w:abstractNumId w:val="17"/>
  </w:num>
  <w:num w:numId="19">
    <w:abstractNumId w:val="17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49BF"/>
    <w:rsid w:val="0000089E"/>
    <w:rsid w:val="000026B0"/>
    <w:rsid w:val="00015B8A"/>
    <w:rsid w:val="000256E4"/>
    <w:rsid w:val="00033B1D"/>
    <w:rsid w:val="00042CA2"/>
    <w:rsid w:val="000454FF"/>
    <w:rsid w:val="000529C5"/>
    <w:rsid w:val="00064D86"/>
    <w:rsid w:val="00065787"/>
    <w:rsid w:val="00070E48"/>
    <w:rsid w:val="00072D16"/>
    <w:rsid w:val="00073219"/>
    <w:rsid w:val="00074546"/>
    <w:rsid w:val="0007514C"/>
    <w:rsid w:val="00076301"/>
    <w:rsid w:val="0007771C"/>
    <w:rsid w:val="00080CEF"/>
    <w:rsid w:val="0009038A"/>
    <w:rsid w:val="00092E6B"/>
    <w:rsid w:val="000A1BAF"/>
    <w:rsid w:val="000C0C6B"/>
    <w:rsid w:val="000E4AE9"/>
    <w:rsid w:val="000E6641"/>
    <w:rsid w:val="000F2658"/>
    <w:rsid w:val="000F5B8A"/>
    <w:rsid w:val="00101135"/>
    <w:rsid w:val="0010216C"/>
    <w:rsid w:val="0010306F"/>
    <w:rsid w:val="001074D4"/>
    <w:rsid w:val="00121DA0"/>
    <w:rsid w:val="00137BEE"/>
    <w:rsid w:val="0015332C"/>
    <w:rsid w:val="00170108"/>
    <w:rsid w:val="00171DD7"/>
    <w:rsid w:val="00183463"/>
    <w:rsid w:val="00191E1D"/>
    <w:rsid w:val="001A6361"/>
    <w:rsid w:val="001C296B"/>
    <w:rsid w:val="001D14D8"/>
    <w:rsid w:val="001D708D"/>
    <w:rsid w:val="001D7967"/>
    <w:rsid w:val="001E15D4"/>
    <w:rsid w:val="001E349B"/>
    <w:rsid w:val="001F0951"/>
    <w:rsid w:val="00207EEB"/>
    <w:rsid w:val="00211733"/>
    <w:rsid w:val="00220B88"/>
    <w:rsid w:val="00221D36"/>
    <w:rsid w:val="00222560"/>
    <w:rsid w:val="002376C8"/>
    <w:rsid w:val="00243432"/>
    <w:rsid w:val="002436D4"/>
    <w:rsid w:val="00244090"/>
    <w:rsid w:val="002472DA"/>
    <w:rsid w:val="00257BC8"/>
    <w:rsid w:val="00265C5F"/>
    <w:rsid w:val="00275F74"/>
    <w:rsid w:val="0027763E"/>
    <w:rsid w:val="0028242D"/>
    <w:rsid w:val="002A7078"/>
    <w:rsid w:val="002B31AB"/>
    <w:rsid w:val="002D0068"/>
    <w:rsid w:val="002E3267"/>
    <w:rsid w:val="002E5423"/>
    <w:rsid w:val="0030066F"/>
    <w:rsid w:val="00307158"/>
    <w:rsid w:val="00307AF4"/>
    <w:rsid w:val="00312EFF"/>
    <w:rsid w:val="00316C6B"/>
    <w:rsid w:val="003271EE"/>
    <w:rsid w:val="00330A91"/>
    <w:rsid w:val="00331327"/>
    <w:rsid w:val="003372E5"/>
    <w:rsid w:val="0034352A"/>
    <w:rsid w:val="00346298"/>
    <w:rsid w:val="00350651"/>
    <w:rsid w:val="0035235D"/>
    <w:rsid w:val="00356563"/>
    <w:rsid w:val="003709CF"/>
    <w:rsid w:val="00373E7D"/>
    <w:rsid w:val="003744FA"/>
    <w:rsid w:val="0037726B"/>
    <w:rsid w:val="00380DEC"/>
    <w:rsid w:val="00390B41"/>
    <w:rsid w:val="003918B1"/>
    <w:rsid w:val="003B1B9A"/>
    <w:rsid w:val="003B6A3A"/>
    <w:rsid w:val="003C0E89"/>
    <w:rsid w:val="003C4333"/>
    <w:rsid w:val="003C6AE4"/>
    <w:rsid w:val="003D2ADD"/>
    <w:rsid w:val="003D5D71"/>
    <w:rsid w:val="003F3873"/>
    <w:rsid w:val="003F6435"/>
    <w:rsid w:val="003F75A4"/>
    <w:rsid w:val="004068E6"/>
    <w:rsid w:val="00406F49"/>
    <w:rsid w:val="00416ED8"/>
    <w:rsid w:val="00423646"/>
    <w:rsid w:val="004325BD"/>
    <w:rsid w:val="00434329"/>
    <w:rsid w:val="00455B2F"/>
    <w:rsid w:val="00462C91"/>
    <w:rsid w:val="00471571"/>
    <w:rsid w:val="00473C8F"/>
    <w:rsid w:val="00495FB3"/>
    <w:rsid w:val="004A25A1"/>
    <w:rsid w:val="004A6025"/>
    <w:rsid w:val="004B0790"/>
    <w:rsid w:val="004B4095"/>
    <w:rsid w:val="004B57FE"/>
    <w:rsid w:val="004C5F8F"/>
    <w:rsid w:val="004C686C"/>
    <w:rsid w:val="004C6CCA"/>
    <w:rsid w:val="004D0191"/>
    <w:rsid w:val="004E315C"/>
    <w:rsid w:val="004E66EA"/>
    <w:rsid w:val="004E73DA"/>
    <w:rsid w:val="004F1764"/>
    <w:rsid w:val="00507B3C"/>
    <w:rsid w:val="00514E09"/>
    <w:rsid w:val="005162F1"/>
    <w:rsid w:val="005201FD"/>
    <w:rsid w:val="00522830"/>
    <w:rsid w:val="0053462A"/>
    <w:rsid w:val="005375C7"/>
    <w:rsid w:val="00561F1D"/>
    <w:rsid w:val="005777F3"/>
    <w:rsid w:val="005909B6"/>
    <w:rsid w:val="005A3D72"/>
    <w:rsid w:val="005A5065"/>
    <w:rsid w:val="005B3C21"/>
    <w:rsid w:val="005C7903"/>
    <w:rsid w:val="005D28E8"/>
    <w:rsid w:val="005D70A7"/>
    <w:rsid w:val="005E3208"/>
    <w:rsid w:val="005E44ED"/>
    <w:rsid w:val="005F17F4"/>
    <w:rsid w:val="006007B6"/>
    <w:rsid w:val="006018CA"/>
    <w:rsid w:val="00604E51"/>
    <w:rsid w:val="006079FA"/>
    <w:rsid w:val="006179C0"/>
    <w:rsid w:val="00617F48"/>
    <w:rsid w:val="0062112B"/>
    <w:rsid w:val="00621244"/>
    <w:rsid w:val="0062193C"/>
    <w:rsid w:val="00623BFC"/>
    <w:rsid w:val="006244C6"/>
    <w:rsid w:val="00625E7B"/>
    <w:rsid w:val="00634ABE"/>
    <w:rsid w:val="006376A4"/>
    <w:rsid w:val="006418EA"/>
    <w:rsid w:val="00651B02"/>
    <w:rsid w:val="006560D2"/>
    <w:rsid w:val="00667F29"/>
    <w:rsid w:val="00683B91"/>
    <w:rsid w:val="00686940"/>
    <w:rsid w:val="0068757D"/>
    <w:rsid w:val="006955CA"/>
    <w:rsid w:val="006A2558"/>
    <w:rsid w:val="006A3C20"/>
    <w:rsid w:val="006A6462"/>
    <w:rsid w:val="006B1970"/>
    <w:rsid w:val="006B767B"/>
    <w:rsid w:val="006B7746"/>
    <w:rsid w:val="006C3B47"/>
    <w:rsid w:val="006D3C78"/>
    <w:rsid w:val="006D6D8B"/>
    <w:rsid w:val="006E09BE"/>
    <w:rsid w:val="006E0E7A"/>
    <w:rsid w:val="006E4AE3"/>
    <w:rsid w:val="006F5544"/>
    <w:rsid w:val="00701AC5"/>
    <w:rsid w:val="0070245C"/>
    <w:rsid w:val="0070253C"/>
    <w:rsid w:val="00710134"/>
    <w:rsid w:val="007333D5"/>
    <w:rsid w:val="00737E44"/>
    <w:rsid w:val="0074024D"/>
    <w:rsid w:val="00740674"/>
    <w:rsid w:val="0074149B"/>
    <w:rsid w:val="0074519E"/>
    <w:rsid w:val="007453FE"/>
    <w:rsid w:val="00766D3F"/>
    <w:rsid w:val="007674B6"/>
    <w:rsid w:val="007749BF"/>
    <w:rsid w:val="00780E2E"/>
    <w:rsid w:val="007A0036"/>
    <w:rsid w:val="007B0CC3"/>
    <w:rsid w:val="007B1678"/>
    <w:rsid w:val="007B3082"/>
    <w:rsid w:val="007B53E2"/>
    <w:rsid w:val="007B688F"/>
    <w:rsid w:val="007C04D4"/>
    <w:rsid w:val="007C0AD6"/>
    <w:rsid w:val="007C6D3C"/>
    <w:rsid w:val="007C7FE0"/>
    <w:rsid w:val="007D054D"/>
    <w:rsid w:val="007D1C86"/>
    <w:rsid w:val="007D35F4"/>
    <w:rsid w:val="007D795E"/>
    <w:rsid w:val="007E11D0"/>
    <w:rsid w:val="007E4EB6"/>
    <w:rsid w:val="007E616D"/>
    <w:rsid w:val="007F4227"/>
    <w:rsid w:val="007F5EE7"/>
    <w:rsid w:val="00816869"/>
    <w:rsid w:val="00817942"/>
    <w:rsid w:val="00820C6C"/>
    <w:rsid w:val="008252C9"/>
    <w:rsid w:val="00831BA2"/>
    <w:rsid w:val="00832B4F"/>
    <w:rsid w:val="00833D5F"/>
    <w:rsid w:val="00834529"/>
    <w:rsid w:val="008366B3"/>
    <w:rsid w:val="008421E9"/>
    <w:rsid w:val="00856979"/>
    <w:rsid w:val="00867234"/>
    <w:rsid w:val="0087720A"/>
    <w:rsid w:val="00880984"/>
    <w:rsid w:val="00881943"/>
    <w:rsid w:val="00881CD5"/>
    <w:rsid w:val="00886FF2"/>
    <w:rsid w:val="00890B63"/>
    <w:rsid w:val="008952DC"/>
    <w:rsid w:val="00896CBE"/>
    <w:rsid w:val="008A00A0"/>
    <w:rsid w:val="008A0624"/>
    <w:rsid w:val="008A4EC4"/>
    <w:rsid w:val="008B68FE"/>
    <w:rsid w:val="008B6F80"/>
    <w:rsid w:val="008C1B02"/>
    <w:rsid w:val="008C422F"/>
    <w:rsid w:val="008C6922"/>
    <w:rsid w:val="008E6F53"/>
    <w:rsid w:val="008F7BE0"/>
    <w:rsid w:val="00900AFB"/>
    <w:rsid w:val="0090547D"/>
    <w:rsid w:val="00907543"/>
    <w:rsid w:val="009162EE"/>
    <w:rsid w:val="00925BC1"/>
    <w:rsid w:val="00933C24"/>
    <w:rsid w:val="009340AA"/>
    <w:rsid w:val="009504D3"/>
    <w:rsid w:val="00956C07"/>
    <w:rsid w:val="00970A35"/>
    <w:rsid w:val="00970B53"/>
    <w:rsid w:val="0097655C"/>
    <w:rsid w:val="0098365A"/>
    <w:rsid w:val="00984875"/>
    <w:rsid w:val="00990C19"/>
    <w:rsid w:val="009922E8"/>
    <w:rsid w:val="009B6A8F"/>
    <w:rsid w:val="009B7B55"/>
    <w:rsid w:val="009D3C32"/>
    <w:rsid w:val="009D4436"/>
    <w:rsid w:val="009D73CA"/>
    <w:rsid w:val="009E3AED"/>
    <w:rsid w:val="009E79EE"/>
    <w:rsid w:val="009F02D5"/>
    <w:rsid w:val="009F717F"/>
    <w:rsid w:val="00A03E7D"/>
    <w:rsid w:val="00A04F4C"/>
    <w:rsid w:val="00A1185C"/>
    <w:rsid w:val="00A2029E"/>
    <w:rsid w:val="00A242D6"/>
    <w:rsid w:val="00A25DDA"/>
    <w:rsid w:val="00A34781"/>
    <w:rsid w:val="00A35329"/>
    <w:rsid w:val="00A3604B"/>
    <w:rsid w:val="00A456F3"/>
    <w:rsid w:val="00A63BF4"/>
    <w:rsid w:val="00A63DA1"/>
    <w:rsid w:val="00A66706"/>
    <w:rsid w:val="00A70942"/>
    <w:rsid w:val="00A70A52"/>
    <w:rsid w:val="00A72C59"/>
    <w:rsid w:val="00A75EDA"/>
    <w:rsid w:val="00A80B83"/>
    <w:rsid w:val="00A8295B"/>
    <w:rsid w:val="00A82D5C"/>
    <w:rsid w:val="00A90655"/>
    <w:rsid w:val="00A945BC"/>
    <w:rsid w:val="00AA72AB"/>
    <w:rsid w:val="00AB7C99"/>
    <w:rsid w:val="00AC5B87"/>
    <w:rsid w:val="00AC6AB9"/>
    <w:rsid w:val="00AD272D"/>
    <w:rsid w:val="00AD3333"/>
    <w:rsid w:val="00AD4E86"/>
    <w:rsid w:val="00AD63A0"/>
    <w:rsid w:val="00AE610A"/>
    <w:rsid w:val="00AF2920"/>
    <w:rsid w:val="00AF6A61"/>
    <w:rsid w:val="00B1507F"/>
    <w:rsid w:val="00B3215D"/>
    <w:rsid w:val="00B3247D"/>
    <w:rsid w:val="00B327C3"/>
    <w:rsid w:val="00B44DD7"/>
    <w:rsid w:val="00B478C3"/>
    <w:rsid w:val="00B47CAE"/>
    <w:rsid w:val="00B50975"/>
    <w:rsid w:val="00B53892"/>
    <w:rsid w:val="00B559C5"/>
    <w:rsid w:val="00B70F15"/>
    <w:rsid w:val="00B72B92"/>
    <w:rsid w:val="00B74C9C"/>
    <w:rsid w:val="00B754EA"/>
    <w:rsid w:val="00B84FA5"/>
    <w:rsid w:val="00B90DC7"/>
    <w:rsid w:val="00BB5E60"/>
    <w:rsid w:val="00BC33A4"/>
    <w:rsid w:val="00BC49EF"/>
    <w:rsid w:val="00BD05A1"/>
    <w:rsid w:val="00BD6BE5"/>
    <w:rsid w:val="00BE204C"/>
    <w:rsid w:val="00C00BBA"/>
    <w:rsid w:val="00C07AB8"/>
    <w:rsid w:val="00C10097"/>
    <w:rsid w:val="00C10655"/>
    <w:rsid w:val="00C116D1"/>
    <w:rsid w:val="00C16B30"/>
    <w:rsid w:val="00C16CEA"/>
    <w:rsid w:val="00C30D16"/>
    <w:rsid w:val="00C314C9"/>
    <w:rsid w:val="00C35491"/>
    <w:rsid w:val="00C3556B"/>
    <w:rsid w:val="00C366B0"/>
    <w:rsid w:val="00C41584"/>
    <w:rsid w:val="00C46394"/>
    <w:rsid w:val="00C50CC1"/>
    <w:rsid w:val="00C57F01"/>
    <w:rsid w:val="00C65F7C"/>
    <w:rsid w:val="00C84B54"/>
    <w:rsid w:val="00C94D62"/>
    <w:rsid w:val="00CA2F7B"/>
    <w:rsid w:val="00CB30F5"/>
    <w:rsid w:val="00CB6FBA"/>
    <w:rsid w:val="00CD5A3F"/>
    <w:rsid w:val="00CE2056"/>
    <w:rsid w:val="00CE42F8"/>
    <w:rsid w:val="00CF47E7"/>
    <w:rsid w:val="00D0072D"/>
    <w:rsid w:val="00D0766B"/>
    <w:rsid w:val="00D12C09"/>
    <w:rsid w:val="00D2450E"/>
    <w:rsid w:val="00D25239"/>
    <w:rsid w:val="00D25DE4"/>
    <w:rsid w:val="00D27F8D"/>
    <w:rsid w:val="00D377BC"/>
    <w:rsid w:val="00D40E02"/>
    <w:rsid w:val="00D54B70"/>
    <w:rsid w:val="00D61281"/>
    <w:rsid w:val="00D627F8"/>
    <w:rsid w:val="00D6284B"/>
    <w:rsid w:val="00D77CA1"/>
    <w:rsid w:val="00D80F74"/>
    <w:rsid w:val="00D81EF0"/>
    <w:rsid w:val="00D927BD"/>
    <w:rsid w:val="00D930C4"/>
    <w:rsid w:val="00D965CC"/>
    <w:rsid w:val="00DA4377"/>
    <w:rsid w:val="00DA502B"/>
    <w:rsid w:val="00DA67CF"/>
    <w:rsid w:val="00DB6180"/>
    <w:rsid w:val="00DC63A6"/>
    <w:rsid w:val="00DC6DEE"/>
    <w:rsid w:val="00DD1BD1"/>
    <w:rsid w:val="00DD582D"/>
    <w:rsid w:val="00DD6307"/>
    <w:rsid w:val="00DE455D"/>
    <w:rsid w:val="00DF0947"/>
    <w:rsid w:val="00DF6AC7"/>
    <w:rsid w:val="00E00284"/>
    <w:rsid w:val="00E210C1"/>
    <w:rsid w:val="00E35955"/>
    <w:rsid w:val="00E47AAA"/>
    <w:rsid w:val="00E518FE"/>
    <w:rsid w:val="00E61EFA"/>
    <w:rsid w:val="00E65297"/>
    <w:rsid w:val="00E74196"/>
    <w:rsid w:val="00E820FB"/>
    <w:rsid w:val="00E9249A"/>
    <w:rsid w:val="00E94BEE"/>
    <w:rsid w:val="00EA3428"/>
    <w:rsid w:val="00EA65F9"/>
    <w:rsid w:val="00EB0284"/>
    <w:rsid w:val="00EB3032"/>
    <w:rsid w:val="00EB4B46"/>
    <w:rsid w:val="00EC3200"/>
    <w:rsid w:val="00ED0830"/>
    <w:rsid w:val="00ED6BA8"/>
    <w:rsid w:val="00EE36A3"/>
    <w:rsid w:val="00EF4BE1"/>
    <w:rsid w:val="00F026F8"/>
    <w:rsid w:val="00F17FAA"/>
    <w:rsid w:val="00F27228"/>
    <w:rsid w:val="00F30286"/>
    <w:rsid w:val="00F41AE4"/>
    <w:rsid w:val="00F42747"/>
    <w:rsid w:val="00F42D32"/>
    <w:rsid w:val="00F516DE"/>
    <w:rsid w:val="00F53EFF"/>
    <w:rsid w:val="00F63F52"/>
    <w:rsid w:val="00F65197"/>
    <w:rsid w:val="00F76BF3"/>
    <w:rsid w:val="00F77521"/>
    <w:rsid w:val="00F82F98"/>
    <w:rsid w:val="00F8668A"/>
    <w:rsid w:val="00F913F2"/>
    <w:rsid w:val="00F943BE"/>
    <w:rsid w:val="00F94E11"/>
    <w:rsid w:val="00F95DBE"/>
    <w:rsid w:val="00FB3786"/>
    <w:rsid w:val="00FB733D"/>
    <w:rsid w:val="00FC0704"/>
    <w:rsid w:val="00FC4C7B"/>
    <w:rsid w:val="00FC74D2"/>
    <w:rsid w:val="00FD413F"/>
    <w:rsid w:val="00FD45AD"/>
    <w:rsid w:val="00FE1A6D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E74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Default">
    <w:name w:val="Default"/>
    <w:rsid w:val="006A3C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3C20"/>
    <w:rPr>
      <w:rFonts w:ascii="Times New Roman" w:eastAsia="Times New Roman" w:hAnsi="Times New Roman" w:cs="Times New Roman"/>
      <w:lang w:val="pt-PT"/>
    </w:rPr>
  </w:style>
  <w:style w:type="paragraph" w:customStyle="1" w:styleId="TextosemFormatao2">
    <w:name w:val="Texto sem Formatação2"/>
    <w:basedOn w:val="Normal"/>
    <w:rsid w:val="00092E6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agrafoNormal">
    <w:name w:val="Paragrafo Normal"/>
    <w:basedOn w:val="Normal"/>
    <w:uiPriority w:val="99"/>
    <w:rsid w:val="00B72B92"/>
    <w:pPr>
      <w:suppressAutoHyphens/>
      <w:spacing w:before="120" w:after="120" w:line="360" w:lineRule="auto"/>
      <w:ind w:left="426"/>
      <w:jc w:val="both"/>
    </w:pPr>
    <w:rPr>
      <w:rFonts w:eastAsia="Times New Roman"/>
      <w:color w:val="0000FF"/>
      <w:lang w:eastAsia="pt-BR"/>
    </w:rPr>
  </w:style>
  <w:style w:type="table" w:customStyle="1" w:styleId="GridTableLight">
    <w:name w:val="Grid Table Light"/>
    <w:basedOn w:val="Tabelanormal"/>
    <w:uiPriority w:val="40"/>
    <w:rsid w:val="00B72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E02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D40E0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A50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A50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49BF"/>
  </w:style>
  <w:style w:type="paragraph" w:styleId="Rodap">
    <w:name w:val="footer"/>
    <w:basedOn w:val="Normal"/>
    <w:link w:val="RodapChar"/>
    <w:uiPriority w:val="99"/>
    <w:unhideWhenUsed/>
    <w:rsid w:val="007749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49BF"/>
  </w:style>
  <w:style w:type="paragraph" w:styleId="Textodebalo">
    <w:name w:val="Balloon Text"/>
    <w:basedOn w:val="Normal"/>
    <w:link w:val="TextodebaloChar"/>
    <w:uiPriority w:val="99"/>
    <w:semiHidden/>
    <w:unhideWhenUsed/>
    <w:rsid w:val="00774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49BF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7749BF"/>
  </w:style>
  <w:style w:type="paragraph" w:styleId="PargrafodaLista">
    <w:name w:val="List Paragraph"/>
    <w:basedOn w:val="Normal"/>
    <w:uiPriority w:val="1"/>
    <w:qFormat/>
    <w:rsid w:val="00170108"/>
    <w:pPr>
      <w:ind w:left="720"/>
      <w:contextualSpacing/>
    </w:pPr>
  </w:style>
  <w:style w:type="table" w:styleId="Tabelacomgrade">
    <w:name w:val="Table Grid"/>
    <w:basedOn w:val="Tabelanormal"/>
    <w:uiPriority w:val="59"/>
    <w:rsid w:val="007B0C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D1C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7D35F4"/>
    <w:rPr>
      <w:color w:val="808080"/>
    </w:rPr>
  </w:style>
  <w:style w:type="paragraph" w:customStyle="1" w:styleId="Default">
    <w:name w:val="Default"/>
    <w:rsid w:val="006A3C2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</w:rPr>
  </w:style>
  <w:style w:type="paragraph" w:styleId="Corpodetexto">
    <w:name w:val="Body Text"/>
    <w:basedOn w:val="Normal"/>
    <w:link w:val="CorpodetextoChar"/>
    <w:uiPriority w:val="1"/>
    <w:qFormat/>
    <w:rsid w:val="006A3C2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A3C20"/>
    <w:rPr>
      <w:rFonts w:ascii="Times New Roman" w:eastAsia="Times New Roman" w:hAnsi="Times New Roman" w:cs="Times New Roman"/>
      <w:lang w:val="pt-PT"/>
    </w:rPr>
  </w:style>
  <w:style w:type="paragraph" w:customStyle="1" w:styleId="TextosemFormatao2">
    <w:name w:val="Texto sem Formatação2"/>
    <w:basedOn w:val="Normal"/>
    <w:rsid w:val="00092E6B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ParagrafoNormal">
    <w:name w:val="Paragrafo Normal"/>
    <w:basedOn w:val="Normal"/>
    <w:uiPriority w:val="99"/>
    <w:rsid w:val="00B72B92"/>
    <w:pPr>
      <w:suppressAutoHyphens/>
      <w:spacing w:before="120" w:after="120" w:line="360" w:lineRule="auto"/>
      <w:ind w:left="426"/>
      <w:jc w:val="both"/>
    </w:pPr>
    <w:rPr>
      <w:rFonts w:eastAsia="Times New Roman"/>
      <w:color w:val="0000FF"/>
      <w:lang w:eastAsia="pt-BR"/>
    </w:rPr>
  </w:style>
  <w:style w:type="table" w:customStyle="1" w:styleId="GridTableLight">
    <w:name w:val="Grid Table Light"/>
    <w:basedOn w:val="Tabelanormal"/>
    <w:uiPriority w:val="40"/>
    <w:rsid w:val="00B72B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40E02"/>
    <w:pPr>
      <w:widowControl w:val="0"/>
      <w:autoSpaceDE w:val="0"/>
      <w:autoSpaceDN w:val="0"/>
      <w:spacing w:after="0" w:line="240" w:lineRule="auto"/>
    </w:pPr>
    <w:rPr>
      <w:rFonts w:eastAsia="Arial"/>
      <w:sz w:val="22"/>
      <w:szCs w:val="22"/>
      <w:lang w:val="pt-PT"/>
    </w:rPr>
  </w:style>
  <w:style w:type="table" w:customStyle="1" w:styleId="TableNormal">
    <w:name w:val="Table Normal"/>
    <w:uiPriority w:val="2"/>
    <w:semiHidden/>
    <w:qFormat/>
    <w:rsid w:val="00D40E02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DA502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DA50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0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32EAC-906F-42C1-B09D-C831B77DA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1839</Words>
  <Characters>9932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2021-09-15T17:00:00Z</cp:lastPrinted>
  <dcterms:created xsi:type="dcterms:W3CDTF">2021-09-27T16:45:00Z</dcterms:created>
  <dcterms:modified xsi:type="dcterms:W3CDTF">2021-09-27T16:45:00Z</dcterms:modified>
</cp:coreProperties>
</file>