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EA67A0" w:rsidRPr="00401075" w:rsidTr="00AB70FE">
        <w:trPr>
          <w:trHeight w:val="1270"/>
        </w:trPr>
        <w:tc>
          <w:tcPr>
            <w:tcW w:w="1668" w:type="dxa"/>
            <w:tcBorders>
              <w:top w:val="single" w:sz="4" w:space="0" w:color="auto"/>
              <w:left w:val="single" w:sz="4" w:space="0" w:color="auto"/>
              <w:bottom w:val="single" w:sz="4" w:space="0" w:color="auto"/>
              <w:right w:val="nil"/>
            </w:tcBorders>
            <w:vAlign w:val="center"/>
            <w:hideMark/>
          </w:tcPr>
          <w:p w:rsidR="00EA67A0" w:rsidRPr="00401075" w:rsidRDefault="00EA67A0" w:rsidP="00AB70FE">
            <w:pPr>
              <w:pStyle w:val="Cabealho"/>
              <w:jc w:val="center"/>
              <w:rPr>
                <w:sz w:val="20"/>
                <w:szCs w:val="20"/>
              </w:rPr>
            </w:pPr>
            <w:r w:rsidRPr="00401075">
              <w:rPr>
                <w:noProof/>
                <w:sz w:val="20"/>
                <w:szCs w:val="20"/>
                <w:lang w:eastAsia="pt-BR"/>
              </w:rPr>
              <w:drawing>
                <wp:inline distT="0" distB="0" distL="0" distR="0" wp14:anchorId="7E8BF427" wp14:editId="5A22654B">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EA67A0" w:rsidRPr="00401075" w:rsidRDefault="00EA67A0" w:rsidP="00AB70FE">
            <w:pPr>
              <w:pStyle w:val="Cabealho"/>
              <w:rPr>
                <w:b/>
                <w:sz w:val="20"/>
                <w:szCs w:val="20"/>
              </w:rPr>
            </w:pPr>
            <w:r w:rsidRPr="00401075">
              <w:rPr>
                <w:b/>
                <w:sz w:val="20"/>
                <w:szCs w:val="20"/>
              </w:rPr>
              <w:t>Prefeitura Municipal de Venda Nova do Imigrante</w:t>
            </w:r>
          </w:p>
          <w:p w:rsidR="00EA67A0" w:rsidRPr="00401075" w:rsidRDefault="00EA67A0" w:rsidP="00AB70FE">
            <w:pPr>
              <w:pStyle w:val="Cabealho"/>
              <w:rPr>
                <w:b/>
                <w:sz w:val="20"/>
                <w:szCs w:val="20"/>
              </w:rPr>
            </w:pPr>
          </w:p>
          <w:p w:rsidR="00EA67A0" w:rsidRPr="00401075" w:rsidRDefault="00EA67A0" w:rsidP="00AB70FE">
            <w:pPr>
              <w:pStyle w:val="Rodap"/>
              <w:rPr>
                <w:b/>
                <w:sz w:val="20"/>
                <w:szCs w:val="20"/>
              </w:rPr>
            </w:pP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r>
            <w:r w:rsidRPr="00401075">
              <w:rPr>
                <w:b/>
                <w:sz w:val="20"/>
                <w:szCs w:val="20"/>
              </w:rPr>
              <w:softHyphen/>
              <w:t>Av. Evandi Américo Comarela, 385, Esplanada, Venda Nova do Imigrante/ES, CNPJ nº 31.723.497/0001-08 - CEP: 29375-000  - Telefone: (28) 3546-1188</w:t>
            </w:r>
          </w:p>
        </w:tc>
      </w:tr>
    </w:tbl>
    <w:p w:rsidR="00EA67A0" w:rsidRPr="00401075" w:rsidRDefault="00EA67A0" w:rsidP="00EA67A0">
      <w:pPr>
        <w:spacing w:after="0" w:line="240" w:lineRule="auto"/>
        <w:jc w:val="both"/>
        <w:rPr>
          <w:sz w:val="20"/>
          <w:szCs w:val="20"/>
        </w:rPr>
      </w:pPr>
    </w:p>
    <w:tbl>
      <w:tblPr>
        <w:tblStyle w:val="Tabelacomgrade"/>
        <w:tblpPr w:leftFromText="141" w:rightFromText="141" w:vertAnchor="text" w:tblpY="1"/>
        <w:tblOverlap w:val="never"/>
        <w:tblW w:w="0" w:type="auto"/>
        <w:tblLook w:val="04A0" w:firstRow="1" w:lastRow="0" w:firstColumn="1" w:lastColumn="0" w:noHBand="0" w:noVBand="1"/>
      </w:tblPr>
      <w:tblGrid>
        <w:gridCol w:w="8720"/>
      </w:tblGrid>
      <w:tr w:rsidR="00EA67A0" w:rsidRPr="00401075" w:rsidTr="00AB70FE">
        <w:trPr>
          <w:trHeight w:val="558"/>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67A0" w:rsidRPr="00401075" w:rsidRDefault="00EA67A0" w:rsidP="00AB70FE">
            <w:pPr>
              <w:jc w:val="center"/>
              <w:rPr>
                <w:b/>
                <w:sz w:val="20"/>
                <w:szCs w:val="20"/>
              </w:rPr>
            </w:pPr>
            <w:r w:rsidRPr="00401075">
              <w:rPr>
                <w:b/>
                <w:sz w:val="20"/>
                <w:szCs w:val="20"/>
              </w:rPr>
              <w:t>ESTUDO TÉCNICO PRELIMINAR</w:t>
            </w:r>
          </w:p>
        </w:tc>
      </w:tr>
      <w:tr w:rsidR="00EA67A0" w:rsidRPr="00401075" w:rsidTr="00AB70FE">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EA67A0" w:rsidRPr="00EA67A0" w:rsidRDefault="00EA67A0" w:rsidP="00EA67A0">
            <w:pPr>
              <w:autoSpaceDE w:val="0"/>
              <w:autoSpaceDN w:val="0"/>
              <w:adjustRightInd w:val="0"/>
              <w:rPr>
                <w:rFonts w:ascii="ArialMT" w:hAnsi="ArialMT" w:cs="ArialMT"/>
                <w:sz w:val="20"/>
                <w:szCs w:val="20"/>
              </w:rPr>
            </w:pPr>
            <w:r w:rsidRPr="00EA67A0">
              <w:rPr>
                <w:sz w:val="20"/>
                <w:szCs w:val="20"/>
              </w:rPr>
              <w:t xml:space="preserve">Este Estudo Técnico Preliminar - ETP - tem como objetivo assegurar a viabilidade técnica e a razoabilidade da contratação pública, para a </w:t>
            </w:r>
            <w:r>
              <w:rPr>
                <w:sz w:val="20"/>
                <w:szCs w:val="20"/>
              </w:rPr>
              <w:t xml:space="preserve"> </w:t>
            </w:r>
            <w:r w:rsidRPr="00EA67A0">
              <w:rPr>
                <w:b/>
                <w:sz w:val="20"/>
                <w:szCs w:val="20"/>
              </w:rPr>
              <w:t>AQUISIÇÃO  DE  PARQUE INFANTIL COLORIDO</w:t>
            </w:r>
            <w:r w:rsidRPr="00EA67A0">
              <w:rPr>
                <w:sz w:val="20"/>
                <w:szCs w:val="20"/>
              </w:rPr>
              <w:t xml:space="preserve">, </w:t>
            </w:r>
            <w:r w:rsidRPr="00EA67A0">
              <w:rPr>
                <w:b/>
                <w:bCs/>
                <w:sz w:val="20"/>
                <w:szCs w:val="20"/>
              </w:rPr>
              <w:t xml:space="preserve"> CONTEMPLANDO O FORNECIMENTO, TR</w:t>
            </w:r>
            <w:r>
              <w:rPr>
                <w:b/>
                <w:bCs/>
                <w:sz w:val="20"/>
                <w:szCs w:val="20"/>
              </w:rPr>
              <w:t>ANSPORTE, MONTAGEM E INSTALAÇÃO</w:t>
            </w:r>
            <w:r w:rsidR="00E32C17">
              <w:rPr>
                <w:b/>
                <w:bCs/>
                <w:sz w:val="20"/>
                <w:szCs w:val="20"/>
              </w:rPr>
              <w:t xml:space="preserve"> </w:t>
            </w:r>
            <w:r w:rsidRPr="00EA67A0">
              <w:rPr>
                <w:b/>
                <w:bCs/>
                <w:sz w:val="20"/>
                <w:szCs w:val="20"/>
              </w:rPr>
              <w:t>DOS MESMOS</w:t>
            </w:r>
            <w:r>
              <w:rPr>
                <w:b/>
                <w:bCs/>
                <w:sz w:val="20"/>
                <w:szCs w:val="20"/>
              </w:rPr>
              <w:t xml:space="preserve">, </w:t>
            </w:r>
            <w:r>
              <w:rPr>
                <w:rFonts w:ascii="ArialMT" w:hAnsi="ArialMT" w:cs="ArialMT"/>
                <w:sz w:val="20"/>
                <w:szCs w:val="20"/>
              </w:rPr>
              <w:t xml:space="preserve"> para atender as demandas de parques e praças municipais, entidades educacionais das redes públicas de ensino municipal bem como demais espaços públicos municipais</w:t>
            </w:r>
            <w:r>
              <w:rPr>
                <w:rFonts w:ascii="ArialMT" w:hAnsi="ArialMT" w:cs="ArialMT"/>
                <w:sz w:val="22"/>
                <w:szCs w:val="22"/>
              </w:rPr>
              <w:t>.</w:t>
            </w:r>
            <w:r w:rsidRPr="00EA67A0">
              <w:rPr>
                <w:sz w:val="20"/>
                <w:szCs w:val="20"/>
              </w:rPr>
              <w:t xml:space="preserve">   servindo como base para a elaboração </w:t>
            </w:r>
            <w:r w:rsidRPr="00AF181C">
              <w:rPr>
                <w:sz w:val="20"/>
                <w:szCs w:val="20"/>
              </w:rPr>
              <w:t>do Termo de Referência, de acordo com a Lei 8.666/1993, art. 6º, inciso IX.</w:t>
            </w:r>
          </w:p>
        </w:tc>
      </w:tr>
    </w:tbl>
    <w:tbl>
      <w:tblPr>
        <w:tblStyle w:val="Tabelacomgrade"/>
        <w:tblW w:w="0" w:type="auto"/>
        <w:tblLook w:val="04A0" w:firstRow="1" w:lastRow="0" w:firstColumn="1" w:lastColumn="0" w:noHBand="0" w:noVBand="1"/>
      </w:tblPr>
      <w:tblGrid>
        <w:gridCol w:w="4261"/>
        <w:gridCol w:w="4459"/>
      </w:tblGrid>
      <w:tr w:rsidR="00EA67A0" w:rsidRPr="00401075" w:rsidTr="00AB70FE">
        <w:trPr>
          <w:trHeight w:val="403"/>
        </w:trPr>
        <w:tc>
          <w:tcPr>
            <w:tcW w:w="4361" w:type="dxa"/>
            <w:tcBorders>
              <w:top w:val="single" w:sz="4" w:space="0" w:color="auto"/>
              <w:left w:val="single" w:sz="4" w:space="0" w:color="auto"/>
              <w:bottom w:val="single" w:sz="4" w:space="0" w:color="auto"/>
              <w:right w:val="single" w:sz="4" w:space="0" w:color="auto"/>
            </w:tcBorders>
            <w:vAlign w:val="center"/>
            <w:hideMark/>
          </w:tcPr>
          <w:p w:rsidR="00EA67A0" w:rsidRPr="00401075" w:rsidRDefault="00EA67A0" w:rsidP="00AB70FE">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A67A0" w:rsidRPr="00401075" w:rsidRDefault="00EA67A0" w:rsidP="00547D60">
            <w:pPr>
              <w:jc w:val="center"/>
              <w:rPr>
                <w:b/>
                <w:sz w:val="20"/>
                <w:szCs w:val="20"/>
              </w:rPr>
            </w:pPr>
            <w:r w:rsidRPr="00401075">
              <w:rPr>
                <w:b/>
                <w:sz w:val="20"/>
                <w:szCs w:val="20"/>
              </w:rPr>
              <w:t xml:space="preserve">Data da </w:t>
            </w:r>
            <w:r w:rsidRPr="00547D60">
              <w:rPr>
                <w:b/>
                <w:sz w:val="20"/>
                <w:szCs w:val="20"/>
              </w:rPr>
              <w:t xml:space="preserve">Elaboração: </w:t>
            </w:r>
            <w:r w:rsidR="00547D60" w:rsidRPr="00547D60">
              <w:rPr>
                <w:b/>
                <w:sz w:val="20"/>
                <w:szCs w:val="20"/>
              </w:rPr>
              <w:t>31/08/2021</w:t>
            </w:r>
          </w:p>
        </w:tc>
      </w:tr>
      <w:tr w:rsidR="00EA67A0" w:rsidRPr="00401075" w:rsidTr="00AB70FE">
        <w:tc>
          <w:tcPr>
            <w:tcW w:w="8897" w:type="dxa"/>
            <w:gridSpan w:val="2"/>
            <w:tcBorders>
              <w:top w:val="single" w:sz="4" w:space="0" w:color="auto"/>
              <w:left w:val="single" w:sz="4" w:space="0" w:color="auto"/>
              <w:bottom w:val="single" w:sz="4" w:space="0" w:color="auto"/>
              <w:right w:val="single" w:sz="4" w:space="0" w:color="auto"/>
            </w:tcBorders>
            <w:vAlign w:val="center"/>
          </w:tcPr>
          <w:p w:rsidR="00EA67A0" w:rsidRPr="00401075" w:rsidRDefault="00EA67A0" w:rsidP="00AB70FE">
            <w:pPr>
              <w:jc w:val="both"/>
              <w:rPr>
                <w:b/>
                <w:sz w:val="20"/>
                <w:szCs w:val="20"/>
              </w:rPr>
            </w:pPr>
            <w:r w:rsidRPr="00401075">
              <w:rPr>
                <w:b/>
                <w:sz w:val="20"/>
                <w:szCs w:val="20"/>
              </w:rPr>
              <w:t>Secretaria/servidor responsável:</w:t>
            </w:r>
          </w:p>
          <w:p w:rsidR="00EA67A0" w:rsidRPr="0035581F" w:rsidRDefault="00EA67A0" w:rsidP="00EA67A0">
            <w:pPr>
              <w:pStyle w:val="PargrafodaLista"/>
              <w:numPr>
                <w:ilvl w:val="0"/>
                <w:numId w:val="1"/>
              </w:numPr>
              <w:jc w:val="both"/>
              <w:rPr>
                <w:b/>
                <w:bCs/>
                <w:sz w:val="20"/>
                <w:szCs w:val="20"/>
              </w:rPr>
            </w:pPr>
            <w:r>
              <w:rPr>
                <w:b/>
                <w:bCs/>
                <w:sz w:val="20"/>
                <w:szCs w:val="20"/>
              </w:rPr>
              <w:t xml:space="preserve">Educação e Esporte </w:t>
            </w:r>
          </w:p>
        </w:tc>
      </w:tr>
    </w:tbl>
    <w:p w:rsidR="00EA67A0" w:rsidRPr="00401075" w:rsidRDefault="00EA67A0" w:rsidP="00EA67A0">
      <w:pPr>
        <w:spacing w:after="0" w:line="240" w:lineRule="auto"/>
        <w:jc w:val="center"/>
        <w:rPr>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1. DESCRIÇÃO DA NECESSIDADE</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916928" w:rsidRPr="00916928" w:rsidRDefault="00916928" w:rsidP="00624FBC">
            <w:pPr>
              <w:autoSpaceDE w:val="0"/>
              <w:autoSpaceDN w:val="0"/>
              <w:adjustRightInd w:val="0"/>
              <w:jc w:val="both"/>
              <w:rPr>
                <w:sz w:val="20"/>
                <w:szCs w:val="20"/>
              </w:rPr>
            </w:pPr>
          </w:p>
          <w:p w:rsidR="00916928" w:rsidRDefault="00916928" w:rsidP="00624FBC">
            <w:pPr>
              <w:autoSpaceDE w:val="0"/>
              <w:autoSpaceDN w:val="0"/>
              <w:adjustRightInd w:val="0"/>
              <w:jc w:val="both"/>
              <w:rPr>
                <w:sz w:val="20"/>
                <w:szCs w:val="20"/>
              </w:rPr>
            </w:pPr>
            <w:r w:rsidRPr="00916928">
              <w:rPr>
                <w:sz w:val="20"/>
                <w:szCs w:val="20"/>
              </w:rPr>
              <w:t>A brincadeira na vida da criança, muito mais que uma simples forma de passar o tempo, constituise em seu modo fundamental de interagir com o mundo e com as pessoas que a cercam. É através do brincar que ela explora, satisfaz suas curiosidades, soluciona problemas e constrói o seu conhecimento acerca do meio em que vive. É premissa básica criar condições para que a criança cresça em um ambiente saudável no sentido de gerar recursos necessários para desenvolver o seu potencial como ser humano, oferecendo boas oportunidades de habitação, saúde, educação e também para o brincar. Para tanto, os espaços destinados às crianças devem sempre ser estimulantes para todos os seus sentidos e para a sua imaginação, apresentando possibilidades diferentes de ação para contribuir com o desenvolvimento de suas habilidades e estimular sua criatividade. O parque infantil público é um equipamento urbano que foi concebido no fim do século XIX com o objetivo de promover atividades de recreação especialmente direcionadas ao público infantil.</w:t>
            </w:r>
          </w:p>
          <w:p w:rsidR="00916928" w:rsidRDefault="00916928" w:rsidP="00916928">
            <w:pPr>
              <w:autoSpaceDE w:val="0"/>
              <w:autoSpaceDN w:val="0"/>
              <w:adjustRightInd w:val="0"/>
              <w:jc w:val="both"/>
              <w:rPr>
                <w:sz w:val="20"/>
                <w:szCs w:val="20"/>
              </w:rPr>
            </w:pPr>
          </w:p>
          <w:p w:rsidR="00B71120" w:rsidRDefault="00B71120" w:rsidP="00B71120">
            <w:pPr>
              <w:autoSpaceDE w:val="0"/>
              <w:autoSpaceDN w:val="0"/>
              <w:adjustRightInd w:val="0"/>
              <w:jc w:val="both"/>
              <w:rPr>
                <w:sz w:val="20"/>
                <w:szCs w:val="20"/>
              </w:rPr>
            </w:pPr>
            <w:r w:rsidRPr="00B71120">
              <w:rPr>
                <w:sz w:val="20"/>
                <w:szCs w:val="20"/>
              </w:rPr>
              <w:t>Os espaços públicos, entre eles as praças, se tornam cada vez mais importantes no desenvolvimento sustentável de cidades,</w:t>
            </w:r>
            <w:r>
              <w:rPr>
                <w:sz w:val="20"/>
                <w:szCs w:val="20"/>
              </w:rPr>
              <w:t xml:space="preserve"> mostrando-se fundamentais em s</w:t>
            </w:r>
            <w:r w:rsidRPr="00B71120">
              <w:rPr>
                <w:sz w:val="20"/>
                <w:szCs w:val="20"/>
              </w:rPr>
              <w:t>eu planejamento na perspectiva de melhora na qualidade de vida de seus habitantes</w:t>
            </w:r>
            <w:r>
              <w:rPr>
                <w:sz w:val="20"/>
                <w:szCs w:val="20"/>
              </w:rPr>
              <w:t>.</w:t>
            </w:r>
          </w:p>
          <w:p w:rsidR="00B71120" w:rsidRDefault="00B71120" w:rsidP="00916928">
            <w:pPr>
              <w:autoSpaceDE w:val="0"/>
              <w:autoSpaceDN w:val="0"/>
              <w:adjustRightInd w:val="0"/>
              <w:jc w:val="both"/>
              <w:rPr>
                <w:sz w:val="20"/>
                <w:szCs w:val="20"/>
              </w:rPr>
            </w:pPr>
          </w:p>
          <w:p w:rsidR="00916928" w:rsidRPr="00916928" w:rsidRDefault="00B71120" w:rsidP="00916928">
            <w:pPr>
              <w:autoSpaceDE w:val="0"/>
              <w:autoSpaceDN w:val="0"/>
              <w:adjustRightInd w:val="0"/>
              <w:jc w:val="both"/>
              <w:rPr>
                <w:sz w:val="20"/>
                <w:szCs w:val="20"/>
              </w:rPr>
            </w:pPr>
            <w:r>
              <w:rPr>
                <w:sz w:val="20"/>
                <w:szCs w:val="20"/>
              </w:rPr>
              <w:t xml:space="preserve">Os </w:t>
            </w:r>
            <w:r w:rsidRPr="00B71120">
              <w:rPr>
                <w:sz w:val="20"/>
                <w:szCs w:val="20"/>
              </w:rPr>
              <w:t>equipamentos irão contribuir para o lazer das crianças que utilizam os espaços públicos para brincar aliando saúde, bem estar e qualidade de vida a atividades s</w:t>
            </w:r>
            <w:r>
              <w:rPr>
                <w:sz w:val="20"/>
                <w:szCs w:val="20"/>
              </w:rPr>
              <w:t>ócio-educativas diversificadas</w:t>
            </w:r>
            <w:r w:rsidR="00916928" w:rsidRPr="00916928">
              <w:rPr>
                <w:sz w:val="20"/>
                <w:szCs w:val="20"/>
              </w:rPr>
              <w:t>, além do incentivo ao desenvolvimento das crianças em características como a coletividade, o respeito ao espaço e aos outros e a comunicação.</w:t>
            </w:r>
          </w:p>
          <w:p w:rsidR="00916928" w:rsidRPr="00916928" w:rsidRDefault="00916928" w:rsidP="00624FBC">
            <w:pPr>
              <w:autoSpaceDE w:val="0"/>
              <w:autoSpaceDN w:val="0"/>
              <w:adjustRightInd w:val="0"/>
              <w:jc w:val="both"/>
              <w:rPr>
                <w:sz w:val="20"/>
                <w:szCs w:val="20"/>
              </w:rPr>
            </w:pPr>
          </w:p>
          <w:p w:rsidR="00EA67A0" w:rsidRPr="00916928" w:rsidRDefault="00EA67A0" w:rsidP="00EA67A0">
            <w:pPr>
              <w:jc w:val="both"/>
              <w:rPr>
                <w:sz w:val="20"/>
                <w:szCs w:val="20"/>
              </w:rPr>
            </w:pPr>
          </w:p>
          <w:p w:rsidR="00EA67A0" w:rsidRPr="00916928" w:rsidRDefault="00EA67A0" w:rsidP="00EA67A0">
            <w:pPr>
              <w:jc w:val="both"/>
              <w:rPr>
                <w:sz w:val="20"/>
                <w:szCs w:val="20"/>
              </w:rPr>
            </w:pP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2. REQUISITOS DA CONTRATAÇÃO</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624FBC" w:rsidRDefault="00624FBC" w:rsidP="00624FBC">
            <w:pPr>
              <w:autoSpaceDE w:val="0"/>
              <w:autoSpaceDN w:val="0"/>
              <w:adjustRightInd w:val="0"/>
              <w:jc w:val="both"/>
              <w:rPr>
                <w:rFonts w:ascii="ArialMT" w:hAnsi="ArialMT" w:cs="ArialMT"/>
                <w:sz w:val="20"/>
                <w:szCs w:val="20"/>
              </w:rPr>
            </w:pPr>
          </w:p>
          <w:p w:rsidR="00EA67A0" w:rsidRDefault="00624FBC" w:rsidP="00624FBC">
            <w:pPr>
              <w:autoSpaceDE w:val="0"/>
              <w:autoSpaceDN w:val="0"/>
              <w:adjustRightInd w:val="0"/>
              <w:jc w:val="both"/>
              <w:rPr>
                <w:rFonts w:ascii="ArialMT" w:hAnsi="ArialMT" w:cs="ArialMT"/>
                <w:sz w:val="20"/>
                <w:szCs w:val="20"/>
              </w:rPr>
            </w:pPr>
            <w:r>
              <w:rPr>
                <w:rFonts w:ascii="ArialMT" w:hAnsi="ArialMT" w:cs="ArialMT"/>
                <w:sz w:val="20"/>
                <w:szCs w:val="20"/>
              </w:rPr>
              <w:t xml:space="preserve">1) </w:t>
            </w:r>
            <w:r w:rsidR="00EA67A0">
              <w:rPr>
                <w:rFonts w:ascii="ArialMT" w:hAnsi="ArialMT" w:cs="ArialMT"/>
                <w:sz w:val="20"/>
                <w:szCs w:val="20"/>
              </w:rPr>
              <w:t xml:space="preserve">Os playgrounds deverão ser entregues à </w:t>
            </w:r>
            <w:r w:rsidR="00EA67A0">
              <w:rPr>
                <w:rFonts w:ascii="Arial-BoldMT" w:hAnsi="Arial-BoldMT" w:cs="Arial-BoldMT"/>
                <w:b/>
                <w:bCs/>
                <w:sz w:val="20"/>
                <w:szCs w:val="20"/>
              </w:rPr>
              <w:t xml:space="preserve">Contratante </w:t>
            </w:r>
            <w:r w:rsidR="00EA67A0">
              <w:rPr>
                <w:rFonts w:ascii="ArialMT" w:hAnsi="ArialMT" w:cs="ArialMT"/>
                <w:sz w:val="20"/>
                <w:szCs w:val="20"/>
              </w:rPr>
              <w:t xml:space="preserve">devidamente instalados e montados no prazo de até </w:t>
            </w:r>
            <w:r w:rsidR="00547D60">
              <w:rPr>
                <w:rFonts w:ascii="Arial-BoldMT" w:hAnsi="Arial-BoldMT" w:cs="Arial-BoldMT"/>
                <w:b/>
                <w:bCs/>
                <w:sz w:val="20"/>
                <w:szCs w:val="20"/>
              </w:rPr>
              <w:t>30 (Trinta</w:t>
            </w:r>
            <w:r w:rsidR="00EA67A0">
              <w:rPr>
                <w:rFonts w:ascii="Arial-BoldMT" w:hAnsi="Arial-BoldMT" w:cs="Arial-BoldMT"/>
                <w:b/>
                <w:bCs/>
                <w:sz w:val="20"/>
                <w:szCs w:val="20"/>
              </w:rPr>
              <w:t>) dias</w:t>
            </w:r>
            <w:r w:rsidR="00EA67A0">
              <w:rPr>
                <w:rFonts w:ascii="ArialMT" w:hAnsi="ArialMT" w:cs="ArialMT"/>
                <w:sz w:val="20"/>
                <w:szCs w:val="20"/>
              </w:rPr>
              <w:t>, contados a partir da Autorização de Fornecimento, nos locais indicados pelo requisitante na ocasião da Autorização de Fornecimento.</w:t>
            </w:r>
          </w:p>
          <w:p w:rsidR="00624FBC" w:rsidRDefault="00624FBC" w:rsidP="00624FBC">
            <w:pPr>
              <w:autoSpaceDE w:val="0"/>
              <w:autoSpaceDN w:val="0"/>
              <w:adjustRightInd w:val="0"/>
              <w:jc w:val="both"/>
              <w:rPr>
                <w:rFonts w:ascii="ArialMT" w:hAnsi="ArialMT" w:cs="ArialMT"/>
                <w:sz w:val="20"/>
                <w:szCs w:val="20"/>
              </w:rPr>
            </w:pPr>
          </w:p>
          <w:p w:rsidR="00EA67A0" w:rsidRDefault="00624FBC" w:rsidP="00624FBC">
            <w:pPr>
              <w:autoSpaceDE w:val="0"/>
              <w:autoSpaceDN w:val="0"/>
              <w:adjustRightInd w:val="0"/>
              <w:jc w:val="both"/>
              <w:rPr>
                <w:rFonts w:ascii="ArialMT" w:hAnsi="ArialMT" w:cs="ArialMT"/>
                <w:sz w:val="20"/>
                <w:szCs w:val="20"/>
              </w:rPr>
            </w:pPr>
            <w:r>
              <w:rPr>
                <w:rFonts w:ascii="ArialMT" w:hAnsi="ArialMT" w:cs="ArialMT"/>
                <w:sz w:val="20"/>
                <w:szCs w:val="20"/>
              </w:rPr>
              <w:t xml:space="preserve">2) </w:t>
            </w:r>
            <w:r w:rsidR="00EA67A0">
              <w:rPr>
                <w:rFonts w:ascii="ArialMT" w:hAnsi="ArialMT" w:cs="ArialMT"/>
                <w:sz w:val="20"/>
                <w:szCs w:val="20"/>
              </w:rPr>
              <w:t>Os parques playground poderão ser instalados em quaisquer áreas públicas no município de Venda Nova do Imigrante, conforme demanda da requisitante.</w:t>
            </w:r>
          </w:p>
          <w:p w:rsidR="00624FBC" w:rsidRDefault="00624FBC" w:rsidP="00624FBC">
            <w:pPr>
              <w:autoSpaceDE w:val="0"/>
              <w:autoSpaceDN w:val="0"/>
              <w:adjustRightInd w:val="0"/>
              <w:jc w:val="both"/>
              <w:rPr>
                <w:rFonts w:ascii="ArialMT" w:hAnsi="ArialMT" w:cs="ArialMT"/>
                <w:sz w:val="20"/>
                <w:szCs w:val="20"/>
              </w:rPr>
            </w:pPr>
          </w:p>
          <w:p w:rsidR="00EA67A0" w:rsidRDefault="00624FBC" w:rsidP="00624FBC">
            <w:pPr>
              <w:autoSpaceDE w:val="0"/>
              <w:autoSpaceDN w:val="0"/>
              <w:adjustRightInd w:val="0"/>
              <w:jc w:val="both"/>
              <w:rPr>
                <w:rFonts w:ascii="ArialMT" w:hAnsi="ArialMT" w:cs="ArialMT"/>
                <w:sz w:val="20"/>
                <w:szCs w:val="20"/>
              </w:rPr>
            </w:pPr>
            <w:r>
              <w:rPr>
                <w:rFonts w:ascii="Arial-BoldMT" w:hAnsi="Arial-BoldMT" w:cs="Arial-BoldMT"/>
                <w:b/>
                <w:bCs/>
                <w:sz w:val="20"/>
                <w:szCs w:val="20"/>
              </w:rPr>
              <w:t xml:space="preserve">3) </w:t>
            </w:r>
            <w:r w:rsidR="00EA67A0">
              <w:rPr>
                <w:rFonts w:ascii="ArialMT" w:hAnsi="ArialMT" w:cs="ArialMT"/>
                <w:sz w:val="20"/>
                <w:szCs w:val="20"/>
              </w:rPr>
              <w:t xml:space="preserve">As placas indicativas de idade, forma de uso e peso máximo permitido, com </w:t>
            </w:r>
            <w:r w:rsidR="00EA67A0">
              <w:rPr>
                <w:rFonts w:ascii="Arial-BoldMT" w:hAnsi="Arial-BoldMT" w:cs="Arial-BoldMT"/>
                <w:b/>
                <w:bCs/>
                <w:sz w:val="20"/>
                <w:szCs w:val="20"/>
              </w:rPr>
              <w:t xml:space="preserve">descrição das normas da ABNT e com a logo da PMVNI </w:t>
            </w:r>
            <w:r w:rsidR="00EA67A0">
              <w:rPr>
                <w:rFonts w:ascii="ArialMT" w:hAnsi="ArialMT" w:cs="ArialMT"/>
                <w:sz w:val="20"/>
                <w:szCs w:val="20"/>
              </w:rPr>
              <w:t>deverão ser entregues e instaladas, junto aos materiais</w:t>
            </w:r>
            <w:r>
              <w:rPr>
                <w:rFonts w:ascii="ArialMT" w:hAnsi="ArialMT" w:cs="ArialMT"/>
                <w:sz w:val="20"/>
                <w:szCs w:val="20"/>
              </w:rPr>
              <w:t>;</w:t>
            </w:r>
          </w:p>
          <w:p w:rsidR="00624FBC" w:rsidRPr="00EA67A0" w:rsidRDefault="00624FBC" w:rsidP="00624FBC">
            <w:pPr>
              <w:autoSpaceDE w:val="0"/>
              <w:autoSpaceDN w:val="0"/>
              <w:adjustRightInd w:val="0"/>
              <w:jc w:val="both"/>
              <w:rPr>
                <w:rFonts w:ascii="Arial-BoldMT" w:hAnsi="Arial-BoldMT" w:cs="Arial-BoldMT"/>
                <w:b/>
                <w:bCs/>
                <w:sz w:val="20"/>
                <w:szCs w:val="20"/>
              </w:rPr>
            </w:pPr>
          </w:p>
          <w:p w:rsidR="00EA67A0" w:rsidRDefault="00624FBC" w:rsidP="00624FBC">
            <w:pPr>
              <w:autoSpaceDE w:val="0"/>
              <w:autoSpaceDN w:val="0"/>
              <w:adjustRightInd w:val="0"/>
              <w:jc w:val="both"/>
              <w:rPr>
                <w:rFonts w:ascii="ArialMT" w:hAnsi="ArialMT" w:cs="ArialMT"/>
                <w:sz w:val="20"/>
                <w:szCs w:val="20"/>
              </w:rPr>
            </w:pPr>
            <w:r>
              <w:rPr>
                <w:rFonts w:ascii="ArialMT" w:hAnsi="ArialMT" w:cs="ArialMT"/>
                <w:sz w:val="20"/>
                <w:szCs w:val="20"/>
              </w:rPr>
              <w:t xml:space="preserve">4) </w:t>
            </w:r>
            <w:r w:rsidR="00EA67A0">
              <w:rPr>
                <w:rFonts w:ascii="ArialMT" w:hAnsi="ArialMT" w:cs="ArialMT"/>
                <w:sz w:val="20"/>
                <w:szCs w:val="20"/>
              </w:rPr>
              <w:t>Todas as despesas com transporte, carregamento e descarregamento dos materiais e a montagem dos parques será</w:t>
            </w:r>
            <w:r>
              <w:rPr>
                <w:rFonts w:ascii="ArialMT" w:hAnsi="ArialMT" w:cs="ArialMT"/>
                <w:sz w:val="20"/>
                <w:szCs w:val="20"/>
              </w:rPr>
              <w:t xml:space="preserve"> por conta da empresa vencedora;</w:t>
            </w:r>
          </w:p>
          <w:p w:rsidR="00624FBC" w:rsidRDefault="00624FBC" w:rsidP="00624FBC">
            <w:pPr>
              <w:autoSpaceDE w:val="0"/>
              <w:autoSpaceDN w:val="0"/>
              <w:adjustRightInd w:val="0"/>
              <w:jc w:val="both"/>
              <w:rPr>
                <w:rFonts w:ascii="ArialMT" w:hAnsi="ArialMT" w:cs="ArialMT"/>
                <w:sz w:val="20"/>
                <w:szCs w:val="20"/>
              </w:rPr>
            </w:pPr>
          </w:p>
          <w:p w:rsidR="00624FBC" w:rsidRDefault="00624FBC" w:rsidP="00624FBC">
            <w:pPr>
              <w:autoSpaceDE w:val="0"/>
              <w:autoSpaceDN w:val="0"/>
              <w:adjustRightInd w:val="0"/>
              <w:jc w:val="both"/>
              <w:rPr>
                <w:rFonts w:ascii="ArialMT" w:hAnsi="ArialMT" w:cs="ArialMT"/>
                <w:sz w:val="20"/>
                <w:szCs w:val="20"/>
              </w:rPr>
            </w:pPr>
            <w:r>
              <w:rPr>
                <w:rFonts w:ascii="Arial-BoldMT" w:hAnsi="Arial-BoldMT" w:cs="Arial-BoldMT"/>
                <w:b/>
                <w:bCs/>
                <w:sz w:val="20"/>
                <w:szCs w:val="20"/>
              </w:rPr>
              <w:t xml:space="preserve">5)  </w:t>
            </w:r>
            <w:r>
              <w:rPr>
                <w:rFonts w:ascii="ArialMT" w:hAnsi="ArialMT" w:cs="ArialMT"/>
                <w:sz w:val="20"/>
                <w:szCs w:val="20"/>
              </w:rPr>
              <w:t xml:space="preserve">Por ocasião da entrega, caso seja detectado que os materiais não atendam às especificações técnicas do objeto licitado ou as amostras apresentadas e aprovadas, poderá a Administração rejeitá-los, integralmente ou em parte, obrigando-se a empresa vencedora a providenciar a substituição daqueles não aceitos no prazo de </w:t>
            </w:r>
            <w:r>
              <w:rPr>
                <w:rFonts w:ascii="Arial-BoldMT" w:hAnsi="Arial-BoldMT" w:cs="Arial-BoldMT"/>
                <w:b/>
                <w:bCs/>
                <w:sz w:val="20"/>
                <w:szCs w:val="20"/>
              </w:rPr>
              <w:t xml:space="preserve">10 (dez) dias úteis. </w:t>
            </w:r>
            <w:r>
              <w:rPr>
                <w:rFonts w:ascii="ArialMT" w:hAnsi="ArialMT" w:cs="ArialMT"/>
                <w:sz w:val="20"/>
                <w:szCs w:val="20"/>
              </w:rPr>
              <w:t>O transporte e carregamento dos materiais não aceitos, será de responsabilidade da licitante.</w:t>
            </w:r>
          </w:p>
          <w:p w:rsidR="00624FBC" w:rsidRDefault="00624FBC" w:rsidP="00624FBC">
            <w:pPr>
              <w:autoSpaceDE w:val="0"/>
              <w:autoSpaceDN w:val="0"/>
              <w:adjustRightInd w:val="0"/>
              <w:jc w:val="both"/>
              <w:rPr>
                <w:rFonts w:ascii="Arial-BoldMT" w:hAnsi="Arial-BoldMT" w:cs="Arial-BoldMT"/>
                <w:b/>
                <w:bCs/>
                <w:sz w:val="20"/>
                <w:szCs w:val="20"/>
              </w:rPr>
            </w:pPr>
          </w:p>
          <w:p w:rsidR="00624FBC" w:rsidRDefault="00624FBC" w:rsidP="00624FBC">
            <w:pPr>
              <w:autoSpaceDE w:val="0"/>
              <w:autoSpaceDN w:val="0"/>
              <w:adjustRightInd w:val="0"/>
              <w:jc w:val="both"/>
              <w:rPr>
                <w:rFonts w:ascii="ArialMT" w:hAnsi="ArialMT" w:cs="ArialMT"/>
                <w:sz w:val="20"/>
                <w:szCs w:val="20"/>
              </w:rPr>
            </w:pPr>
            <w:r>
              <w:rPr>
                <w:rFonts w:ascii="Arial-BoldMT" w:hAnsi="Arial-BoldMT" w:cs="Arial-BoldMT"/>
                <w:b/>
                <w:bCs/>
                <w:sz w:val="20"/>
                <w:szCs w:val="20"/>
              </w:rPr>
              <w:t xml:space="preserve">6) </w:t>
            </w:r>
            <w:r>
              <w:rPr>
                <w:rFonts w:ascii="ArialMT" w:hAnsi="ArialMT" w:cs="ArialMT"/>
                <w:sz w:val="20"/>
                <w:szCs w:val="20"/>
              </w:rPr>
              <w:t xml:space="preserve">Caso a substituição dos brinquedos para playground não ocorra no prazo determinado, estará a </w:t>
            </w:r>
            <w:r>
              <w:rPr>
                <w:rFonts w:ascii="Arial-BoldMT" w:hAnsi="Arial-BoldMT" w:cs="Arial-BoldMT"/>
                <w:b/>
                <w:bCs/>
                <w:sz w:val="20"/>
                <w:szCs w:val="20"/>
              </w:rPr>
              <w:t xml:space="preserve">Contratada </w:t>
            </w:r>
            <w:r>
              <w:rPr>
                <w:rFonts w:ascii="ArialMT" w:hAnsi="ArialMT" w:cs="ArialMT"/>
                <w:sz w:val="20"/>
                <w:szCs w:val="20"/>
              </w:rPr>
              <w:t>incorrendo em atraso na entrega e sujeita à aplicação das sanções previstas em Edital;</w:t>
            </w:r>
          </w:p>
          <w:p w:rsidR="00624FBC" w:rsidRDefault="00624FBC" w:rsidP="00624FBC">
            <w:pPr>
              <w:autoSpaceDE w:val="0"/>
              <w:autoSpaceDN w:val="0"/>
              <w:adjustRightInd w:val="0"/>
              <w:jc w:val="both"/>
              <w:rPr>
                <w:rFonts w:ascii="Arial-BoldMT" w:hAnsi="Arial-BoldMT" w:cs="Arial-BoldMT"/>
                <w:b/>
                <w:bCs/>
                <w:sz w:val="20"/>
                <w:szCs w:val="20"/>
              </w:rPr>
            </w:pPr>
          </w:p>
          <w:p w:rsidR="00624FBC" w:rsidRDefault="00624FBC" w:rsidP="00624FBC">
            <w:pPr>
              <w:autoSpaceDE w:val="0"/>
              <w:autoSpaceDN w:val="0"/>
              <w:adjustRightInd w:val="0"/>
              <w:jc w:val="both"/>
              <w:rPr>
                <w:rFonts w:ascii="ArialMT" w:hAnsi="ArialMT" w:cs="ArialMT"/>
                <w:sz w:val="20"/>
                <w:szCs w:val="20"/>
              </w:rPr>
            </w:pPr>
            <w:r>
              <w:rPr>
                <w:rFonts w:ascii="Arial-BoldMT" w:hAnsi="Arial-BoldMT" w:cs="Arial-BoldMT"/>
                <w:b/>
                <w:bCs/>
                <w:sz w:val="20"/>
                <w:szCs w:val="20"/>
              </w:rPr>
              <w:t xml:space="preserve">7) </w:t>
            </w:r>
            <w:r>
              <w:rPr>
                <w:rFonts w:ascii="ArialMT" w:hAnsi="ArialMT" w:cs="ArialMT"/>
                <w:sz w:val="20"/>
                <w:szCs w:val="20"/>
              </w:rPr>
              <w:t>Somente serão aceitas as entregas integrais de acordo com o quantitativo total e especificações constantes das Autorizações de Fornecimento, sob pena de sofrer as sanções previstas neste instrumento.</w:t>
            </w:r>
          </w:p>
          <w:p w:rsidR="00624FBC" w:rsidRDefault="00624FBC" w:rsidP="00624FBC">
            <w:pPr>
              <w:autoSpaceDE w:val="0"/>
              <w:autoSpaceDN w:val="0"/>
              <w:adjustRightInd w:val="0"/>
              <w:jc w:val="both"/>
              <w:rPr>
                <w:rFonts w:ascii="ArialMT" w:hAnsi="ArialMT" w:cs="ArialMT"/>
                <w:sz w:val="20"/>
                <w:szCs w:val="20"/>
              </w:rPr>
            </w:pPr>
          </w:p>
          <w:p w:rsidR="00624FBC" w:rsidRDefault="00624FBC" w:rsidP="00624FBC">
            <w:pPr>
              <w:autoSpaceDE w:val="0"/>
              <w:autoSpaceDN w:val="0"/>
              <w:adjustRightInd w:val="0"/>
              <w:rPr>
                <w:rFonts w:ascii="ArialMT" w:hAnsi="ArialMT" w:cs="ArialMT"/>
                <w:sz w:val="20"/>
                <w:szCs w:val="20"/>
              </w:rPr>
            </w:pPr>
            <w:r>
              <w:rPr>
                <w:rFonts w:ascii="Arial-BoldMT" w:hAnsi="Arial-BoldMT" w:cs="Arial-BoldMT"/>
                <w:b/>
                <w:bCs/>
                <w:sz w:val="20"/>
                <w:szCs w:val="20"/>
              </w:rPr>
              <w:t xml:space="preserve">8) </w:t>
            </w:r>
            <w:r>
              <w:rPr>
                <w:rFonts w:ascii="ArialMT" w:hAnsi="ArialMT" w:cs="ArialMT"/>
                <w:sz w:val="20"/>
                <w:szCs w:val="20"/>
              </w:rPr>
              <w:t>Todas as despesas de recolhimento e transporte ficará a cargo da empresa vencedora.</w:t>
            </w:r>
          </w:p>
          <w:p w:rsidR="00624FBC" w:rsidRPr="00624FBC" w:rsidRDefault="00624FBC" w:rsidP="00624FBC">
            <w:pPr>
              <w:autoSpaceDE w:val="0"/>
              <w:autoSpaceDN w:val="0"/>
              <w:adjustRightInd w:val="0"/>
              <w:jc w:val="both"/>
              <w:rPr>
                <w:rFonts w:ascii="ArialMT" w:hAnsi="ArialMT" w:cs="ArialMT"/>
                <w:sz w:val="20"/>
                <w:szCs w:val="20"/>
              </w:rPr>
            </w:pPr>
            <w:r>
              <w:rPr>
                <w:rFonts w:ascii="Arial-BoldMT" w:hAnsi="Arial-BoldMT" w:cs="Arial-BoldMT"/>
                <w:b/>
                <w:bCs/>
                <w:sz w:val="20"/>
                <w:szCs w:val="20"/>
              </w:rPr>
              <w:t xml:space="preserve">9)  </w:t>
            </w:r>
            <w:r>
              <w:rPr>
                <w:rFonts w:ascii="ArialMT" w:hAnsi="ArialMT" w:cs="ArialMT"/>
                <w:sz w:val="20"/>
                <w:szCs w:val="20"/>
              </w:rPr>
              <w:t xml:space="preserve">O aceite ou aprovação dos brinquedos playground pela </w:t>
            </w:r>
            <w:r>
              <w:rPr>
                <w:rFonts w:ascii="Arial-BoldMT" w:hAnsi="Arial-BoldMT" w:cs="Arial-BoldMT"/>
                <w:b/>
                <w:bCs/>
                <w:sz w:val="20"/>
                <w:szCs w:val="20"/>
              </w:rPr>
              <w:t xml:space="preserve">Contratante </w:t>
            </w:r>
            <w:r>
              <w:rPr>
                <w:rFonts w:ascii="ArialMT" w:hAnsi="ArialMT" w:cs="ArialMT"/>
                <w:sz w:val="20"/>
                <w:szCs w:val="20"/>
              </w:rPr>
              <w:t xml:space="preserve">não exclui a responsabilidade civil nem a ético-profissional do fornecedor por vícios de quantidade ou qualidade dos brinquedos para playground ou disparidades com as especificações estabelecidas neste TR, verificadas posteriormente, garantindo-se à </w:t>
            </w:r>
            <w:r>
              <w:rPr>
                <w:rFonts w:ascii="Arial-BoldMT" w:hAnsi="Arial-BoldMT" w:cs="Arial-BoldMT"/>
                <w:b/>
                <w:bCs/>
                <w:sz w:val="20"/>
                <w:szCs w:val="20"/>
              </w:rPr>
              <w:t xml:space="preserve">Contratante </w:t>
            </w:r>
            <w:r>
              <w:rPr>
                <w:rFonts w:ascii="ArialMT" w:hAnsi="ArialMT" w:cs="ArialMT"/>
                <w:sz w:val="20"/>
                <w:szCs w:val="20"/>
              </w:rPr>
              <w:t xml:space="preserve">as </w:t>
            </w:r>
            <w:r>
              <w:rPr>
                <w:rFonts w:ascii="Arial-BoldMT" w:hAnsi="Arial-BoldMT" w:cs="Arial-BoldMT"/>
                <w:b/>
                <w:bCs/>
                <w:sz w:val="20"/>
                <w:szCs w:val="20"/>
              </w:rPr>
              <w:t>faculdades previstas no Art. 18 da Lei nº 8.078/90 – Código de Defesa</w:t>
            </w:r>
            <w:r>
              <w:rPr>
                <w:rFonts w:ascii="ArialMT" w:hAnsi="ArialMT" w:cs="ArialMT"/>
                <w:sz w:val="20"/>
                <w:szCs w:val="20"/>
              </w:rPr>
              <w:t xml:space="preserve"> </w:t>
            </w:r>
            <w:r>
              <w:rPr>
                <w:rFonts w:ascii="Arial-BoldMT" w:hAnsi="Arial-BoldMT" w:cs="Arial-BoldMT"/>
                <w:b/>
                <w:bCs/>
                <w:sz w:val="20"/>
                <w:szCs w:val="20"/>
              </w:rPr>
              <w:t>do Consumidor.</w:t>
            </w:r>
          </w:p>
          <w:p w:rsidR="00624FBC" w:rsidRDefault="00624FBC" w:rsidP="00624FBC">
            <w:pPr>
              <w:autoSpaceDE w:val="0"/>
              <w:autoSpaceDN w:val="0"/>
              <w:adjustRightInd w:val="0"/>
              <w:rPr>
                <w:rFonts w:ascii="Arial-BoldMT" w:hAnsi="Arial-BoldMT" w:cs="Arial-BoldMT"/>
                <w:b/>
                <w:bCs/>
                <w:sz w:val="20"/>
                <w:szCs w:val="20"/>
              </w:rPr>
            </w:pPr>
          </w:p>
          <w:p w:rsidR="00624FBC" w:rsidRDefault="00624FBC" w:rsidP="00624FBC">
            <w:pPr>
              <w:autoSpaceDE w:val="0"/>
              <w:autoSpaceDN w:val="0"/>
              <w:adjustRightInd w:val="0"/>
              <w:rPr>
                <w:rFonts w:ascii="Arial-BoldMT" w:hAnsi="Arial-BoldMT" w:cs="Arial-BoldMT"/>
                <w:b/>
                <w:bCs/>
                <w:sz w:val="20"/>
                <w:szCs w:val="20"/>
              </w:rPr>
            </w:pPr>
            <w:r>
              <w:rPr>
                <w:rFonts w:ascii="Arial-BoldMT" w:hAnsi="Arial-BoldMT" w:cs="Arial-BoldMT"/>
                <w:b/>
                <w:bCs/>
                <w:sz w:val="20"/>
                <w:szCs w:val="20"/>
              </w:rPr>
              <w:t>GARANTIA E DA INSTALAÇÃO</w:t>
            </w:r>
          </w:p>
          <w:p w:rsidR="00624FBC" w:rsidRPr="009D0358" w:rsidRDefault="00624FBC" w:rsidP="009D0358">
            <w:pPr>
              <w:pStyle w:val="PargrafodaLista"/>
              <w:numPr>
                <w:ilvl w:val="0"/>
                <w:numId w:val="2"/>
              </w:numPr>
              <w:autoSpaceDE w:val="0"/>
              <w:autoSpaceDN w:val="0"/>
              <w:adjustRightInd w:val="0"/>
              <w:jc w:val="both"/>
              <w:rPr>
                <w:rFonts w:ascii="ArialMT" w:hAnsi="ArialMT" w:cs="ArialMT"/>
                <w:sz w:val="20"/>
                <w:szCs w:val="20"/>
              </w:rPr>
            </w:pPr>
            <w:r w:rsidRPr="00624FBC">
              <w:rPr>
                <w:rFonts w:ascii="ArialMT" w:hAnsi="ArialMT" w:cs="ArialMT"/>
                <w:sz w:val="20"/>
                <w:szCs w:val="20"/>
              </w:rPr>
              <w:t>A empresa contratada deverá fornecer Certificado de garantia de 12 (doze) meses para toda a</w:t>
            </w:r>
            <w:r w:rsidR="009D0358">
              <w:rPr>
                <w:rFonts w:ascii="ArialMT" w:hAnsi="ArialMT" w:cs="ArialMT"/>
                <w:sz w:val="20"/>
                <w:szCs w:val="20"/>
              </w:rPr>
              <w:t xml:space="preserve"> </w:t>
            </w:r>
            <w:r w:rsidRPr="009D0358">
              <w:rPr>
                <w:rFonts w:ascii="ArialMT" w:hAnsi="ArialMT" w:cs="ArialMT"/>
                <w:sz w:val="20"/>
                <w:szCs w:val="20"/>
              </w:rPr>
              <w:t>estrutura contra qualquer defeito de fabricação e funcionamento;</w:t>
            </w:r>
          </w:p>
          <w:p w:rsidR="00624FBC" w:rsidRPr="009D0358" w:rsidRDefault="00624FBC" w:rsidP="009D0358">
            <w:pPr>
              <w:pStyle w:val="PargrafodaLista"/>
              <w:numPr>
                <w:ilvl w:val="0"/>
                <w:numId w:val="2"/>
              </w:numPr>
              <w:autoSpaceDE w:val="0"/>
              <w:autoSpaceDN w:val="0"/>
              <w:adjustRightInd w:val="0"/>
              <w:jc w:val="both"/>
              <w:rPr>
                <w:rFonts w:ascii="ArialMT" w:hAnsi="ArialMT" w:cs="ArialMT"/>
                <w:sz w:val="20"/>
                <w:szCs w:val="20"/>
              </w:rPr>
            </w:pPr>
            <w:r w:rsidRPr="00624FBC">
              <w:rPr>
                <w:rFonts w:ascii="ArialMT" w:hAnsi="ArialMT" w:cs="ArialMT"/>
                <w:sz w:val="20"/>
                <w:szCs w:val="20"/>
              </w:rPr>
              <w:t>O início do período de garantia se dará a partir da data de assinatura do responsável pelo</w:t>
            </w:r>
            <w:r w:rsidR="009D0358">
              <w:rPr>
                <w:rFonts w:ascii="ArialMT" w:hAnsi="ArialMT" w:cs="ArialMT"/>
                <w:sz w:val="20"/>
                <w:szCs w:val="20"/>
              </w:rPr>
              <w:t xml:space="preserve"> </w:t>
            </w:r>
            <w:r w:rsidRPr="009D0358">
              <w:rPr>
                <w:rFonts w:ascii="ArialMT" w:hAnsi="ArialMT" w:cs="ArialMT"/>
                <w:sz w:val="20"/>
                <w:szCs w:val="20"/>
              </w:rPr>
              <w:t>recebimento do material com o carimbo de “atesto” na nota fiscal/fatura;</w:t>
            </w:r>
          </w:p>
          <w:p w:rsidR="00624FBC" w:rsidRPr="00624FBC" w:rsidRDefault="00624FBC" w:rsidP="009D0358">
            <w:pPr>
              <w:pStyle w:val="PargrafodaLista"/>
              <w:numPr>
                <w:ilvl w:val="0"/>
                <w:numId w:val="2"/>
              </w:numPr>
              <w:autoSpaceDE w:val="0"/>
              <w:autoSpaceDN w:val="0"/>
              <w:adjustRightInd w:val="0"/>
              <w:jc w:val="both"/>
              <w:rPr>
                <w:rFonts w:ascii="ArialMT" w:hAnsi="ArialMT" w:cs="ArialMT"/>
                <w:sz w:val="20"/>
                <w:szCs w:val="20"/>
              </w:rPr>
            </w:pPr>
            <w:r w:rsidRPr="00624FBC">
              <w:rPr>
                <w:rFonts w:ascii="ArialMT" w:hAnsi="ArialMT" w:cs="ArialMT"/>
                <w:sz w:val="20"/>
                <w:szCs w:val="20"/>
              </w:rPr>
              <w:t>As despesas com mão de obra para montagem serão de responsabilidade da Contratada;</w:t>
            </w:r>
          </w:p>
          <w:p w:rsidR="00624FBC" w:rsidRPr="00624FBC" w:rsidRDefault="00624FBC" w:rsidP="009D0358">
            <w:pPr>
              <w:pStyle w:val="PargrafodaLista"/>
              <w:numPr>
                <w:ilvl w:val="0"/>
                <w:numId w:val="2"/>
              </w:numPr>
              <w:autoSpaceDE w:val="0"/>
              <w:autoSpaceDN w:val="0"/>
              <w:adjustRightInd w:val="0"/>
              <w:jc w:val="both"/>
              <w:rPr>
                <w:rFonts w:ascii="ArialMT" w:hAnsi="ArialMT" w:cs="ArialMT"/>
                <w:sz w:val="20"/>
                <w:szCs w:val="20"/>
              </w:rPr>
            </w:pPr>
            <w:r w:rsidRPr="00624FBC">
              <w:rPr>
                <w:rFonts w:ascii="ArialMT" w:hAnsi="ArialMT" w:cs="ArialMT"/>
                <w:sz w:val="20"/>
                <w:szCs w:val="20"/>
              </w:rPr>
              <w:t>O custeio integral (despesas diretas e indiretas) do transporte e instalação é de responsabilidade da</w:t>
            </w:r>
            <w:r>
              <w:rPr>
                <w:rFonts w:ascii="ArialMT" w:hAnsi="ArialMT" w:cs="ArialMT"/>
                <w:sz w:val="20"/>
                <w:szCs w:val="20"/>
              </w:rPr>
              <w:t xml:space="preserve"> </w:t>
            </w:r>
            <w:r w:rsidRPr="00624FBC">
              <w:rPr>
                <w:rFonts w:ascii="ArialMT" w:hAnsi="ArialMT" w:cs="ArialMT"/>
                <w:sz w:val="20"/>
                <w:szCs w:val="20"/>
              </w:rPr>
              <w:t>Contratada, devendo ser executada por profissionais capacitados e habilitados para montagem de</w:t>
            </w:r>
            <w:r>
              <w:rPr>
                <w:rFonts w:ascii="ArialMT" w:hAnsi="ArialMT" w:cs="ArialMT"/>
                <w:sz w:val="20"/>
                <w:szCs w:val="20"/>
              </w:rPr>
              <w:t xml:space="preserve"> </w:t>
            </w:r>
            <w:r w:rsidRPr="00624FBC">
              <w:rPr>
                <w:rFonts w:ascii="ArialMT" w:hAnsi="ArialMT" w:cs="ArialMT"/>
                <w:sz w:val="20"/>
                <w:szCs w:val="20"/>
              </w:rPr>
              <w:t>brinquedos.</w:t>
            </w:r>
          </w:p>
          <w:p w:rsidR="00624FBC" w:rsidRDefault="00624FBC" w:rsidP="009D0358">
            <w:pPr>
              <w:pStyle w:val="PargrafodaLista"/>
              <w:numPr>
                <w:ilvl w:val="0"/>
                <w:numId w:val="2"/>
              </w:numPr>
              <w:autoSpaceDE w:val="0"/>
              <w:autoSpaceDN w:val="0"/>
              <w:adjustRightInd w:val="0"/>
              <w:jc w:val="both"/>
              <w:rPr>
                <w:rFonts w:ascii="ArialMT" w:hAnsi="ArialMT" w:cs="ArialMT"/>
                <w:sz w:val="20"/>
                <w:szCs w:val="20"/>
              </w:rPr>
            </w:pPr>
            <w:r w:rsidRPr="00624FBC">
              <w:rPr>
                <w:rFonts w:ascii="ArialMT" w:hAnsi="ArialMT" w:cs="ArialMT"/>
                <w:sz w:val="20"/>
                <w:szCs w:val="20"/>
              </w:rPr>
              <w:t>A Contratada deverá fornecer assistência técnica durante todo o período da garantia.</w:t>
            </w:r>
          </w:p>
          <w:p w:rsidR="00DF267A" w:rsidRPr="00DF267A" w:rsidRDefault="00DF267A" w:rsidP="009D0358">
            <w:pPr>
              <w:pStyle w:val="PargrafodaLista"/>
              <w:numPr>
                <w:ilvl w:val="0"/>
                <w:numId w:val="2"/>
              </w:numPr>
              <w:autoSpaceDE w:val="0"/>
              <w:autoSpaceDN w:val="0"/>
              <w:adjustRightInd w:val="0"/>
              <w:jc w:val="both"/>
              <w:rPr>
                <w:rFonts w:ascii="ArialMT" w:hAnsi="ArialMT" w:cs="ArialMT"/>
                <w:sz w:val="20"/>
                <w:szCs w:val="20"/>
              </w:rPr>
            </w:pPr>
            <w:r>
              <w:rPr>
                <w:rFonts w:ascii="ArialMT" w:hAnsi="ArialMT" w:cs="ArialMT"/>
                <w:sz w:val="20"/>
                <w:szCs w:val="20"/>
              </w:rPr>
              <w:t xml:space="preserve"> A empresa contratada deverá a</w:t>
            </w:r>
            <w:r w:rsidRPr="00DF267A">
              <w:rPr>
                <w:rFonts w:ascii="ArialMT" w:hAnsi="ArialMT" w:cs="ArialMT"/>
                <w:sz w:val="20"/>
                <w:szCs w:val="20"/>
              </w:rPr>
              <w:t>presentar, no ato da instalação dos parques, a ART – Atestado de Responsabilidade Técnica ou</w:t>
            </w:r>
            <w:r>
              <w:rPr>
                <w:rFonts w:ascii="ArialMT" w:hAnsi="ArialMT" w:cs="ArialMT"/>
                <w:sz w:val="20"/>
                <w:szCs w:val="20"/>
              </w:rPr>
              <w:t xml:space="preserve"> </w:t>
            </w:r>
            <w:r w:rsidRPr="00DF267A">
              <w:rPr>
                <w:rFonts w:ascii="ArialMT" w:hAnsi="ArialMT" w:cs="ArialMT"/>
                <w:sz w:val="20"/>
                <w:szCs w:val="20"/>
              </w:rPr>
              <w:t>RRT – Registro de Responsabilidade Técnica do responsável quanto à fabricação,</w:t>
            </w:r>
            <w:r>
              <w:rPr>
                <w:rFonts w:ascii="ArialMT" w:hAnsi="ArialMT" w:cs="ArialMT"/>
                <w:sz w:val="20"/>
                <w:szCs w:val="20"/>
              </w:rPr>
              <w:t xml:space="preserve"> </w:t>
            </w:r>
            <w:r w:rsidRPr="00DF267A">
              <w:rPr>
                <w:rFonts w:ascii="ArialMT" w:hAnsi="ArialMT" w:cs="ArialMT"/>
                <w:sz w:val="20"/>
                <w:szCs w:val="20"/>
              </w:rPr>
              <w:t>acompanhamento da instalação.</w:t>
            </w:r>
          </w:p>
          <w:p w:rsidR="00624FBC" w:rsidRDefault="00624FBC" w:rsidP="00624FBC">
            <w:pPr>
              <w:autoSpaceDE w:val="0"/>
              <w:autoSpaceDN w:val="0"/>
              <w:adjustRightInd w:val="0"/>
              <w:rPr>
                <w:rFonts w:ascii="Arial-BoldMT" w:hAnsi="Arial-BoldMT" w:cs="Arial-BoldMT"/>
                <w:b/>
                <w:bCs/>
                <w:sz w:val="20"/>
                <w:szCs w:val="20"/>
              </w:rPr>
            </w:pPr>
          </w:p>
          <w:p w:rsidR="00624FBC" w:rsidRDefault="00624FBC" w:rsidP="00624FBC">
            <w:pPr>
              <w:autoSpaceDE w:val="0"/>
              <w:autoSpaceDN w:val="0"/>
              <w:adjustRightInd w:val="0"/>
              <w:rPr>
                <w:rFonts w:ascii="Arial-BoldMT" w:hAnsi="Arial-BoldMT" w:cs="Arial-BoldMT"/>
                <w:b/>
                <w:bCs/>
                <w:sz w:val="20"/>
                <w:szCs w:val="20"/>
              </w:rPr>
            </w:pPr>
            <w:r>
              <w:rPr>
                <w:rFonts w:ascii="Arial-BoldMT" w:hAnsi="Arial-BoldMT" w:cs="Arial-BoldMT"/>
                <w:b/>
                <w:bCs/>
                <w:sz w:val="20"/>
                <w:szCs w:val="20"/>
              </w:rPr>
              <w:t>DA QUALIFICAÇÃO TÉCNICA</w:t>
            </w:r>
          </w:p>
          <w:p w:rsidR="00624FBC" w:rsidRPr="00624FBC" w:rsidRDefault="00624FBC" w:rsidP="009D0358">
            <w:pPr>
              <w:pStyle w:val="PargrafodaLista"/>
              <w:numPr>
                <w:ilvl w:val="0"/>
                <w:numId w:val="3"/>
              </w:numPr>
              <w:autoSpaceDE w:val="0"/>
              <w:autoSpaceDN w:val="0"/>
              <w:adjustRightInd w:val="0"/>
              <w:jc w:val="both"/>
              <w:rPr>
                <w:rFonts w:ascii="ArialMT" w:hAnsi="ArialMT" w:cs="ArialMT"/>
                <w:sz w:val="20"/>
                <w:szCs w:val="20"/>
              </w:rPr>
            </w:pPr>
            <w:r>
              <w:rPr>
                <w:rFonts w:ascii="ArialMT" w:hAnsi="ArialMT" w:cs="ArialMT"/>
                <w:sz w:val="20"/>
                <w:szCs w:val="20"/>
              </w:rPr>
              <w:t>A licitante</w:t>
            </w:r>
            <w:r w:rsidRPr="00624FBC">
              <w:rPr>
                <w:rFonts w:ascii="ArialMT" w:hAnsi="ArialMT" w:cs="ArialMT"/>
                <w:sz w:val="20"/>
                <w:szCs w:val="20"/>
              </w:rPr>
              <w:t xml:space="preserve"> deverá apresentar:</w:t>
            </w:r>
          </w:p>
          <w:p w:rsidR="00BA7785" w:rsidRPr="00BA7785" w:rsidRDefault="00BA7785" w:rsidP="00BA7785">
            <w:pPr>
              <w:pStyle w:val="PargrafodaLista"/>
              <w:widowControl w:val="0"/>
              <w:numPr>
                <w:ilvl w:val="0"/>
                <w:numId w:val="3"/>
              </w:numPr>
              <w:autoSpaceDE w:val="0"/>
              <w:autoSpaceDN w:val="0"/>
              <w:adjustRightInd w:val="0"/>
              <w:jc w:val="both"/>
              <w:rPr>
                <w:color w:val="000000"/>
                <w:sz w:val="20"/>
                <w:szCs w:val="20"/>
              </w:rPr>
            </w:pPr>
            <w:r w:rsidRPr="00BA7785">
              <w:rPr>
                <w:b/>
                <w:bCs/>
                <w:color w:val="000000"/>
                <w:sz w:val="20"/>
                <w:szCs w:val="20"/>
              </w:rPr>
              <w:t>Registro e regularidade da Licitante e de seus responsáveis técnicos nas entidades profissionais competentes (CREA/CAU)</w:t>
            </w:r>
            <w:r w:rsidRPr="00BA7785">
              <w:rPr>
                <w:color w:val="000000"/>
                <w:sz w:val="20"/>
                <w:szCs w:val="20"/>
              </w:rPr>
              <w:t xml:space="preserve"> que permita a execução dos serviços, objeto desta licitação, comprovada através de Certidão do Órgão e em dia. </w:t>
            </w:r>
          </w:p>
          <w:p w:rsidR="00BA7785" w:rsidRDefault="00BA7785" w:rsidP="00BA7785">
            <w:pPr>
              <w:widowControl w:val="0"/>
              <w:autoSpaceDE w:val="0"/>
              <w:autoSpaceDN w:val="0"/>
              <w:adjustRightInd w:val="0"/>
              <w:jc w:val="both"/>
              <w:rPr>
                <w:color w:val="000000"/>
                <w:sz w:val="20"/>
                <w:szCs w:val="20"/>
              </w:rPr>
            </w:pPr>
          </w:p>
          <w:p w:rsidR="00BA7785" w:rsidRDefault="00BA7785" w:rsidP="00BA7785">
            <w:pPr>
              <w:widowControl w:val="0"/>
              <w:autoSpaceDE w:val="0"/>
              <w:autoSpaceDN w:val="0"/>
              <w:adjustRightInd w:val="0"/>
              <w:ind w:left="851"/>
              <w:jc w:val="both"/>
              <w:rPr>
                <w:color w:val="000000"/>
                <w:sz w:val="20"/>
                <w:szCs w:val="20"/>
              </w:rPr>
            </w:pPr>
            <w:r>
              <w:rPr>
                <w:color w:val="000000"/>
                <w:sz w:val="20"/>
                <w:szCs w:val="20"/>
              </w:rPr>
              <w:t xml:space="preserve">OBS: </w:t>
            </w:r>
            <w:r>
              <w:rPr>
                <w:b/>
                <w:bCs/>
                <w:color w:val="000000"/>
                <w:sz w:val="20"/>
                <w:szCs w:val="20"/>
              </w:rPr>
              <w:t>Caso a empresa vencedora da licitação seja de outro Estado</w:t>
            </w:r>
            <w:r>
              <w:rPr>
                <w:color w:val="000000"/>
                <w:sz w:val="20"/>
                <w:szCs w:val="20"/>
              </w:rPr>
              <w:t>, na assinatura do contrato, a Empresa e/ou o responsável técnico com sede ou acervo técnico de outro Estado, deverão apresentar o registro de regularidade com visto no CREA/CAU/ES, conforme Lei nº  5.194/66 e Resoluções 266/79 e 413/97 do CONFEA.</w:t>
            </w:r>
          </w:p>
          <w:p w:rsidR="00BA7785" w:rsidRPr="00BA7785" w:rsidRDefault="00BA7785" w:rsidP="00BA7785">
            <w:pPr>
              <w:pStyle w:val="PargrafodaLista"/>
              <w:widowControl w:val="0"/>
              <w:numPr>
                <w:ilvl w:val="0"/>
                <w:numId w:val="4"/>
              </w:numPr>
              <w:autoSpaceDE w:val="0"/>
              <w:autoSpaceDN w:val="0"/>
              <w:adjustRightInd w:val="0"/>
              <w:ind w:left="851"/>
              <w:jc w:val="both"/>
              <w:rPr>
                <w:color w:val="000000"/>
                <w:sz w:val="20"/>
                <w:szCs w:val="20"/>
              </w:rPr>
            </w:pPr>
            <w:r w:rsidRPr="00BA7785">
              <w:rPr>
                <w:b/>
                <w:bCs/>
                <w:color w:val="000000"/>
                <w:sz w:val="20"/>
                <w:szCs w:val="20"/>
              </w:rPr>
              <w:t>Comprovação de aptidão para desempenho da atividade pertinente e compatível em características com o objeto da licitação e indicação do objeto, bem como da qualificação dos membros da equipe técnica</w:t>
            </w:r>
            <w:r w:rsidRPr="00BA7785">
              <w:rPr>
                <w:color w:val="000000"/>
                <w:sz w:val="20"/>
                <w:szCs w:val="20"/>
              </w:rPr>
              <w:t>. O acervo técnico deverá constar todos os técnicos relacionados no CAT. A comprovação da capacidade técnica será feita da seguinte forma:</w:t>
            </w:r>
          </w:p>
          <w:p w:rsidR="00BA7785" w:rsidRDefault="00BA7785" w:rsidP="00BA7785">
            <w:pPr>
              <w:widowControl w:val="0"/>
              <w:autoSpaceDE w:val="0"/>
              <w:autoSpaceDN w:val="0"/>
              <w:adjustRightInd w:val="0"/>
              <w:jc w:val="both"/>
              <w:rPr>
                <w:color w:val="000000"/>
                <w:sz w:val="20"/>
                <w:szCs w:val="20"/>
              </w:rPr>
            </w:pPr>
          </w:p>
          <w:p w:rsidR="00BA7785" w:rsidRDefault="00BA7785" w:rsidP="00BA7785">
            <w:pPr>
              <w:widowControl w:val="0"/>
              <w:autoSpaceDE w:val="0"/>
              <w:autoSpaceDN w:val="0"/>
              <w:adjustRightInd w:val="0"/>
              <w:ind w:left="851"/>
              <w:jc w:val="both"/>
              <w:rPr>
                <w:color w:val="000000"/>
                <w:sz w:val="20"/>
                <w:szCs w:val="20"/>
              </w:rPr>
            </w:pPr>
            <w:r>
              <w:rPr>
                <w:color w:val="000000"/>
                <w:sz w:val="20"/>
                <w:szCs w:val="20"/>
              </w:rPr>
              <w:t xml:space="preserve">a) Atestado de desempenho anterior, emitido por pessoas jurídicas de direito público ou privado, acompanhado das respectivas certidões de acervo técnico (CAT), expedidas pelo (CREA/CAU), do profissional de nível superior  detentor da anotação </w:t>
            </w:r>
            <w:r>
              <w:rPr>
                <w:color w:val="000000"/>
                <w:sz w:val="20"/>
                <w:szCs w:val="20"/>
              </w:rPr>
              <w:lastRenderedPageBreak/>
              <w:t>de responsabilidade técnica (ART/RRT), comprovando a prestação de serviços de características técnicas compatíveis às do objeto da  presente Licitação.</w:t>
            </w:r>
          </w:p>
          <w:p w:rsidR="00BA7785" w:rsidRDefault="00BA7785" w:rsidP="00BA7785">
            <w:pPr>
              <w:widowControl w:val="0"/>
              <w:autoSpaceDE w:val="0"/>
              <w:autoSpaceDN w:val="0"/>
              <w:adjustRightInd w:val="0"/>
              <w:jc w:val="both"/>
              <w:rPr>
                <w:color w:val="000000"/>
                <w:sz w:val="20"/>
                <w:szCs w:val="20"/>
              </w:rPr>
            </w:pPr>
          </w:p>
          <w:p w:rsidR="00BA7785" w:rsidRDefault="00BA7785" w:rsidP="00BA7785">
            <w:pPr>
              <w:widowControl w:val="0"/>
              <w:autoSpaceDE w:val="0"/>
              <w:autoSpaceDN w:val="0"/>
              <w:adjustRightInd w:val="0"/>
              <w:ind w:left="851"/>
              <w:jc w:val="both"/>
              <w:rPr>
                <w:color w:val="000000"/>
                <w:sz w:val="20"/>
                <w:szCs w:val="20"/>
              </w:rPr>
            </w:pPr>
            <w:r>
              <w:rPr>
                <w:color w:val="000000"/>
                <w:sz w:val="20"/>
                <w:szCs w:val="20"/>
              </w:rPr>
              <w:t>b) O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w:t>
            </w:r>
          </w:p>
          <w:p w:rsidR="00BA7785" w:rsidRDefault="00BA7785" w:rsidP="00BA7785">
            <w:pPr>
              <w:widowControl w:val="0"/>
              <w:autoSpaceDE w:val="0"/>
              <w:autoSpaceDN w:val="0"/>
              <w:adjustRightInd w:val="0"/>
              <w:jc w:val="both"/>
              <w:rPr>
                <w:color w:val="000000"/>
                <w:sz w:val="20"/>
                <w:szCs w:val="20"/>
              </w:rPr>
            </w:pPr>
          </w:p>
          <w:p w:rsidR="00BA7785" w:rsidRDefault="00BA7785" w:rsidP="00BA7785">
            <w:pPr>
              <w:widowControl w:val="0"/>
              <w:autoSpaceDE w:val="0"/>
              <w:autoSpaceDN w:val="0"/>
              <w:adjustRightInd w:val="0"/>
              <w:ind w:firstLine="851"/>
              <w:jc w:val="both"/>
              <w:rPr>
                <w:color w:val="000000"/>
                <w:sz w:val="20"/>
                <w:szCs w:val="20"/>
              </w:rPr>
            </w:pPr>
            <w:r>
              <w:rPr>
                <w:color w:val="000000"/>
                <w:sz w:val="20"/>
                <w:szCs w:val="20"/>
              </w:rPr>
              <w:t xml:space="preserve">c) </w:t>
            </w:r>
            <w:r>
              <w:rPr>
                <w:b/>
                <w:bCs/>
                <w:color w:val="000000"/>
                <w:sz w:val="20"/>
                <w:szCs w:val="20"/>
              </w:rPr>
              <w:t>Atestado de conclusãoe descrição dos serviços executados.</w:t>
            </w:r>
          </w:p>
          <w:p w:rsidR="00BA7785" w:rsidRDefault="00BA7785" w:rsidP="00BA7785">
            <w:pPr>
              <w:widowControl w:val="0"/>
              <w:autoSpaceDE w:val="0"/>
              <w:autoSpaceDN w:val="0"/>
              <w:adjustRightInd w:val="0"/>
              <w:jc w:val="both"/>
              <w:rPr>
                <w:color w:val="000000"/>
                <w:sz w:val="20"/>
                <w:szCs w:val="20"/>
              </w:rPr>
            </w:pPr>
          </w:p>
          <w:p w:rsidR="00BA7785" w:rsidRPr="00BA7785" w:rsidRDefault="00BA7785" w:rsidP="00BA7785">
            <w:pPr>
              <w:pStyle w:val="PargrafodaLista"/>
              <w:widowControl w:val="0"/>
              <w:numPr>
                <w:ilvl w:val="0"/>
                <w:numId w:val="4"/>
              </w:numPr>
              <w:autoSpaceDE w:val="0"/>
              <w:autoSpaceDN w:val="0"/>
              <w:adjustRightInd w:val="0"/>
              <w:jc w:val="both"/>
              <w:rPr>
                <w:b/>
                <w:bCs/>
                <w:color w:val="000000"/>
                <w:sz w:val="20"/>
                <w:szCs w:val="20"/>
              </w:rPr>
            </w:pPr>
            <w:r w:rsidRPr="00BA7785">
              <w:rPr>
                <w:b/>
                <w:bCs/>
                <w:color w:val="000000"/>
                <w:sz w:val="20"/>
                <w:szCs w:val="20"/>
              </w:rPr>
              <w:t>Comprovação de vínculo de trabalho entre os técnicos indicados e a empresa licitante</w:t>
            </w:r>
            <w:r w:rsidRPr="00BA7785">
              <w:rPr>
                <w:color w:val="000000"/>
                <w:sz w:val="20"/>
                <w:szCs w:val="20"/>
              </w:rPr>
              <w:t xml:space="preserve">. </w:t>
            </w:r>
            <w:r w:rsidRPr="00BA7785">
              <w:rPr>
                <w:b/>
                <w:bCs/>
                <w:color w:val="000000"/>
                <w:sz w:val="20"/>
                <w:szCs w:val="20"/>
              </w:rPr>
              <w:t>Esta comprovação poderá ser feita através de CTPS ou Contrato de Trabalho ou CREA/CAU.</w:t>
            </w:r>
          </w:p>
          <w:p w:rsidR="00624FBC" w:rsidRPr="00BA7785" w:rsidRDefault="00624FBC" w:rsidP="00BA7785">
            <w:pPr>
              <w:autoSpaceDE w:val="0"/>
              <w:autoSpaceDN w:val="0"/>
              <w:adjustRightInd w:val="0"/>
              <w:jc w:val="both"/>
              <w:rPr>
                <w:rFonts w:ascii="ArialMT" w:hAnsi="ArialMT" w:cs="ArialMT"/>
                <w:sz w:val="20"/>
                <w:szCs w:val="20"/>
              </w:rPr>
            </w:pPr>
          </w:p>
          <w:p w:rsidR="00624FBC" w:rsidRDefault="00624FBC" w:rsidP="009D0358">
            <w:pPr>
              <w:pStyle w:val="PargrafodaLista"/>
              <w:numPr>
                <w:ilvl w:val="0"/>
                <w:numId w:val="3"/>
              </w:numPr>
              <w:autoSpaceDE w:val="0"/>
              <w:autoSpaceDN w:val="0"/>
              <w:adjustRightInd w:val="0"/>
              <w:jc w:val="both"/>
              <w:rPr>
                <w:rFonts w:ascii="ArialMT" w:hAnsi="ArialMT" w:cs="ArialMT"/>
                <w:sz w:val="20"/>
                <w:szCs w:val="20"/>
              </w:rPr>
            </w:pPr>
            <w:r w:rsidRPr="00624FBC">
              <w:rPr>
                <w:rFonts w:ascii="ArialMT" w:hAnsi="ArialMT" w:cs="ArialMT"/>
                <w:sz w:val="20"/>
                <w:szCs w:val="20"/>
              </w:rPr>
              <w:t>Certificado no INMETRO;</w:t>
            </w:r>
          </w:p>
          <w:p w:rsidR="00BA7785" w:rsidRPr="00624FBC" w:rsidRDefault="00BA7785" w:rsidP="00BA7785">
            <w:pPr>
              <w:pStyle w:val="PargrafodaLista"/>
              <w:autoSpaceDE w:val="0"/>
              <w:autoSpaceDN w:val="0"/>
              <w:adjustRightInd w:val="0"/>
              <w:ind w:left="780"/>
              <w:jc w:val="both"/>
              <w:rPr>
                <w:rFonts w:ascii="ArialMT" w:hAnsi="ArialMT" w:cs="ArialMT"/>
                <w:sz w:val="20"/>
                <w:szCs w:val="20"/>
              </w:rPr>
            </w:pPr>
          </w:p>
          <w:p w:rsidR="00EA67A0" w:rsidRPr="00133D3C" w:rsidRDefault="00133D3C" w:rsidP="009D0358">
            <w:pPr>
              <w:pStyle w:val="PargrafodaLista"/>
              <w:numPr>
                <w:ilvl w:val="0"/>
                <w:numId w:val="3"/>
              </w:numPr>
              <w:autoSpaceDE w:val="0"/>
              <w:autoSpaceDN w:val="0"/>
              <w:adjustRightInd w:val="0"/>
              <w:jc w:val="both"/>
              <w:rPr>
                <w:rFonts w:ascii="ArialMT" w:hAnsi="ArialMT" w:cs="ArialMT"/>
                <w:sz w:val="20"/>
                <w:szCs w:val="20"/>
              </w:rPr>
            </w:pPr>
            <w:r w:rsidRPr="00133D3C">
              <w:rPr>
                <w:rFonts w:ascii="ArialMT" w:hAnsi="ArialMT" w:cs="ArialMT"/>
                <w:sz w:val="20"/>
                <w:szCs w:val="20"/>
              </w:rPr>
              <w:t>Certificação de que os playgrounds comercializados atendem a Norma da ABNT NBR 16.071/2012,específicas para playgrounds, relativas a ângulos dos brinquedos, fixação, tipos de piso e materiais</w:t>
            </w:r>
            <w:r>
              <w:rPr>
                <w:rFonts w:ascii="ArialMT" w:hAnsi="ArialMT" w:cs="ArialMT"/>
                <w:sz w:val="20"/>
                <w:szCs w:val="20"/>
              </w:rPr>
              <w:t xml:space="preserve"> </w:t>
            </w:r>
            <w:r w:rsidRPr="00133D3C">
              <w:rPr>
                <w:rFonts w:ascii="ArialMT" w:hAnsi="ArialMT" w:cs="ArialMT"/>
                <w:sz w:val="20"/>
                <w:szCs w:val="20"/>
              </w:rPr>
              <w:t>adequados como plástico, aço ou ferro galvanizado, pintura atóxica em madeira tratada, dentre outros,</w:t>
            </w:r>
            <w:r>
              <w:rPr>
                <w:rFonts w:ascii="ArialMT" w:hAnsi="ArialMT" w:cs="ArialMT"/>
                <w:sz w:val="20"/>
                <w:szCs w:val="20"/>
              </w:rPr>
              <w:t xml:space="preserve"> </w:t>
            </w:r>
            <w:r w:rsidRPr="00133D3C">
              <w:rPr>
                <w:rFonts w:ascii="ArialMT" w:hAnsi="ArialMT" w:cs="ArialMT"/>
                <w:sz w:val="20"/>
                <w:szCs w:val="20"/>
              </w:rPr>
              <w:t>emitido pela ABNT ou entidade acreditada pelo INMETRO, Certificado e/ou Termo do Fabricante</w:t>
            </w:r>
            <w:r>
              <w:rPr>
                <w:rFonts w:ascii="ArialMT" w:hAnsi="ArialMT" w:cs="ArialMT"/>
                <w:sz w:val="20"/>
                <w:szCs w:val="20"/>
              </w:rPr>
              <w:t xml:space="preserve"> </w:t>
            </w:r>
            <w:r w:rsidRPr="00133D3C">
              <w:rPr>
                <w:rFonts w:ascii="ArialMT" w:hAnsi="ArialMT" w:cs="ArialMT"/>
                <w:sz w:val="20"/>
                <w:szCs w:val="20"/>
              </w:rPr>
              <w:t>constatando que os brinquedos/playgrounds, possuem selo indicando que os mesmos obedecem aos</w:t>
            </w:r>
            <w:r>
              <w:rPr>
                <w:rFonts w:ascii="ArialMT" w:hAnsi="ArialMT" w:cs="ArialMT"/>
                <w:sz w:val="20"/>
                <w:szCs w:val="20"/>
              </w:rPr>
              <w:t xml:space="preserve"> </w:t>
            </w:r>
            <w:r w:rsidRPr="00133D3C">
              <w:rPr>
                <w:rFonts w:ascii="ArialMT" w:hAnsi="ArialMT" w:cs="ArialMT"/>
                <w:sz w:val="20"/>
                <w:szCs w:val="20"/>
              </w:rPr>
              <w:t>padrões de qualidade, resistência e segurança, dentre outros pertinentes, regulados pela Associação</w:t>
            </w:r>
            <w:r>
              <w:rPr>
                <w:rFonts w:ascii="ArialMT" w:hAnsi="ArialMT" w:cs="ArialMT"/>
                <w:sz w:val="20"/>
                <w:szCs w:val="20"/>
              </w:rPr>
              <w:t xml:space="preserve"> </w:t>
            </w:r>
            <w:r w:rsidRPr="00133D3C">
              <w:rPr>
                <w:rFonts w:ascii="ArialMT" w:hAnsi="ArialMT" w:cs="ArialMT"/>
                <w:sz w:val="20"/>
                <w:szCs w:val="20"/>
              </w:rPr>
              <w:t>Brasileira de Normas Técnicas – ABNT, Instituto de Qualidade do</w:t>
            </w:r>
            <w:r>
              <w:rPr>
                <w:rFonts w:ascii="ArialMT" w:hAnsi="ArialMT" w:cs="ArialMT"/>
                <w:sz w:val="20"/>
                <w:szCs w:val="20"/>
              </w:rPr>
              <w:t xml:space="preserve"> </w:t>
            </w:r>
            <w:r w:rsidRPr="00133D3C">
              <w:rPr>
                <w:rFonts w:ascii="ArialMT" w:hAnsi="ArialMT" w:cs="ArialMT"/>
                <w:sz w:val="20"/>
                <w:szCs w:val="20"/>
              </w:rPr>
              <w:t>Brinquedo – IQB e Instituto Nacional de</w:t>
            </w:r>
            <w:r>
              <w:rPr>
                <w:rFonts w:ascii="ArialMT" w:hAnsi="ArialMT" w:cs="ArialMT"/>
                <w:sz w:val="20"/>
                <w:szCs w:val="20"/>
              </w:rPr>
              <w:t xml:space="preserve"> </w:t>
            </w:r>
            <w:r w:rsidRPr="00133D3C">
              <w:rPr>
                <w:rFonts w:ascii="ArialMT" w:hAnsi="ArialMT" w:cs="ArialMT"/>
                <w:sz w:val="20"/>
                <w:szCs w:val="20"/>
              </w:rPr>
              <w:t>Metrologia, Qualidade e Tecnologia – INMETRO.</w:t>
            </w:r>
            <w:r w:rsidR="00624FBC" w:rsidRPr="00133D3C">
              <w:rPr>
                <w:rFonts w:ascii="ArialMT" w:hAnsi="ArialMT" w:cs="ArialMT"/>
                <w:sz w:val="20"/>
                <w:szCs w:val="20"/>
              </w:rPr>
              <w:t>Brasileira de Normas Técnicas – ABNT, Instituto de Qualidade do Brinquedo – IQB e Instituto Nacional de Metrologia, Qualidade e Tecnologia – INMETRO.</w:t>
            </w: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3. LEVANTAMENTO DE MERCADO</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624FBC" w:rsidRPr="00401075" w:rsidRDefault="00EA67A0" w:rsidP="00624FBC">
            <w:pPr>
              <w:autoSpaceDE w:val="0"/>
              <w:autoSpaceDN w:val="0"/>
              <w:adjustRightInd w:val="0"/>
              <w:jc w:val="both"/>
              <w:rPr>
                <w:sz w:val="20"/>
                <w:szCs w:val="20"/>
              </w:rPr>
            </w:pPr>
            <w:r w:rsidRPr="00401075">
              <w:rPr>
                <w:sz w:val="20"/>
                <w:szCs w:val="20"/>
              </w:rPr>
              <w:t>A Prefeitura Municipal de Venda Nova do Imigrante – ES</w:t>
            </w:r>
            <w:r w:rsidR="00624FBC">
              <w:rPr>
                <w:sz w:val="20"/>
                <w:szCs w:val="20"/>
              </w:rPr>
              <w:t xml:space="preserve"> não </w:t>
            </w:r>
            <w:r w:rsidRPr="00401075">
              <w:rPr>
                <w:sz w:val="20"/>
                <w:szCs w:val="20"/>
              </w:rPr>
              <w:t xml:space="preserve"> possui </w:t>
            </w:r>
            <w:r>
              <w:rPr>
                <w:sz w:val="20"/>
                <w:szCs w:val="20"/>
              </w:rPr>
              <w:t>l</w:t>
            </w:r>
            <w:r w:rsidRPr="00401075">
              <w:rPr>
                <w:sz w:val="20"/>
                <w:szCs w:val="20"/>
              </w:rPr>
              <w:t>icitação anterior para o objeto ora a ser contratado</w:t>
            </w:r>
            <w:r w:rsidR="00624FBC">
              <w:rPr>
                <w:sz w:val="20"/>
                <w:szCs w:val="20"/>
              </w:rPr>
              <w:t>, será realizado pesquisa de mercado junto a empresas do ramo e tambéms será consultada contratações de outras prefeituras.</w:t>
            </w:r>
          </w:p>
          <w:p w:rsidR="00EA67A0" w:rsidRPr="00401075" w:rsidRDefault="00EA67A0" w:rsidP="00AB70FE">
            <w:pPr>
              <w:autoSpaceDE w:val="0"/>
              <w:autoSpaceDN w:val="0"/>
              <w:adjustRightInd w:val="0"/>
              <w:jc w:val="both"/>
              <w:rPr>
                <w:sz w:val="20"/>
                <w:szCs w:val="20"/>
              </w:rPr>
            </w:pP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4. DESCRIÇÃO DA SOLUÇÃO COMO UM TODO</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Default="00EA67A0" w:rsidP="00AB70FE">
            <w:pPr>
              <w:autoSpaceDE w:val="0"/>
              <w:autoSpaceDN w:val="0"/>
              <w:adjustRightInd w:val="0"/>
              <w:jc w:val="both"/>
              <w:rPr>
                <w:sz w:val="20"/>
                <w:szCs w:val="20"/>
              </w:rPr>
            </w:pPr>
            <w:r w:rsidRPr="00401075">
              <w:rPr>
                <w:sz w:val="20"/>
                <w:szCs w:val="20"/>
              </w:rPr>
              <w:t xml:space="preserve">A contratação do objeto ora pretendido será feita mediante Sistema de Registro de Preços, utilizando a modalidade Pregão </w:t>
            </w:r>
            <w:r>
              <w:rPr>
                <w:sz w:val="20"/>
                <w:szCs w:val="20"/>
              </w:rPr>
              <w:t>Eletrônico</w:t>
            </w:r>
            <w:r w:rsidRPr="00401075">
              <w:rPr>
                <w:sz w:val="20"/>
                <w:szCs w:val="20"/>
              </w:rPr>
              <w:t xml:space="preserve"> tipo menor preço por </w:t>
            </w:r>
            <w:r w:rsidR="00DF267A">
              <w:rPr>
                <w:sz w:val="20"/>
                <w:szCs w:val="20"/>
              </w:rPr>
              <w:t>lote/item</w:t>
            </w:r>
            <w:r w:rsidRPr="00401075">
              <w:rPr>
                <w:sz w:val="20"/>
                <w:szCs w:val="20"/>
              </w:rPr>
              <w:t xml:space="preserve">. Para a determinação dos preços de referência, buscamos preços de mercado, de forma a alcançarmos preços mais próximos da realidade. O sistema de registro de preços permite que a Administração adquira </w:t>
            </w:r>
            <w:r>
              <w:rPr>
                <w:sz w:val="20"/>
                <w:szCs w:val="20"/>
              </w:rPr>
              <w:t>os itens</w:t>
            </w:r>
            <w:r w:rsidRPr="00401075">
              <w:rPr>
                <w:sz w:val="20"/>
                <w:szCs w:val="20"/>
              </w:rPr>
              <w:t xml:space="preserve"> à medida que for sendo necessário, respeitando-se os limites orçamentários.</w:t>
            </w:r>
          </w:p>
          <w:p w:rsidR="00EA67A0" w:rsidRPr="00375FC8" w:rsidRDefault="00EA67A0" w:rsidP="00624FBC">
            <w:pPr>
              <w:autoSpaceDE w:val="0"/>
              <w:autoSpaceDN w:val="0"/>
              <w:adjustRightInd w:val="0"/>
              <w:jc w:val="both"/>
              <w:rPr>
                <w:sz w:val="20"/>
                <w:szCs w:val="20"/>
              </w:rPr>
            </w:pPr>
            <w:r w:rsidRPr="008206B6">
              <w:rPr>
                <w:sz w:val="20"/>
                <w:szCs w:val="20"/>
              </w:rPr>
              <w:t>Assim, considerando que o objeto deste Estudo Técnico Preliminar (ETP) trata-se de bens de natureza comum na forma do parágrafo único do Artigo 1º da Lei nº 10.520/2002, visto que pode ser objetivamente definido por meio das especificações usuais do mercad</w:t>
            </w:r>
            <w:r w:rsidR="00624FBC">
              <w:rPr>
                <w:sz w:val="20"/>
                <w:szCs w:val="20"/>
              </w:rPr>
              <w:t>o.</w:t>
            </w:r>
          </w:p>
        </w:tc>
      </w:tr>
    </w:tbl>
    <w:p w:rsidR="00EA67A0" w:rsidRPr="00401075" w:rsidRDefault="00EA67A0" w:rsidP="00EA67A0">
      <w:pPr>
        <w:spacing w:after="0" w:line="240" w:lineRule="auto"/>
        <w:jc w:val="center"/>
        <w:rPr>
          <w:b/>
          <w:sz w:val="20"/>
          <w:szCs w:val="20"/>
        </w:rPr>
      </w:pPr>
    </w:p>
    <w:tbl>
      <w:tblPr>
        <w:tblStyle w:val="Tabelacomgrade"/>
        <w:tblW w:w="8926" w:type="dxa"/>
        <w:tblLayout w:type="fixed"/>
        <w:tblLook w:val="04A0" w:firstRow="1" w:lastRow="0" w:firstColumn="1" w:lastColumn="0" w:noHBand="0" w:noVBand="1"/>
      </w:tblPr>
      <w:tblGrid>
        <w:gridCol w:w="8926"/>
      </w:tblGrid>
      <w:tr w:rsidR="00EA67A0" w:rsidRPr="00401075" w:rsidTr="00AB70FE">
        <w:tc>
          <w:tcPr>
            <w:tcW w:w="8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5. ESTIMATIVA DAS QUANTIDADES</w:t>
            </w:r>
          </w:p>
        </w:tc>
      </w:tr>
      <w:tr w:rsidR="00EA67A0" w:rsidRPr="00401075" w:rsidTr="00AB70FE">
        <w:tc>
          <w:tcPr>
            <w:tcW w:w="8926" w:type="dxa"/>
            <w:tcBorders>
              <w:top w:val="single" w:sz="4" w:space="0" w:color="auto"/>
              <w:left w:val="single" w:sz="4" w:space="0" w:color="auto"/>
              <w:bottom w:val="single" w:sz="4" w:space="0" w:color="auto"/>
              <w:right w:val="single" w:sz="4" w:space="0" w:color="auto"/>
            </w:tcBorders>
          </w:tcPr>
          <w:p w:rsidR="00EA67A0" w:rsidRPr="00401075" w:rsidRDefault="00AB7843" w:rsidP="00AB7843">
            <w:pPr>
              <w:jc w:val="both"/>
              <w:rPr>
                <w:sz w:val="20"/>
                <w:szCs w:val="20"/>
              </w:rPr>
            </w:pPr>
            <w:r>
              <w:rPr>
                <w:sz w:val="20"/>
                <w:szCs w:val="20"/>
              </w:rPr>
              <w:t>Foi realizado um levantamento das praças e escolas que irão receber os equipamentos, conforme detalhado nos pedidos de compras.</w:t>
            </w:r>
            <w:bookmarkStart w:id="0" w:name="_GoBack"/>
            <w:bookmarkEnd w:id="0"/>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6. ESTIMATIVA DO VALOR DA CONTRATAÇÃO</w:t>
            </w:r>
          </w:p>
        </w:tc>
      </w:tr>
      <w:tr w:rsidR="00EA67A0" w:rsidRPr="00B20589" w:rsidTr="00AB70FE">
        <w:tc>
          <w:tcPr>
            <w:tcW w:w="8927" w:type="dxa"/>
            <w:tcBorders>
              <w:top w:val="single" w:sz="4" w:space="0" w:color="auto"/>
              <w:left w:val="single" w:sz="4" w:space="0" w:color="auto"/>
              <w:bottom w:val="single" w:sz="4" w:space="0" w:color="auto"/>
              <w:right w:val="single" w:sz="4" w:space="0" w:color="auto"/>
            </w:tcBorders>
          </w:tcPr>
          <w:p w:rsidR="00EA67A0" w:rsidRPr="005D69E5" w:rsidRDefault="00EA67A0" w:rsidP="00AB70FE">
            <w:pPr>
              <w:widowControl w:val="0"/>
              <w:jc w:val="both"/>
              <w:rPr>
                <w:sz w:val="20"/>
                <w:szCs w:val="20"/>
              </w:rPr>
            </w:pPr>
            <w:r>
              <w:rPr>
                <w:sz w:val="20"/>
                <w:szCs w:val="20"/>
              </w:rPr>
              <w:t>A estimativa de valor da contratação é sigilosa até o momento da abertura da proposta de preços da licitação.</w:t>
            </w: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7. PARCELAMENTO OU NÃO DA SOLUÇÃO</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Pr="00401075" w:rsidRDefault="00EA67A0" w:rsidP="00DF267A">
            <w:pPr>
              <w:widowControl w:val="0"/>
              <w:jc w:val="both"/>
              <w:rPr>
                <w:rFonts w:eastAsia="Calibri"/>
                <w:sz w:val="20"/>
                <w:szCs w:val="20"/>
              </w:rPr>
            </w:pPr>
            <w:r w:rsidRPr="00401075">
              <w:rPr>
                <w:rFonts w:eastAsia="Calibri"/>
                <w:sz w:val="20"/>
                <w:szCs w:val="20"/>
              </w:rPr>
              <w:t xml:space="preserve">A licitação será de </w:t>
            </w:r>
            <w:r w:rsidR="00DF267A">
              <w:rPr>
                <w:rFonts w:eastAsia="Calibri"/>
                <w:sz w:val="20"/>
                <w:szCs w:val="20"/>
              </w:rPr>
              <w:t xml:space="preserve"> lote único, por se tratar de um parque com diversos brinquedos que o compõem;</w:t>
            </w: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lastRenderedPageBreak/>
              <w:t>8. CONTRATAÇÕES CORRELATAS E/OU INTERDEPENDENTES</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Default="00EA67A0" w:rsidP="00AB70FE">
            <w:pPr>
              <w:widowControl w:val="0"/>
              <w:jc w:val="both"/>
              <w:rPr>
                <w:rFonts w:eastAsia="Calibri"/>
                <w:sz w:val="20"/>
                <w:szCs w:val="20"/>
              </w:rPr>
            </w:pPr>
          </w:p>
          <w:p w:rsidR="00EA67A0" w:rsidRDefault="00EA67A0" w:rsidP="00AB70FE">
            <w:pPr>
              <w:widowControl w:val="0"/>
              <w:jc w:val="both"/>
              <w:rPr>
                <w:rFonts w:eastAsia="Calibri"/>
                <w:sz w:val="20"/>
                <w:szCs w:val="20"/>
              </w:rPr>
            </w:pPr>
            <w:r w:rsidRPr="00401075">
              <w:rPr>
                <w:rFonts w:eastAsia="Calibri"/>
                <w:sz w:val="20"/>
                <w:szCs w:val="20"/>
              </w:rPr>
              <w:t>Não há a necessidade de contratações/aquisições correlatas ao objeto ora debatido.</w:t>
            </w:r>
          </w:p>
          <w:p w:rsidR="00EA67A0" w:rsidRPr="00401075" w:rsidRDefault="00EA67A0" w:rsidP="00AB70FE">
            <w:pPr>
              <w:widowControl w:val="0"/>
              <w:jc w:val="both"/>
              <w:rPr>
                <w:rFonts w:eastAsia="Calibri"/>
                <w:sz w:val="20"/>
                <w:szCs w:val="20"/>
              </w:rPr>
            </w:pP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9. ALINHAMENTO ENTRE A CONTRATAÇÃO E O PLANEJAMENTO</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Default="00EA67A0" w:rsidP="00AB70FE">
            <w:pPr>
              <w:autoSpaceDE w:val="0"/>
              <w:autoSpaceDN w:val="0"/>
              <w:adjustRightInd w:val="0"/>
              <w:jc w:val="both"/>
              <w:rPr>
                <w:color w:val="000000"/>
                <w:sz w:val="20"/>
                <w:szCs w:val="20"/>
              </w:rPr>
            </w:pPr>
          </w:p>
          <w:p w:rsidR="00EA67A0" w:rsidRDefault="00EA67A0" w:rsidP="00AB70FE">
            <w:pPr>
              <w:autoSpaceDE w:val="0"/>
              <w:autoSpaceDN w:val="0"/>
              <w:adjustRightInd w:val="0"/>
              <w:jc w:val="both"/>
              <w:rPr>
                <w:color w:val="000000"/>
                <w:sz w:val="20"/>
                <w:szCs w:val="20"/>
              </w:rPr>
            </w:pPr>
            <w:r w:rsidRPr="00401075">
              <w:rPr>
                <w:color w:val="000000"/>
                <w:sz w:val="20"/>
                <w:szCs w:val="20"/>
              </w:rPr>
              <w:t xml:space="preserve">A Prefeitura Municipal de Venda Nova do Imigrante/ES tem demanda de </w:t>
            </w:r>
            <w:r>
              <w:rPr>
                <w:color w:val="000000"/>
                <w:sz w:val="20"/>
                <w:szCs w:val="20"/>
              </w:rPr>
              <w:t xml:space="preserve">material de expediente </w:t>
            </w:r>
            <w:r w:rsidRPr="00401075">
              <w:rPr>
                <w:color w:val="000000"/>
                <w:sz w:val="20"/>
                <w:szCs w:val="20"/>
              </w:rPr>
              <w:t xml:space="preserve"> em suas Secretarias, para atendimento aos munícipes</w:t>
            </w:r>
            <w:r w:rsidRPr="00401075">
              <w:rPr>
                <w:color w:val="00000A"/>
                <w:sz w:val="20"/>
                <w:szCs w:val="20"/>
              </w:rPr>
              <w:t xml:space="preserve">. Por essa razão, a estratégia de contratação mais conveniente dá-se por sistema de registro de preços, </w:t>
            </w:r>
            <w:r w:rsidRPr="00401075">
              <w:rPr>
                <w:color w:val="000000"/>
                <w:sz w:val="20"/>
                <w:szCs w:val="20"/>
              </w:rPr>
              <w:t xml:space="preserve">com fundamento no art. 3º, inciso II, do Decreto nº. 7.892/2013, na modalidade de Pregão </w:t>
            </w:r>
            <w:r>
              <w:rPr>
                <w:color w:val="000000"/>
                <w:sz w:val="20"/>
                <w:szCs w:val="20"/>
              </w:rPr>
              <w:t>Eletrônico</w:t>
            </w:r>
            <w:r w:rsidRPr="00401075">
              <w:rPr>
                <w:color w:val="000000"/>
                <w:sz w:val="20"/>
                <w:szCs w:val="20"/>
              </w:rPr>
              <w:t>, tipo menor preço por item/grupo ou lote.</w:t>
            </w:r>
          </w:p>
          <w:p w:rsidR="00EA67A0" w:rsidRPr="00375FC8" w:rsidRDefault="00EA67A0" w:rsidP="00AB70FE">
            <w:pPr>
              <w:autoSpaceDE w:val="0"/>
              <w:autoSpaceDN w:val="0"/>
              <w:adjustRightInd w:val="0"/>
              <w:jc w:val="both"/>
              <w:rPr>
                <w:color w:val="000000"/>
                <w:sz w:val="20"/>
                <w:szCs w:val="20"/>
              </w:rPr>
            </w:pP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10. RESULTADOS PRETENDIDOS</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Default="00DF267A" w:rsidP="00DF267A">
            <w:pPr>
              <w:autoSpaceDE w:val="0"/>
              <w:autoSpaceDN w:val="0"/>
              <w:adjustRightInd w:val="0"/>
              <w:jc w:val="both"/>
            </w:pPr>
            <w:r w:rsidRPr="00DF267A">
              <w:rPr>
                <w:sz w:val="20"/>
                <w:szCs w:val="20"/>
              </w:rPr>
              <w:t xml:space="preserve">A aquisição de playground se faz necessária pela importância pedagógica atribuída a estes objetos, pois esses brinquedos são capazes de motivar as crianças a agir socialmente, ajudando umas as outras na diversão e aprendizado, nesse sentido, o significado do brincar vai além da diversão em si, significa aprender a resolver problemas, tomar decisões, explorar, negociar e conseguir se expressar de forma legítima através de situações que são relevantes e muito significativas. Sendo assim, brincadeiras e jogos podem e devem ser utilizados como uma ferramenta importante de educação para o educado através da orientação e observação, o mesmo pode avaliar e compreender como acontece o desenvolvimento social, cultural, emocional, físico-motor de cada indivíduo. Há carência de brinquedos para playground nas Escolas </w:t>
            </w:r>
            <w:r>
              <w:rPr>
                <w:sz w:val="20"/>
                <w:szCs w:val="20"/>
              </w:rPr>
              <w:t xml:space="preserve">e praças </w:t>
            </w:r>
            <w:r w:rsidRPr="00DF267A">
              <w:rPr>
                <w:sz w:val="20"/>
                <w:szCs w:val="20"/>
              </w:rPr>
              <w:t xml:space="preserve"> do nosso município, sendo necessário dar celeridade à estruturação física e ao funcionamento dos mesmos, dar-se a necessidade de realização do processo licitatório para garantir de forma eficácia a aquisição</w:t>
            </w:r>
            <w:r>
              <w:t>.</w:t>
            </w:r>
          </w:p>
          <w:p w:rsidR="00DF267A" w:rsidRDefault="00DF267A" w:rsidP="00DF267A">
            <w:pPr>
              <w:autoSpaceDE w:val="0"/>
              <w:autoSpaceDN w:val="0"/>
              <w:adjustRightInd w:val="0"/>
              <w:jc w:val="both"/>
              <w:rPr>
                <w:sz w:val="20"/>
                <w:szCs w:val="20"/>
              </w:rPr>
            </w:pPr>
          </w:p>
          <w:p w:rsidR="00916928" w:rsidRDefault="00916928" w:rsidP="00916928">
            <w:pPr>
              <w:autoSpaceDE w:val="0"/>
              <w:autoSpaceDN w:val="0"/>
              <w:adjustRightInd w:val="0"/>
              <w:jc w:val="both"/>
              <w:rPr>
                <w:sz w:val="20"/>
                <w:szCs w:val="20"/>
              </w:rPr>
            </w:pPr>
            <w:r w:rsidRPr="00916928">
              <w:rPr>
                <w:sz w:val="20"/>
                <w:szCs w:val="20"/>
              </w:rPr>
              <w:t>Enfim, a aquisição do parque infantil visa atender as necessidades</w:t>
            </w:r>
            <w:r>
              <w:rPr>
                <w:sz w:val="20"/>
                <w:szCs w:val="20"/>
              </w:rPr>
              <w:t xml:space="preserve"> das ecsolas e das praças Municipais</w:t>
            </w:r>
            <w:r w:rsidRPr="00916928">
              <w:rPr>
                <w:sz w:val="20"/>
                <w:szCs w:val="20"/>
              </w:rPr>
              <w:t>, ofertando as crianças um parque infantil de qualidade, que atenda as normas de segurança e de prevenção de acidentes da Associação Brasileira de Normas Técnicas – ABNT, e que mesmo depois de certo tempo não apresentem problemas de manutenção, como pregos expostos, ferrugem, pedaços de ferro soltos oferecendo risco de cortes ou perfurações, de fácil limpeza, que reduz os riscos de contaminação de bactérias, parasitoses e dermatites</w:t>
            </w:r>
          </w:p>
          <w:p w:rsidR="00916928" w:rsidRDefault="00916928" w:rsidP="00916928">
            <w:pPr>
              <w:autoSpaceDE w:val="0"/>
              <w:autoSpaceDN w:val="0"/>
              <w:adjustRightInd w:val="0"/>
              <w:jc w:val="both"/>
              <w:rPr>
                <w:sz w:val="20"/>
                <w:szCs w:val="20"/>
              </w:rPr>
            </w:pPr>
          </w:p>
          <w:p w:rsidR="00916928" w:rsidRPr="00916928" w:rsidRDefault="00916928" w:rsidP="00916928">
            <w:pPr>
              <w:autoSpaceDE w:val="0"/>
              <w:autoSpaceDN w:val="0"/>
              <w:adjustRightInd w:val="0"/>
              <w:jc w:val="both"/>
              <w:rPr>
                <w:sz w:val="20"/>
                <w:szCs w:val="20"/>
              </w:rPr>
            </w:pPr>
            <w:r w:rsidRPr="00916928">
              <w:rPr>
                <w:sz w:val="20"/>
                <w:szCs w:val="20"/>
              </w:rPr>
              <w:t>Deste modo possibilitando a comunidade mais um espaço de lazer e recreação para as crianças</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Pr="00401075" w:rsidRDefault="00EA67A0" w:rsidP="00AB70FE">
            <w:pPr>
              <w:autoSpaceDE w:val="0"/>
              <w:autoSpaceDN w:val="0"/>
              <w:adjustRightInd w:val="0"/>
              <w:jc w:val="center"/>
              <w:rPr>
                <w:sz w:val="20"/>
                <w:szCs w:val="20"/>
              </w:rPr>
            </w:pP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 xml:space="preserve">11. </w:t>
            </w:r>
            <w:r w:rsidRPr="00401075">
              <w:rPr>
                <w:rFonts w:eastAsia="Calibri"/>
                <w:b/>
                <w:sz w:val="20"/>
                <w:szCs w:val="20"/>
              </w:rPr>
              <w:t>PROVIDÊNCIAS A SEREM ADOTADAS</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Default="00EA67A0" w:rsidP="00AB70FE">
            <w:pPr>
              <w:widowControl w:val="0"/>
              <w:jc w:val="center"/>
              <w:rPr>
                <w:rFonts w:eastAsia="Calibri"/>
                <w:sz w:val="20"/>
                <w:szCs w:val="20"/>
              </w:rPr>
            </w:pPr>
          </w:p>
          <w:p w:rsidR="00EA67A0" w:rsidRDefault="00EA67A0" w:rsidP="00DF267A">
            <w:pPr>
              <w:widowControl w:val="0"/>
              <w:jc w:val="both"/>
              <w:rPr>
                <w:rFonts w:eastAsia="Calibri"/>
                <w:sz w:val="20"/>
                <w:szCs w:val="20"/>
              </w:rPr>
            </w:pPr>
            <w:r w:rsidRPr="00401075">
              <w:rPr>
                <w:rFonts w:eastAsia="Calibri"/>
                <w:sz w:val="20"/>
                <w:szCs w:val="20"/>
              </w:rPr>
              <w:t>Não há providências a serem adotadas pela Administração previamente à celebração do contrato.</w:t>
            </w:r>
          </w:p>
          <w:p w:rsidR="00EA67A0" w:rsidRPr="00401075" w:rsidRDefault="00EA67A0" w:rsidP="00AB70FE">
            <w:pPr>
              <w:widowControl w:val="0"/>
              <w:jc w:val="center"/>
              <w:rPr>
                <w:rFonts w:eastAsia="Calibri"/>
                <w:sz w:val="20"/>
                <w:szCs w:val="20"/>
              </w:rPr>
            </w:pP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12. IMPACTOS AMBIENTAIS</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Default="00EA67A0" w:rsidP="00AB70FE">
            <w:pPr>
              <w:widowControl w:val="0"/>
              <w:jc w:val="both"/>
              <w:rPr>
                <w:rFonts w:eastAsia="Calibri"/>
                <w:sz w:val="20"/>
                <w:szCs w:val="20"/>
              </w:rPr>
            </w:pPr>
          </w:p>
          <w:p w:rsidR="00EA67A0" w:rsidRDefault="00EA67A0" w:rsidP="00AB70FE">
            <w:pPr>
              <w:widowControl w:val="0"/>
              <w:jc w:val="both"/>
              <w:rPr>
                <w:rFonts w:eastAsia="Calibri"/>
                <w:sz w:val="20"/>
                <w:szCs w:val="20"/>
              </w:rPr>
            </w:pPr>
            <w:r w:rsidRPr="00401075">
              <w:rPr>
                <w:rFonts w:eastAsia="Calibri"/>
                <w:sz w:val="20"/>
                <w:szCs w:val="20"/>
              </w:rPr>
              <w:t>Em regra, não se vislumbra impactos ambientais decorrentes da contratação, tendo em vista que o material será adquirido de empresas licenciadas para a comercialização dos materiais.</w:t>
            </w:r>
          </w:p>
          <w:p w:rsidR="00EA67A0" w:rsidRPr="00401075" w:rsidRDefault="00EA67A0" w:rsidP="00AB70FE">
            <w:pPr>
              <w:widowControl w:val="0"/>
              <w:jc w:val="both"/>
              <w:rPr>
                <w:rFonts w:eastAsia="Calibri"/>
                <w:sz w:val="20"/>
                <w:szCs w:val="20"/>
              </w:rPr>
            </w:pPr>
          </w:p>
        </w:tc>
      </w:tr>
    </w:tbl>
    <w:p w:rsidR="00EA67A0" w:rsidRPr="00401075" w:rsidRDefault="00EA67A0" w:rsidP="00EA67A0">
      <w:pPr>
        <w:spacing w:after="0" w:line="240" w:lineRule="auto"/>
        <w:jc w:val="center"/>
        <w:rPr>
          <w:b/>
          <w:sz w:val="20"/>
          <w:szCs w:val="20"/>
        </w:rPr>
      </w:pPr>
    </w:p>
    <w:tbl>
      <w:tblPr>
        <w:tblStyle w:val="Tabelacomgrade"/>
        <w:tblW w:w="0" w:type="auto"/>
        <w:tblLook w:val="04A0" w:firstRow="1" w:lastRow="0" w:firstColumn="1" w:lastColumn="0" w:noHBand="0" w:noVBand="1"/>
      </w:tblPr>
      <w:tblGrid>
        <w:gridCol w:w="8720"/>
      </w:tblGrid>
      <w:tr w:rsidR="00EA67A0" w:rsidRPr="00401075" w:rsidTr="00AB70FE">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A67A0" w:rsidRPr="00401075" w:rsidRDefault="00EA67A0" w:rsidP="00AB70FE">
            <w:pPr>
              <w:jc w:val="center"/>
              <w:rPr>
                <w:b/>
                <w:sz w:val="20"/>
                <w:szCs w:val="20"/>
              </w:rPr>
            </w:pPr>
            <w:r w:rsidRPr="00401075">
              <w:rPr>
                <w:b/>
                <w:sz w:val="20"/>
                <w:szCs w:val="20"/>
              </w:rPr>
              <w:t>13. VIABILIDADE E RAZOABILIDADE DA CONTRATAÇÃO</w:t>
            </w:r>
          </w:p>
        </w:tc>
      </w:tr>
      <w:tr w:rsidR="00EA67A0" w:rsidRPr="00401075" w:rsidTr="00AB70FE">
        <w:tc>
          <w:tcPr>
            <w:tcW w:w="8927" w:type="dxa"/>
            <w:tcBorders>
              <w:top w:val="single" w:sz="4" w:space="0" w:color="auto"/>
              <w:left w:val="single" w:sz="4" w:space="0" w:color="auto"/>
              <w:bottom w:val="single" w:sz="4" w:space="0" w:color="auto"/>
              <w:right w:val="single" w:sz="4" w:space="0" w:color="auto"/>
            </w:tcBorders>
          </w:tcPr>
          <w:p w:rsidR="00EA67A0" w:rsidRDefault="00EA67A0" w:rsidP="00AB70FE">
            <w:pPr>
              <w:autoSpaceDE w:val="0"/>
              <w:autoSpaceDN w:val="0"/>
              <w:adjustRightInd w:val="0"/>
              <w:jc w:val="both"/>
              <w:rPr>
                <w:sz w:val="20"/>
                <w:szCs w:val="20"/>
              </w:rPr>
            </w:pPr>
          </w:p>
          <w:p w:rsidR="00EA67A0" w:rsidRPr="00401075" w:rsidRDefault="00EA67A0" w:rsidP="00AB70FE">
            <w:pPr>
              <w:autoSpaceDE w:val="0"/>
              <w:autoSpaceDN w:val="0"/>
              <w:adjustRightInd w:val="0"/>
              <w:jc w:val="both"/>
              <w:rPr>
                <w:sz w:val="20"/>
                <w:szCs w:val="20"/>
              </w:rPr>
            </w:pPr>
            <w:r w:rsidRPr="00401075">
              <w:rPr>
                <w:sz w:val="20"/>
                <w:szCs w:val="20"/>
              </w:rPr>
              <w:t>Os estudos preliminares indicam que esta forma de contratação é perfeitamente viável e que maximiza a probabilidade do alcance dos resultados pretendidos.</w:t>
            </w:r>
          </w:p>
          <w:p w:rsidR="00EA67A0" w:rsidRDefault="00EA67A0" w:rsidP="00AB70FE">
            <w:pPr>
              <w:widowControl w:val="0"/>
              <w:jc w:val="both"/>
              <w:rPr>
                <w:rFonts w:eastAsia="Calibri"/>
                <w:sz w:val="20"/>
                <w:szCs w:val="20"/>
              </w:rPr>
            </w:pPr>
            <w:r w:rsidRPr="00401075">
              <w:rPr>
                <w:sz w:val="20"/>
                <w:szCs w:val="20"/>
              </w:rPr>
              <w:t>Diante do exposto o</w:t>
            </w:r>
            <w:r>
              <w:rPr>
                <w:sz w:val="20"/>
                <w:szCs w:val="20"/>
              </w:rPr>
              <w:t xml:space="preserve"> </w:t>
            </w:r>
            <w:r w:rsidRPr="00401075">
              <w:rPr>
                <w:sz w:val="20"/>
                <w:szCs w:val="20"/>
              </w:rPr>
              <w:t xml:space="preserve">(a) responsável declara ser viável a contratação da solução pretendida, </w:t>
            </w:r>
            <w:r w:rsidRPr="00401075">
              <w:rPr>
                <w:rFonts w:eastAsia="Calibri"/>
                <w:sz w:val="20"/>
                <w:szCs w:val="20"/>
              </w:rPr>
              <w:t>com base neste Estudo Técnico Preliminar.</w:t>
            </w:r>
          </w:p>
          <w:p w:rsidR="00EA67A0" w:rsidRPr="00401075" w:rsidRDefault="00EA67A0" w:rsidP="00AB70FE">
            <w:pPr>
              <w:widowControl w:val="0"/>
              <w:jc w:val="both"/>
              <w:rPr>
                <w:rFonts w:eastAsia="Calibri"/>
                <w:sz w:val="20"/>
                <w:szCs w:val="20"/>
              </w:rPr>
            </w:pPr>
          </w:p>
        </w:tc>
      </w:tr>
    </w:tbl>
    <w:p w:rsidR="00EA67A0" w:rsidRPr="00401075" w:rsidRDefault="00EA67A0" w:rsidP="00EA67A0">
      <w:pPr>
        <w:jc w:val="center"/>
        <w:rPr>
          <w:sz w:val="20"/>
          <w:szCs w:val="20"/>
        </w:rPr>
      </w:pPr>
    </w:p>
    <w:p w:rsidR="00EA67A0" w:rsidRDefault="00EA67A0" w:rsidP="00EA67A0">
      <w:pPr>
        <w:jc w:val="center"/>
        <w:rPr>
          <w:sz w:val="20"/>
          <w:szCs w:val="20"/>
        </w:rPr>
      </w:pPr>
      <w:r w:rsidRPr="00646E25">
        <w:rPr>
          <w:sz w:val="20"/>
          <w:szCs w:val="20"/>
        </w:rPr>
        <w:lastRenderedPageBreak/>
        <w:t xml:space="preserve">Venda Nova do </w:t>
      </w:r>
      <w:r w:rsidRPr="004B0BE0">
        <w:rPr>
          <w:sz w:val="20"/>
          <w:szCs w:val="20"/>
        </w:rPr>
        <w:t xml:space="preserve">Imigrante – ES, </w:t>
      </w:r>
      <w:r w:rsidR="00547D60">
        <w:rPr>
          <w:sz w:val="20"/>
          <w:szCs w:val="20"/>
        </w:rPr>
        <w:t>31</w:t>
      </w:r>
      <w:r w:rsidRPr="004B0BE0">
        <w:rPr>
          <w:sz w:val="20"/>
          <w:szCs w:val="20"/>
        </w:rPr>
        <w:t xml:space="preserve"> de </w:t>
      </w:r>
      <w:r>
        <w:rPr>
          <w:sz w:val="20"/>
          <w:szCs w:val="20"/>
        </w:rPr>
        <w:t>agost</w:t>
      </w:r>
      <w:r w:rsidRPr="004B0BE0">
        <w:rPr>
          <w:sz w:val="20"/>
          <w:szCs w:val="20"/>
        </w:rPr>
        <w:t>o de 2021.</w:t>
      </w:r>
    </w:p>
    <w:p w:rsidR="00EA67A0" w:rsidRDefault="00EA67A0" w:rsidP="00EA67A0">
      <w:pPr>
        <w:jc w:val="center"/>
        <w:rPr>
          <w:sz w:val="20"/>
          <w:szCs w:val="20"/>
        </w:rPr>
      </w:pPr>
    </w:p>
    <w:p w:rsidR="00EA67A0" w:rsidRPr="00193BBF" w:rsidRDefault="00EA67A0" w:rsidP="00EA67A0">
      <w:pPr>
        <w:spacing w:after="0" w:line="240" w:lineRule="auto"/>
        <w:jc w:val="both"/>
        <w:rPr>
          <w:b/>
          <w:sz w:val="16"/>
          <w:szCs w:val="16"/>
        </w:rPr>
      </w:pPr>
    </w:p>
    <w:tbl>
      <w:tblPr>
        <w:tblStyle w:val="Tabelacomgrade"/>
        <w:tblpPr w:leftFromText="141" w:rightFromText="141" w:vertAnchor="text" w:horzAnchor="margin" w:tblpY="179"/>
        <w:tblW w:w="8844" w:type="dxa"/>
        <w:tblLook w:val="04A0" w:firstRow="1" w:lastRow="0" w:firstColumn="1" w:lastColumn="0" w:noHBand="0" w:noVBand="1"/>
      </w:tblPr>
      <w:tblGrid>
        <w:gridCol w:w="4422"/>
        <w:gridCol w:w="4422"/>
      </w:tblGrid>
      <w:tr w:rsidR="00EA67A0" w:rsidTr="00AB70FE">
        <w:trPr>
          <w:trHeight w:val="443"/>
        </w:trPr>
        <w:tc>
          <w:tcPr>
            <w:tcW w:w="4422" w:type="dxa"/>
            <w:vAlign w:val="center"/>
          </w:tcPr>
          <w:p w:rsidR="00EA67A0" w:rsidRDefault="00EA67A0" w:rsidP="00AB70FE">
            <w:pPr>
              <w:jc w:val="center"/>
              <w:rPr>
                <w:b/>
                <w:sz w:val="22"/>
                <w:szCs w:val="22"/>
              </w:rPr>
            </w:pPr>
          </w:p>
          <w:p w:rsidR="00EA67A0" w:rsidRPr="006244C6" w:rsidRDefault="00EA67A0" w:rsidP="00AB70FE">
            <w:pPr>
              <w:jc w:val="center"/>
              <w:rPr>
                <w:b/>
                <w:sz w:val="22"/>
                <w:szCs w:val="22"/>
              </w:rPr>
            </w:pPr>
            <w:r>
              <w:rPr>
                <w:b/>
                <w:sz w:val="22"/>
                <w:szCs w:val="22"/>
              </w:rPr>
              <w:t>APROVAÇÃO</w:t>
            </w:r>
          </w:p>
        </w:tc>
        <w:tc>
          <w:tcPr>
            <w:tcW w:w="4422" w:type="dxa"/>
            <w:vAlign w:val="center"/>
          </w:tcPr>
          <w:p w:rsidR="00EA67A0" w:rsidRDefault="00EA67A0" w:rsidP="00AB70FE">
            <w:pPr>
              <w:jc w:val="center"/>
              <w:rPr>
                <w:b/>
                <w:sz w:val="22"/>
                <w:szCs w:val="22"/>
              </w:rPr>
            </w:pPr>
          </w:p>
          <w:p w:rsidR="00EA67A0" w:rsidRPr="006244C6" w:rsidRDefault="00EA67A0" w:rsidP="00AB70FE">
            <w:pPr>
              <w:jc w:val="center"/>
              <w:rPr>
                <w:b/>
                <w:sz w:val="22"/>
                <w:szCs w:val="22"/>
              </w:rPr>
            </w:pPr>
            <w:r>
              <w:rPr>
                <w:b/>
                <w:sz w:val="22"/>
                <w:szCs w:val="22"/>
              </w:rPr>
              <w:t>APROVAÇÃO</w:t>
            </w:r>
          </w:p>
        </w:tc>
      </w:tr>
      <w:tr w:rsidR="00EA67A0" w:rsidTr="00AB70FE">
        <w:trPr>
          <w:trHeight w:val="2181"/>
        </w:trPr>
        <w:tc>
          <w:tcPr>
            <w:tcW w:w="4422" w:type="dxa"/>
            <w:vAlign w:val="bottom"/>
          </w:tcPr>
          <w:p w:rsidR="00EA67A0" w:rsidRDefault="00EA67A0" w:rsidP="00AB70FE">
            <w:pPr>
              <w:jc w:val="center"/>
            </w:pPr>
          </w:p>
          <w:p w:rsidR="00EA67A0" w:rsidRDefault="00EA67A0" w:rsidP="00AB70FE">
            <w:pPr>
              <w:jc w:val="center"/>
            </w:pPr>
          </w:p>
          <w:p w:rsidR="00EA67A0" w:rsidRDefault="00EA67A0" w:rsidP="00AB70FE">
            <w:pPr>
              <w:jc w:val="center"/>
            </w:pPr>
          </w:p>
        </w:tc>
        <w:tc>
          <w:tcPr>
            <w:tcW w:w="4422" w:type="dxa"/>
            <w:vAlign w:val="bottom"/>
          </w:tcPr>
          <w:p w:rsidR="00EA67A0" w:rsidRDefault="00EA67A0" w:rsidP="00AB70FE">
            <w:pPr>
              <w:jc w:val="center"/>
            </w:pPr>
          </w:p>
        </w:tc>
      </w:tr>
      <w:tr w:rsidR="00EA67A0" w:rsidTr="00AB70FE">
        <w:trPr>
          <w:trHeight w:val="411"/>
        </w:trPr>
        <w:tc>
          <w:tcPr>
            <w:tcW w:w="4422" w:type="dxa"/>
            <w:vAlign w:val="center"/>
          </w:tcPr>
          <w:p w:rsidR="00EA67A0" w:rsidRPr="002436D4" w:rsidRDefault="00EA67A0" w:rsidP="00AB70FE">
            <w:pPr>
              <w:jc w:val="center"/>
              <w:rPr>
                <w:b/>
                <w:sz w:val="16"/>
                <w:szCs w:val="16"/>
              </w:rPr>
            </w:pPr>
            <w:r w:rsidRPr="002436D4">
              <w:rPr>
                <w:b/>
                <w:sz w:val="16"/>
                <w:szCs w:val="16"/>
              </w:rPr>
              <w:t>Secretário</w:t>
            </w:r>
            <w:r>
              <w:rPr>
                <w:b/>
                <w:sz w:val="16"/>
                <w:szCs w:val="16"/>
              </w:rPr>
              <w:t>(a)</w:t>
            </w:r>
            <w:r w:rsidRPr="002436D4">
              <w:rPr>
                <w:b/>
                <w:sz w:val="16"/>
                <w:szCs w:val="16"/>
              </w:rPr>
              <w:t xml:space="preserve"> Municipal</w:t>
            </w:r>
            <w:r w:rsidR="00133D3C">
              <w:rPr>
                <w:b/>
                <w:sz w:val="16"/>
                <w:szCs w:val="16"/>
              </w:rPr>
              <w:t xml:space="preserve"> de Educação</w:t>
            </w:r>
          </w:p>
        </w:tc>
        <w:tc>
          <w:tcPr>
            <w:tcW w:w="4422" w:type="dxa"/>
            <w:vAlign w:val="center"/>
          </w:tcPr>
          <w:p w:rsidR="00EA67A0" w:rsidRPr="002436D4" w:rsidRDefault="00EA67A0" w:rsidP="00AB70FE">
            <w:pPr>
              <w:jc w:val="center"/>
              <w:rPr>
                <w:b/>
                <w:sz w:val="16"/>
                <w:szCs w:val="16"/>
              </w:rPr>
            </w:pPr>
            <w:r w:rsidRPr="002436D4">
              <w:rPr>
                <w:b/>
                <w:sz w:val="16"/>
                <w:szCs w:val="16"/>
              </w:rPr>
              <w:t>Secretário</w:t>
            </w:r>
            <w:r>
              <w:rPr>
                <w:b/>
                <w:sz w:val="16"/>
                <w:szCs w:val="16"/>
              </w:rPr>
              <w:t>(a)</w:t>
            </w:r>
            <w:r w:rsidRPr="002436D4">
              <w:rPr>
                <w:b/>
                <w:sz w:val="16"/>
                <w:szCs w:val="16"/>
              </w:rPr>
              <w:t xml:space="preserve">  Municipal</w:t>
            </w:r>
            <w:r w:rsidR="00133D3C">
              <w:rPr>
                <w:b/>
                <w:sz w:val="16"/>
                <w:szCs w:val="16"/>
              </w:rPr>
              <w:t xml:space="preserve"> de Esporte</w:t>
            </w:r>
          </w:p>
        </w:tc>
      </w:tr>
    </w:tbl>
    <w:p w:rsidR="00EA67A0" w:rsidRDefault="00EA67A0" w:rsidP="00EA67A0"/>
    <w:p w:rsidR="00EA67A0" w:rsidRDefault="00EA67A0" w:rsidP="00EA67A0"/>
    <w:p w:rsidR="007E474C" w:rsidRDefault="007E474C"/>
    <w:sectPr w:rsidR="007E47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841"/>
    <w:multiLevelType w:val="hybridMultilevel"/>
    <w:tmpl w:val="76BED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2F1000"/>
    <w:multiLevelType w:val="hybridMultilevel"/>
    <w:tmpl w:val="9214AEA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nsid w:val="74884D15"/>
    <w:multiLevelType w:val="hybridMultilevel"/>
    <w:tmpl w:val="4DE476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A0"/>
    <w:rsid w:val="00133D3C"/>
    <w:rsid w:val="00547D60"/>
    <w:rsid w:val="00624FBC"/>
    <w:rsid w:val="007E474C"/>
    <w:rsid w:val="00916928"/>
    <w:rsid w:val="009D0358"/>
    <w:rsid w:val="00AB7843"/>
    <w:rsid w:val="00B71120"/>
    <w:rsid w:val="00BA7785"/>
    <w:rsid w:val="00DF267A"/>
    <w:rsid w:val="00E32C17"/>
    <w:rsid w:val="00EA67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A0"/>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67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67A0"/>
    <w:rPr>
      <w:rFonts w:ascii="Arial" w:hAnsi="Arial" w:cs="Arial"/>
      <w:sz w:val="24"/>
      <w:szCs w:val="24"/>
    </w:rPr>
  </w:style>
  <w:style w:type="paragraph" w:styleId="Rodap">
    <w:name w:val="footer"/>
    <w:basedOn w:val="Normal"/>
    <w:link w:val="RodapChar"/>
    <w:uiPriority w:val="99"/>
    <w:unhideWhenUsed/>
    <w:rsid w:val="00EA67A0"/>
    <w:pPr>
      <w:tabs>
        <w:tab w:val="center" w:pos="4252"/>
        <w:tab w:val="right" w:pos="8504"/>
      </w:tabs>
      <w:spacing w:after="0" w:line="240" w:lineRule="auto"/>
    </w:pPr>
  </w:style>
  <w:style w:type="character" w:customStyle="1" w:styleId="RodapChar">
    <w:name w:val="Rodapé Char"/>
    <w:basedOn w:val="Fontepargpadro"/>
    <w:link w:val="Rodap"/>
    <w:uiPriority w:val="99"/>
    <w:rsid w:val="00EA67A0"/>
    <w:rPr>
      <w:rFonts w:ascii="Arial" w:hAnsi="Arial" w:cs="Arial"/>
      <w:sz w:val="24"/>
      <w:szCs w:val="24"/>
    </w:rPr>
  </w:style>
  <w:style w:type="paragraph" w:styleId="PargrafodaLista">
    <w:name w:val="List Paragraph"/>
    <w:basedOn w:val="Normal"/>
    <w:uiPriority w:val="34"/>
    <w:qFormat/>
    <w:rsid w:val="00EA67A0"/>
    <w:pPr>
      <w:ind w:left="720"/>
      <w:contextualSpacing/>
    </w:pPr>
  </w:style>
  <w:style w:type="table" w:styleId="Tabelacomgrade">
    <w:name w:val="Table Grid"/>
    <w:basedOn w:val="Tabelanormal"/>
    <w:uiPriority w:val="59"/>
    <w:rsid w:val="00EA67A0"/>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Texto">
    <w:name w:val="Estilo Texto"/>
    <w:basedOn w:val="Normal"/>
    <w:link w:val="EstiloTextoChar"/>
    <w:qFormat/>
    <w:rsid w:val="00EA67A0"/>
    <w:pPr>
      <w:suppressAutoHyphens/>
      <w:spacing w:before="240" w:after="240" w:line="360" w:lineRule="auto"/>
      <w:jc w:val="both"/>
    </w:pPr>
    <w:rPr>
      <w:rFonts w:eastAsia="Times New Roman" w:cs="Times New Roman"/>
      <w:color w:val="000000"/>
      <w:sz w:val="22"/>
      <w:szCs w:val="22"/>
      <w:lang w:val="x-none" w:eastAsia="ar-SA"/>
    </w:rPr>
  </w:style>
  <w:style w:type="character" w:customStyle="1" w:styleId="EstiloTextoChar">
    <w:name w:val="Estilo Texto Char"/>
    <w:link w:val="EstiloTexto"/>
    <w:rsid w:val="00EA67A0"/>
    <w:rPr>
      <w:rFonts w:ascii="Arial" w:eastAsia="Times New Roman" w:hAnsi="Arial" w:cs="Times New Roman"/>
      <w:color w:val="000000"/>
      <w:lang w:val="x-none" w:eastAsia="ar-SA"/>
    </w:rPr>
  </w:style>
  <w:style w:type="paragraph" w:styleId="Textodebalo">
    <w:name w:val="Balloon Text"/>
    <w:basedOn w:val="Normal"/>
    <w:link w:val="TextodebaloChar"/>
    <w:uiPriority w:val="99"/>
    <w:semiHidden/>
    <w:unhideWhenUsed/>
    <w:rsid w:val="00EA67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A0"/>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67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67A0"/>
    <w:rPr>
      <w:rFonts w:ascii="Arial" w:hAnsi="Arial" w:cs="Arial"/>
      <w:sz w:val="24"/>
      <w:szCs w:val="24"/>
    </w:rPr>
  </w:style>
  <w:style w:type="paragraph" w:styleId="Rodap">
    <w:name w:val="footer"/>
    <w:basedOn w:val="Normal"/>
    <w:link w:val="RodapChar"/>
    <w:uiPriority w:val="99"/>
    <w:unhideWhenUsed/>
    <w:rsid w:val="00EA67A0"/>
    <w:pPr>
      <w:tabs>
        <w:tab w:val="center" w:pos="4252"/>
        <w:tab w:val="right" w:pos="8504"/>
      </w:tabs>
      <w:spacing w:after="0" w:line="240" w:lineRule="auto"/>
    </w:pPr>
  </w:style>
  <w:style w:type="character" w:customStyle="1" w:styleId="RodapChar">
    <w:name w:val="Rodapé Char"/>
    <w:basedOn w:val="Fontepargpadro"/>
    <w:link w:val="Rodap"/>
    <w:uiPriority w:val="99"/>
    <w:rsid w:val="00EA67A0"/>
    <w:rPr>
      <w:rFonts w:ascii="Arial" w:hAnsi="Arial" w:cs="Arial"/>
      <w:sz w:val="24"/>
      <w:szCs w:val="24"/>
    </w:rPr>
  </w:style>
  <w:style w:type="paragraph" w:styleId="PargrafodaLista">
    <w:name w:val="List Paragraph"/>
    <w:basedOn w:val="Normal"/>
    <w:uiPriority w:val="34"/>
    <w:qFormat/>
    <w:rsid w:val="00EA67A0"/>
    <w:pPr>
      <w:ind w:left="720"/>
      <w:contextualSpacing/>
    </w:pPr>
  </w:style>
  <w:style w:type="table" w:styleId="Tabelacomgrade">
    <w:name w:val="Table Grid"/>
    <w:basedOn w:val="Tabelanormal"/>
    <w:uiPriority w:val="59"/>
    <w:rsid w:val="00EA67A0"/>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Texto">
    <w:name w:val="Estilo Texto"/>
    <w:basedOn w:val="Normal"/>
    <w:link w:val="EstiloTextoChar"/>
    <w:qFormat/>
    <w:rsid w:val="00EA67A0"/>
    <w:pPr>
      <w:suppressAutoHyphens/>
      <w:spacing w:before="240" w:after="240" w:line="360" w:lineRule="auto"/>
      <w:jc w:val="both"/>
    </w:pPr>
    <w:rPr>
      <w:rFonts w:eastAsia="Times New Roman" w:cs="Times New Roman"/>
      <w:color w:val="000000"/>
      <w:sz w:val="22"/>
      <w:szCs w:val="22"/>
      <w:lang w:val="x-none" w:eastAsia="ar-SA"/>
    </w:rPr>
  </w:style>
  <w:style w:type="character" w:customStyle="1" w:styleId="EstiloTextoChar">
    <w:name w:val="Estilo Texto Char"/>
    <w:link w:val="EstiloTexto"/>
    <w:rsid w:val="00EA67A0"/>
    <w:rPr>
      <w:rFonts w:ascii="Arial" w:eastAsia="Times New Roman" w:hAnsi="Arial" w:cs="Times New Roman"/>
      <w:color w:val="000000"/>
      <w:lang w:val="x-none" w:eastAsia="ar-SA"/>
    </w:rPr>
  </w:style>
  <w:style w:type="paragraph" w:styleId="Textodebalo">
    <w:name w:val="Balloon Text"/>
    <w:basedOn w:val="Normal"/>
    <w:link w:val="TextodebaloChar"/>
    <w:uiPriority w:val="99"/>
    <w:semiHidden/>
    <w:unhideWhenUsed/>
    <w:rsid w:val="00EA67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2038</Words>
  <Characters>11008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2021-09-01T16:15:00Z</cp:lastPrinted>
  <dcterms:created xsi:type="dcterms:W3CDTF">2021-08-27T19:23:00Z</dcterms:created>
  <dcterms:modified xsi:type="dcterms:W3CDTF">2021-09-01T16:15:00Z</dcterms:modified>
</cp:coreProperties>
</file>